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352" w:type="dxa"/>
        <w:tblInd w:w="-176" w:type="dxa"/>
        <w:tblLook w:val="04A0"/>
      </w:tblPr>
      <w:tblGrid>
        <w:gridCol w:w="2269"/>
        <w:gridCol w:w="5386"/>
        <w:gridCol w:w="5697"/>
      </w:tblGrid>
      <w:tr w:rsidR="00595DDD" w:rsidRPr="00D0005F" w:rsidTr="00A63065">
        <w:tc>
          <w:tcPr>
            <w:tcW w:w="2269" w:type="dxa"/>
            <w:shd w:val="clear" w:color="auto" w:fill="DBE5F1" w:themeFill="accent1" w:themeFillTint="33"/>
          </w:tcPr>
          <w:p w:rsidR="00595DDD" w:rsidRPr="00DF0E81" w:rsidRDefault="00595DDD">
            <w:pPr>
              <w:rPr>
                <w:b/>
              </w:rPr>
            </w:pPr>
            <w:r w:rsidRPr="00DF0E81">
              <w:rPr>
                <w:b/>
              </w:rPr>
              <w:t>Company/Participant</w:t>
            </w:r>
          </w:p>
          <w:p w:rsidR="00595DDD" w:rsidRPr="00DF0E81" w:rsidRDefault="00595DDD">
            <w:pPr>
              <w:rPr>
                <w:b/>
              </w:rPr>
            </w:pPr>
          </w:p>
        </w:tc>
        <w:tc>
          <w:tcPr>
            <w:tcW w:w="5386" w:type="dxa"/>
            <w:shd w:val="clear" w:color="auto" w:fill="DBE5F1" w:themeFill="accent1" w:themeFillTint="33"/>
          </w:tcPr>
          <w:p w:rsidR="00595DDD" w:rsidRPr="00D0005F" w:rsidRDefault="00595DDD" w:rsidP="00882D3F">
            <w:pPr>
              <w:rPr>
                <w:b/>
              </w:rPr>
            </w:pPr>
            <w:r>
              <w:rPr>
                <w:b/>
              </w:rPr>
              <w:t>REMIT Reporting Requirements Feedback</w:t>
            </w:r>
          </w:p>
        </w:tc>
        <w:tc>
          <w:tcPr>
            <w:tcW w:w="5697" w:type="dxa"/>
            <w:shd w:val="clear" w:color="auto" w:fill="DBE5F1" w:themeFill="accent1" w:themeFillTint="33"/>
          </w:tcPr>
          <w:p w:rsidR="00595DDD" w:rsidRDefault="00823A5E" w:rsidP="006E364D">
            <w:pPr>
              <w:rPr>
                <w:b/>
              </w:rPr>
            </w:pPr>
            <w:r>
              <w:rPr>
                <w:b/>
              </w:rPr>
              <w:t>SEMO</w:t>
            </w:r>
            <w:r w:rsidR="003F5086">
              <w:rPr>
                <w:b/>
              </w:rPr>
              <w:t xml:space="preserve"> Response</w:t>
            </w:r>
            <w:r w:rsidR="00A63065">
              <w:rPr>
                <w:b/>
              </w:rPr>
              <w:t xml:space="preserve"> </w:t>
            </w:r>
          </w:p>
        </w:tc>
      </w:tr>
      <w:tr w:rsidR="00DF0E81" w:rsidRPr="00D0005F" w:rsidTr="00A63065">
        <w:trPr>
          <w:trHeight w:val="657"/>
        </w:trPr>
        <w:tc>
          <w:tcPr>
            <w:tcW w:w="2269" w:type="dxa"/>
            <w:vMerge w:val="restart"/>
            <w:shd w:val="clear" w:color="auto" w:fill="BFBFBF" w:themeFill="background1" w:themeFillShade="BF"/>
          </w:tcPr>
          <w:p w:rsidR="00DF0E81" w:rsidRPr="00B761AE" w:rsidRDefault="00DF0E81" w:rsidP="00676ACF">
            <w:pPr>
              <w:pStyle w:val="ListParagraph"/>
              <w:numPr>
                <w:ilvl w:val="0"/>
                <w:numId w:val="15"/>
              </w:numPr>
            </w:pPr>
            <w:r w:rsidRPr="00821147">
              <w:t>Bord Gáis</w:t>
            </w:r>
            <w:r w:rsidR="007B1EC2">
              <w:t xml:space="preserve"> </w:t>
            </w:r>
            <w:r w:rsidR="007B1EC2" w:rsidRPr="00B761AE">
              <w:t>15/06/2015</w:t>
            </w:r>
          </w:p>
          <w:p w:rsidR="00DF0E81" w:rsidRPr="00821147" w:rsidRDefault="004A0FEE">
            <w:pPr>
              <w:rPr>
                <w:highlight w:val="yellow"/>
              </w:rPr>
            </w:pPr>
            <w:r w:rsidRPr="00B761AE">
              <w:t>(Before Mods meeting 62)</w:t>
            </w:r>
          </w:p>
        </w:tc>
        <w:tc>
          <w:tcPr>
            <w:tcW w:w="5386" w:type="dxa"/>
            <w:tcBorders>
              <w:bottom w:val="single" w:sz="4" w:space="0" w:color="auto"/>
            </w:tcBorders>
          </w:tcPr>
          <w:p w:rsidR="00DF0E81" w:rsidRPr="001313E8" w:rsidRDefault="004A0FEE" w:rsidP="00CA6AFC">
            <w:pPr>
              <w:pStyle w:val="ListParagraph"/>
              <w:numPr>
                <w:ilvl w:val="0"/>
                <w:numId w:val="16"/>
              </w:numPr>
              <w:spacing w:before="100" w:after="100"/>
              <w:jc w:val="both"/>
              <w:rPr>
                <w:rFonts w:ascii="Arial" w:hAnsi="Arial" w:cs="Arial"/>
                <w:sz w:val="16"/>
                <w:szCs w:val="16"/>
              </w:rPr>
            </w:pPr>
            <w:r w:rsidRPr="001313E8">
              <w:rPr>
                <w:rFonts w:ascii="Times New Roman" w:hAnsi="Times New Roman"/>
              </w:rPr>
              <w:t>BGE accepts the approach of modifying the T&amp;SC instead of a bilateral agreement for establishing reporting channels for organised market places. BGE would however welcome further information on the “simplified request” procedure that SEMO will require each market participant to complete if it wishes SEMO to report data on its behalf.</w:t>
            </w:r>
          </w:p>
        </w:tc>
        <w:tc>
          <w:tcPr>
            <w:tcW w:w="5697" w:type="dxa"/>
            <w:tcBorders>
              <w:bottom w:val="single" w:sz="4" w:space="0" w:color="auto"/>
            </w:tcBorders>
          </w:tcPr>
          <w:p w:rsidR="00DF0E81" w:rsidRPr="00DE26D1" w:rsidRDefault="00887567" w:rsidP="0034113A">
            <w:pPr>
              <w:spacing w:before="100" w:after="100"/>
              <w:jc w:val="both"/>
              <w:rPr>
                <w:rFonts w:ascii="Times New Roman" w:hAnsi="Times New Roman" w:cs="Times New Roman"/>
                <w:lang w:val="en-GB"/>
              </w:rPr>
            </w:pPr>
            <w:r w:rsidRPr="009614EA">
              <w:rPr>
                <w:rFonts w:ascii="Times New Roman" w:hAnsi="Times New Roman" w:cs="Times New Roman"/>
                <w:lang w:val="en-GB"/>
              </w:rPr>
              <w:t>The following forms:</w:t>
            </w:r>
            <w:r w:rsidR="00676ACF" w:rsidRPr="009614EA">
              <w:rPr>
                <w:rFonts w:ascii="Times New Roman" w:hAnsi="Times New Roman" w:cs="Times New Roman"/>
                <w:lang w:val="en-GB"/>
              </w:rPr>
              <w:t xml:space="preserve"> </w:t>
            </w:r>
            <w:r w:rsidR="00A310C9" w:rsidRPr="009614EA">
              <w:rPr>
                <w:rFonts w:ascii="Times New Roman" w:hAnsi="Times New Roman" w:cs="Times New Roman"/>
                <w:lang w:val="en-GB"/>
              </w:rPr>
              <w:t>‘Request to Report’ and</w:t>
            </w:r>
            <w:r w:rsidR="003A4F39" w:rsidRPr="009614EA">
              <w:rPr>
                <w:rFonts w:ascii="Times New Roman" w:hAnsi="Times New Roman" w:cs="Times New Roman"/>
                <w:lang w:val="en-GB"/>
              </w:rPr>
              <w:t xml:space="preserve"> ‘Notice to Cease Reporting’ will be made available on the SEMO website. </w:t>
            </w:r>
            <w:r w:rsidRPr="009614EA">
              <w:rPr>
                <w:rFonts w:ascii="Times New Roman" w:hAnsi="Times New Roman" w:cs="Times New Roman"/>
                <w:lang w:val="en-GB"/>
              </w:rPr>
              <w:t>These forms will act as the</w:t>
            </w:r>
            <w:r w:rsidR="003A4F39" w:rsidRPr="009614EA">
              <w:rPr>
                <w:rFonts w:ascii="Times New Roman" w:hAnsi="Times New Roman" w:cs="Times New Roman"/>
                <w:lang w:val="en-GB"/>
              </w:rPr>
              <w:t xml:space="preserve"> formal </w:t>
            </w:r>
            <w:r w:rsidR="004B0679" w:rsidRPr="009614EA">
              <w:rPr>
                <w:rFonts w:ascii="Times New Roman" w:hAnsi="Times New Roman" w:cs="Times New Roman"/>
                <w:lang w:val="en-GB"/>
              </w:rPr>
              <w:t xml:space="preserve">written </w:t>
            </w:r>
            <w:r w:rsidR="003A4F39" w:rsidRPr="009614EA">
              <w:rPr>
                <w:rFonts w:ascii="Times New Roman" w:hAnsi="Times New Roman" w:cs="Times New Roman"/>
                <w:lang w:val="en-GB"/>
              </w:rPr>
              <w:t xml:space="preserve">notification to SEMO to </w:t>
            </w:r>
            <w:r w:rsidR="004B0679" w:rsidRPr="009614EA">
              <w:rPr>
                <w:rFonts w:ascii="Times New Roman" w:hAnsi="Times New Roman" w:cs="Times New Roman"/>
                <w:lang w:val="en-GB"/>
              </w:rPr>
              <w:t>act</w:t>
            </w:r>
            <w:r w:rsidR="003A4F39" w:rsidRPr="009614EA">
              <w:rPr>
                <w:rFonts w:ascii="Times New Roman" w:hAnsi="Times New Roman" w:cs="Times New Roman"/>
                <w:lang w:val="en-GB"/>
              </w:rPr>
              <w:t xml:space="preserve"> or </w:t>
            </w:r>
            <w:r w:rsidR="00A310C9" w:rsidRPr="009614EA">
              <w:rPr>
                <w:rFonts w:ascii="Times New Roman" w:hAnsi="Times New Roman" w:cs="Times New Roman"/>
                <w:lang w:val="en-GB"/>
              </w:rPr>
              <w:t>cease</w:t>
            </w:r>
            <w:r w:rsidR="003A4F39" w:rsidRPr="009614EA">
              <w:rPr>
                <w:rFonts w:ascii="Times New Roman" w:hAnsi="Times New Roman" w:cs="Times New Roman"/>
                <w:lang w:val="en-GB"/>
              </w:rPr>
              <w:t xml:space="preserve"> acting as </w:t>
            </w:r>
            <w:r w:rsidRPr="009614EA">
              <w:rPr>
                <w:rFonts w:ascii="Times New Roman" w:hAnsi="Times New Roman" w:cs="Times New Roman"/>
                <w:lang w:val="en-GB"/>
              </w:rPr>
              <w:t>a Registered Reporting Mechanism (RRM) on behalf of the relevant Market Participant</w:t>
            </w:r>
            <w:r w:rsidR="00D53B2D" w:rsidRPr="009614EA">
              <w:rPr>
                <w:rFonts w:ascii="Times New Roman" w:hAnsi="Times New Roman" w:cs="Times New Roman"/>
                <w:lang w:val="en-GB"/>
              </w:rPr>
              <w:t xml:space="preserve"> for the purpose</w:t>
            </w:r>
            <w:r w:rsidR="00A310C9" w:rsidRPr="009614EA">
              <w:rPr>
                <w:rFonts w:ascii="Times New Roman" w:hAnsi="Times New Roman" w:cs="Times New Roman"/>
                <w:lang w:val="en-GB"/>
              </w:rPr>
              <w:t>s</w:t>
            </w:r>
            <w:r w:rsidR="00D53B2D" w:rsidRPr="009614EA">
              <w:rPr>
                <w:rFonts w:ascii="Times New Roman" w:hAnsi="Times New Roman" w:cs="Times New Roman"/>
                <w:lang w:val="en-GB"/>
              </w:rPr>
              <w:t xml:space="preserve"> of </w:t>
            </w:r>
            <w:r w:rsidR="00782BA7" w:rsidRPr="009614EA">
              <w:rPr>
                <w:rFonts w:ascii="Times New Roman" w:hAnsi="Times New Roman" w:cs="Times New Roman"/>
                <w:lang w:val="en-GB"/>
              </w:rPr>
              <w:t>REMIT</w:t>
            </w:r>
            <w:r w:rsidR="00A310C9" w:rsidRPr="009614EA">
              <w:rPr>
                <w:rFonts w:ascii="Times New Roman" w:hAnsi="Times New Roman" w:cs="Times New Roman"/>
                <w:lang w:val="en-GB"/>
              </w:rPr>
              <w:t xml:space="preserve"> reporting</w:t>
            </w:r>
            <w:r w:rsidR="00A63065" w:rsidRPr="009614EA">
              <w:rPr>
                <w:rFonts w:ascii="Times New Roman" w:hAnsi="Times New Roman" w:cs="Times New Roman"/>
                <w:lang w:val="en-GB"/>
              </w:rPr>
              <w:t xml:space="preserve">. </w:t>
            </w:r>
            <w:r w:rsidR="003A4F39" w:rsidRPr="009614EA">
              <w:rPr>
                <w:rFonts w:ascii="Times New Roman" w:hAnsi="Times New Roman" w:cs="Times New Roman"/>
                <w:lang w:val="en-GB"/>
              </w:rPr>
              <w:t>These forms are required for compliance purposes</w:t>
            </w:r>
            <w:r w:rsidR="0093457E" w:rsidRPr="009614EA">
              <w:rPr>
                <w:rFonts w:ascii="Times New Roman" w:hAnsi="Times New Roman" w:cs="Times New Roman"/>
                <w:lang w:val="en-GB"/>
              </w:rPr>
              <w:t xml:space="preserve"> and</w:t>
            </w:r>
            <w:r w:rsidRPr="009614EA">
              <w:rPr>
                <w:rFonts w:ascii="Times New Roman" w:hAnsi="Times New Roman" w:cs="Times New Roman"/>
                <w:lang w:val="en-GB"/>
              </w:rPr>
              <w:t xml:space="preserve"> will b</w:t>
            </w:r>
            <w:r w:rsidR="00A63065" w:rsidRPr="009614EA">
              <w:rPr>
                <w:rFonts w:ascii="Times New Roman" w:hAnsi="Times New Roman" w:cs="Times New Roman"/>
                <w:lang w:val="en-GB"/>
              </w:rPr>
              <w:t xml:space="preserve">e included in the </w:t>
            </w:r>
            <w:r w:rsidR="0034113A">
              <w:rPr>
                <w:rFonts w:ascii="Times New Roman" w:hAnsi="Times New Roman" w:cs="Times New Roman"/>
                <w:lang w:val="en-GB"/>
              </w:rPr>
              <w:t xml:space="preserve">‘Unit </w:t>
            </w:r>
            <w:r w:rsidR="00A63065" w:rsidRPr="009614EA">
              <w:rPr>
                <w:rFonts w:ascii="Times New Roman" w:hAnsi="Times New Roman" w:cs="Times New Roman"/>
                <w:lang w:val="en-GB"/>
              </w:rPr>
              <w:t>Registration Pack</w:t>
            </w:r>
            <w:r w:rsidR="0034113A">
              <w:rPr>
                <w:rFonts w:ascii="Times New Roman" w:hAnsi="Times New Roman" w:cs="Times New Roman"/>
                <w:lang w:val="en-GB"/>
              </w:rPr>
              <w:t>’</w:t>
            </w:r>
            <w:r w:rsidRPr="009614EA">
              <w:rPr>
                <w:rFonts w:ascii="Times New Roman" w:hAnsi="Times New Roman" w:cs="Times New Roman"/>
                <w:lang w:val="en-GB"/>
              </w:rPr>
              <w:t xml:space="preserve"> for new Participants</w:t>
            </w:r>
            <w:r w:rsidR="0034113A">
              <w:rPr>
                <w:rFonts w:ascii="Times New Roman" w:hAnsi="Times New Roman" w:cs="Times New Roman"/>
                <w:lang w:val="en-GB"/>
              </w:rPr>
              <w:t xml:space="preserve"> and ‘Unit Type Change Request’ for existing ones.</w:t>
            </w:r>
            <w:r w:rsidRPr="009614EA">
              <w:rPr>
                <w:rFonts w:ascii="Times New Roman" w:hAnsi="Times New Roman" w:cs="Times New Roman"/>
                <w:lang w:val="en-GB"/>
              </w:rPr>
              <w:t>.</w:t>
            </w:r>
          </w:p>
        </w:tc>
      </w:tr>
      <w:tr w:rsidR="00DF0E81" w:rsidRPr="00D0005F" w:rsidTr="00A63065">
        <w:trPr>
          <w:trHeight w:val="1156"/>
        </w:trPr>
        <w:tc>
          <w:tcPr>
            <w:tcW w:w="2269" w:type="dxa"/>
            <w:vMerge/>
            <w:shd w:val="clear" w:color="auto" w:fill="BFBFBF" w:themeFill="background1" w:themeFillShade="BF"/>
          </w:tcPr>
          <w:p w:rsidR="00DF0E81" w:rsidRPr="00821147" w:rsidRDefault="00DF0E81" w:rsidP="00DF0E81"/>
        </w:tc>
        <w:tc>
          <w:tcPr>
            <w:tcW w:w="5386" w:type="dxa"/>
            <w:tcBorders>
              <w:top w:val="single" w:sz="4" w:space="0" w:color="auto"/>
              <w:bottom w:val="single" w:sz="4" w:space="0" w:color="auto"/>
            </w:tcBorders>
          </w:tcPr>
          <w:p w:rsidR="00DF0E81" w:rsidRPr="001313E8" w:rsidRDefault="007B1EC2" w:rsidP="00CA6AFC">
            <w:pPr>
              <w:pStyle w:val="ListParagraph"/>
              <w:numPr>
                <w:ilvl w:val="0"/>
                <w:numId w:val="16"/>
              </w:numPr>
              <w:spacing w:before="100" w:after="100"/>
              <w:jc w:val="both"/>
              <w:rPr>
                <w:rFonts w:ascii="Times New Roman" w:hAnsi="Times New Roman"/>
              </w:rPr>
            </w:pPr>
            <w:r w:rsidRPr="001313E8">
              <w:rPr>
                <w:rFonts w:ascii="Times New Roman" w:hAnsi="Times New Roman"/>
              </w:rPr>
              <w:t xml:space="preserve">BGE is not however in agreement with the proposed limitation of liability as outlined in the Mod. In BGE’s view SEMO should be fully liable for any reported data errors or omissions at least until such time that a market participant is able to validate the correctness etc. of its own data either pre or post its submission. The only exception for this may be for market participant identification information and codes that are outside of its control, unless SEMO has received the correct information and codes from the market participant but actually reported it incorrectly. Support for the above view is in BGE’s opinion provided for in the REMIT Implementing Acts. Under Article 11 thereof, in instances where the market participant is reporting through a third party such as an organised market place, the market participant’s obligation is solely to “take reasonable steps to verify the completeness, accuracy and timeliness of the data which they submit through third parties” (Article 11(1)). Without an ability to pre or post validate the information SEMO will report on its behalf, a market participant will be inhibited from carrying out such reasonable steps.  </w:t>
            </w:r>
            <w:r w:rsidRPr="001313E8">
              <w:rPr>
                <w:rFonts w:ascii="Times New Roman" w:hAnsi="Times New Roman"/>
              </w:rPr>
              <w:lastRenderedPageBreak/>
              <w:t xml:space="preserve">Importantly, where that market participant is submitting data through a third party, the market participant “shall not be responsible for failures in the completeness, accuracy or timely submission of the data which are attributable to the third party. In those cases the third party shall be responsible for those failures.” Furthermore, Recital 10 of the REMIT Implementing Acts states that “the reporting parties should comply with basic requirements in relation to their ability to authenticate data sources, check data for correctness and completeness and to ensure business continuity”. ACER will assess reporting parties compliance with these requirements but “ensure a proportionate treatment of professional third parties handling market participants' data and market participants reporting their own data”. The above provisions in our view clarify that ACER believes a level of responsibility for the completeness, accuracy and timeliness of data is attributable to the </w:t>
            </w:r>
            <w:r w:rsidR="007778D3" w:rsidRPr="001313E8">
              <w:rPr>
                <w:rFonts w:ascii="Times New Roman" w:hAnsi="Times New Roman"/>
              </w:rPr>
              <w:t>organised</w:t>
            </w:r>
            <w:r w:rsidRPr="001313E8">
              <w:rPr>
                <w:rFonts w:ascii="Times New Roman" w:hAnsi="Times New Roman"/>
              </w:rPr>
              <w:t xml:space="preserve"> market place as a third party reporter. This level of responsibility must remain with SEMO at least until market participants are in a position to validate their submitted data.</w:t>
            </w:r>
          </w:p>
        </w:tc>
        <w:tc>
          <w:tcPr>
            <w:tcW w:w="5697" w:type="dxa"/>
            <w:tcBorders>
              <w:top w:val="single" w:sz="4" w:space="0" w:color="auto"/>
              <w:bottom w:val="single" w:sz="4" w:space="0" w:color="auto"/>
            </w:tcBorders>
          </w:tcPr>
          <w:p w:rsidR="00B761AE" w:rsidRPr="00B761AE" w:rsidRDefault="00A63065" w:rsidP="00D72BFB">
            <w:pPr>
              <w:pStyle w:val="ListParagraph"/>
              <w:spacing w:before="100" w:after="100"/>
              <w:ind w:left="0"/>
              <w:jc w:val="both"/>
              <w:rPr>
                <w:rFonts w:ascii="Times New Roman" w:hAnsi="Times New Roman"/>
                <w:lang w:val="en-GB"/>
              </w:rPr>
            </w:pPr>
            <w:r>
              <w:rPr>
                <w:rFonts w:ascii="Times New Roman" w:hAnsi="Times New Roman"/>
                <w:lang w:val="en-GB"/>
              </w:rPr>
              <w:lastRenderedPageBreak/>
              <w:t xml:space="preserve">MOD_06_15 </w:t>
            </w:r>
            <w:r w:rsidR="00180C18">
              <w:rPr>
                <w:rFonts w:ascii="Times New Roman" w:hAnsi="Times New Roman"/>
                <w:lang w:val="en-GB"/>
              </w:rPr>
              <w:t>v1 contained a draft position on liability</w:t>
            </w:r>
            <w:r w:rsidR="00B761AE">
              <w:rPr>
                <w:rFonts w:ascii="Times New Roman" w:hAnsi="Times New Roman"/>
                <w:lang w:val="en-GB"/>
              </w:rPr>
              <w:t>. Although this initial proposal wa</w:t>
            </w:r>
            <w:r w:rsidR="00D72BFB">
              <w:rPr>
                <w:rFonts w:ascii="Times New Roman" w:hAnsi="Times New Roman"/>
                <w:lang w:val="en-GB"/>
              </w:rPr>
              <w:t>s</w:t>
            </w:r>
            <w:r w:rsidR="00180C18">
              <w:rPr>
                <w:rFonts w:ascii="Times New Roman" w:hAnsi="Times New Roman"/>
                <w:lang w:val="en-GB"/>
              </w:rPr>
              <w:t xml:space="preserve"> lim</w:t>
            </w:r>
            <w:r w:rsidR="004674D9">
              <w:rPr>
                <w:rFonts w:ascii="Times New Roman" w:hAnsi="Times New Roman"/>
                <w:lang w:val="en-GB"/>
              </w:rPr>
              <w:t>ited to the d</w:t>
            </w:r>
            <w:r w:rsidR="00D72BFB">
              <w:rPr>
                <w:rFonts w:ascii="Times New Roman" w:hAnsi="Times New Roman"/>
                <w:lang w:val="en-GB"/>
              </w:rPr>
              <w:t xml:space="preserve">ata </w:t>
            </w:r>
            <w:r w:rsidR="00676ACF" w:rsidRPr="00B761AE">
              <w:rPr>
                <w:rFonts w:ascii="Times New Roman" w:hAnsi="Times New Roman"/>
                <w:lang w:val="en-GB"/>
              </w:rPr>
              <w:t xml:space="preserve">submitted </w:t>
            </w:r>
            <w:r w:rsidR="00D72BFB" w:rsidRPr="00B761AE">
              <w:rPr>
                <w:rFonts w:ascii="Times New Roman" w:hAnsi="Times New Roman"/>
                <w:lang w:val="en-GB"/>
              </w:rPr>
              <w:t>f</w:t>
            </w:r>
            <w:r w:rsidR="00180C18" w:rsidRPr="00B761AE">
              <w:rPr>
                <w:rFonts w:ascii="Times New Roman" w:hAnsi="Times New Roman"/>
                <w:lang w:val="en-GB"/>
              </w:rPr>
              <w:t>r</w:t>
            </w:r>
            <w:r w:rsidR="00D72BFB" w:rsidRPr="00B761AE">
              <w:rPr>
                <w:rFonts w:ascii="Times New Roman" w:hAnsi="Times New Roman"/>
                <w:lang w:val="en-GB"/>
              </w:rPr>
              <w:t>om</w:t>
            </w:r>
            <w:r w:rsidR="00180C18" w:rsidRPr="00B761AE">
              <w:rPr>
                <w:rFonts w:ascii="Times New Roman" w:hAnsi="Times New Roman"/>
                <w:lang w:val="en-GB"/>
              </w:rPr>
              <w:t xml:space="preserve"> Participants</w:t>
            </w:r>
            <w:r w:rsidR="00B761AE" w:rsidRPr="00B761AE">
              <w:rPr>
                <w:rFonts w:ascii="Times New Roman" w:hAnsi="Times New Roman"/>
                <w:lang w:val="en-GB"/>
              </w:rPr>
              <w:t xml:space="preserve"> to the Market, in line</w:t>
            </w:r>
            <w:r w:rsidR="004265F4" w:rsidRPr="00B761AE">
              <w:rPr>
                <w:rFonts w:ascii="Times New Roman" w:hAnsi="Times New Roman"/>
                <w:lang w:val="en-GB"/>
              </w:rPr>
              <w:t xml:space="preserve"> with the existing provisions </w:t>
            </w:r>
            <w:r w:rsidR="00E07954" w:rsidRPr="00B761AE">
              <w:rPr>
                <w:rFonts w:ascii="Times New Roman" w:hAnsi="Times New Roman"/>
                <w:lang w:val="en-GB"/>
              </w:rPr>
              <w:t>in paragraph 3.34 of</w:t>
            </w:r>
            <w:r w:rsidR="004265F4" w:rsidRPr="00B761AE">
              <w:rPr>
                <w:rFonts w:ascii="Times New Roman" w:hAnsi="Times New Roman"/>
                <w:lang w:val="en-GB"/>
              </w:rPr>
              <w:t xml:space="preserve"> the T&amp;SC</w:t>
            </w:r>
            <w:r w:rsidR="00B761AE" w:rsidRPr="00B761AE">
              <w:rPr>
                <w:rFonts w:ascii="Times New Roman" w:hAnsi="Times New Roman"/>
                <w:lang w:val="en-GB"/>
              </w:rPr>
              <w:t xml:space="preserve">, all party’s liabilities are detailed in Article 11.2 of </w:t>
            </w:r>
            <w:r w:rsidR="00407D37">
              <w:rPr>
                <w:rFonts w:ascii="Times New Roman" w:hAnsi="Times New Roman"/>
                <w:lang w:val="en-GB"/>
              </w:rPr>
              <w:t xml:space="preserve">the Commission </w:t>
            </w:r>
            <w:r w:rsidR="00B761AE" w:rsidRPr="00B761AE">
              <w:rPr>
                <w:rFonts w:ascii="Times New Roman" w:hAnsi="Times New Roman"/>
                <w:lang w:val="en-GB"/>
              </w:rPr>
              <w:t xml:space="preserve">Implementing Regulation (EU) 1348/2014. </w:t>
            </w:r>
          </w:p>
          <w:p w:rsidR="00B761AE" w:rsidRDefault="00B761AE" w:rsidP="00B761AE">
            <w:pPr>
              <w:pStyle w:val="ListParagraph"/>
              <w:spacing w:before="100" w:after="100"/>
              <w:ind w:left="0"/>
              <w:jc w:val="both"/>
              <w:rPr>
                <w:rFonts w:ascii="Times New Roman" w:hAnsi="Times New Roman"/>
                <w:lang w:val="en-GB"/>
              </w:rPr>
            </w:pPr>
            <w:r w:rsidRPr="00B761AE">
              <w:rPr>
                <w:rFonts w:ascii="Times New Roman" w:hAnsi="Times New Roman"/>
                <w:lang w:val="en-GB"/>
              </w:rPr>
              <w:t>New paragraphs 3.95 to 3.98 have now been expanded in MOD_06_15 v2 in order to capture the liability requirements of Article 11.2.</w:t>
            </w:r>
            <w:r>
              <w:rPr>
                <w:rFonts w:ascii="Times New Roman" w:hAnsi="Times New Roman"/>
                <w:lang w:val="en-GB"/>
              </w:rPr>
              <w:t xml:space="preserve"> </w:t>
            </w:r>
          </w:p>
          <w:p w:rsidR="00676ACF" w:rsidRPr="00DE26D1" w:rsidRDefault="00676ACF" w:rsidP="00B761AE">
            <w:pPr>
              <w:pStyle w:val="ListParagraph"/>
              <w:spacing w:before="100" w:after="100"/>
              <w:ind w:left="0"/>
              <w:jc w:val="both"/>
              <w:rPr>
                <w:rFonts w:ascii="Times New Roman" w:hAnsi="Times New Roman"/>
                <w:lang w:val="en-GB"/>
              </w:rPr>
            </w:pPr>
          </w:p>
        </w:tc>
      </w:tr>
      <w:tr w:rsidR="00634213" w:rsidRPr="00DE26D1" w:rsidTr="00A63065">
        <w:trPr>
          <w:trHeight w:val="1175"/>
        </w:trPr>
        <w:tc>
          <w:tcPr>
            <w:tcW w:w="2269" w:type="dxa"/>
            <w:shd w:val="clear" w:color="auto" w:fill="B8CCE4" w:themeFill="accent1" w:themeFillTint="66"/>
          </w:tcPr>
          <w:p w:rsidR="00634213" w:rsidRPr="00821147" w:rsidRDefault="00634213" w:rsidP="00676ACF">
            <w:pPr>
              <w:pStyle w:val="ListParagraph"/>
              <w:numPr>
                <w:ilvl w:val="0"/>
                <w:numId w:val="15"/>
              </w:numPr>
            </w:pPr>
            <w:r>
              <w:lastRenderedPageBreak/>
              <w:t>Power NI 22/06/2015</w:t>
            </w:r>
          </w:p>
        </w:tc>
        <w:tc>
          <w:tcPr>
            <w:tcW w:w="5386" w:type="dxa"/>
          </w:tcPr>
          <w:p w:rsidR="00634213" w:rsidRPr="001313E8" w:rsidRDefault="00634213" w:rsidP="0034113A">
            <w:pPr>
              <w:pStyle w:val="ListParagraph"/>
              <w:rPr>
                <w:rFonts w:ascii="Times New Roman" w:hAnsi="Times New Roman"/>
                <w:lang w:val="en-GB"/>
              </w:rPr>
            </w:pPr>
            <w:r w:rsidRPr="001313E8">
              <w:rPr>
                <w:rFonts w:ascii="Times New Roman" w:hAnsi="Times New Roman"/>
                <w:lang w:val="en-GB"/>
              </w:rPr>
              <w:t xml:space="preserve">After the discussion that took place at the Modifications Meeting I feel that further discussions are required on this modification. My </w:t>
            </w:r>
            <w:r w:rsidR="00E97CFC" w:rsidRPr="001313E8">
              <w:rPr>
                <w:rFonts w:ascii="Times New Roman" w:hAnsi="Times New Roman"/>
                <w:lang w:val="en-GB"/>
              </w:rPr>
              <w:t>preferred method</w:t>
            </w:r>
            <w:r w:rsidRPr="001313E8">
              <w:rPr>
                <w:rFonts w:ascii="Times New Roman" w:hAnsi="Times New Roman"/>
                <w:lang w:val="en-GB"/>
              </w:rPr>
              <w:t xml:space="preserve"> would be a working group/workshop.</w:t>
            </w:r>
          </w:p>
        </w:tc>
        <w:tc>
          <w:tcPr>
            <w:tcW w:w="5697" w:type="dxa"/>
          </w:tcPr>
          <w:p w:rsidR="00067CC4" w:rsidRDefault="00D53B2D" w:rsidP="00067CC4">
            <w:pPr>
              <w:pStyle w:val="ListParagraph"/>
              <w:spacing w:before="100" w:after="100"/>
              <w:ind w:left="0"/>
              <w:jc w:val="both"/>
              <w:rPr>
                <w:rFonts w:ascii="Times New Roman" w:hAnsi="Times New Roman"/>
                <w:lang w:val="en-GB"/>
              </w:rPr>
            </w:pPr>
            <w:r>
              <w:rPr>
                <w:rFonts w:ascii="Times New Roman" w:hAnsi="Times New Roman"/>
                <w:lang w:val="en-GB"/>
              </w:rPr>
              <w:t>SEMO is looking into ways to facilitate this</w:t>
            </w:r>
            <w:r w:rsidR="00913008">
              <w:rPr>
                <w:rFonts w:ascii="Times New Roman" w:hAnsi="Times New Roman"/>
                <w:lang w:val="en-GB"/>
              </w:rPr>
              <w:t xml:space="preserve"> and would prop</w:t>
            </w:r>
            <w:r w:rsidR="00067CC4">
              <w:rPr>
                <w:rFonts w:ascii="Times New Roman" w:hAnsi="Times New Roman"/>
                <w:lang w:val="en-GB"/>
              </w:rPr>
              <w:t xml:space="preserve">ose the following approach: </w:t>
            </w:r>
          </w:p>
          <w:p w:rsidR="00067CC4" w:rsidRDefault="00067CC4" w:rsidP="00067CC4">
            <w:pPr>
              <w:pStyle w:val="ListParagraph"/>
              <w:numPr>
                <w:ilvl w:val="0"/>
                <w:numId w:val="27"/>
              </w:numPr>
              <w:spacing w:before="100" w:after="100"/>
              <w:jc w:val="both"/>
              <w:rPr>
                <w:rFonts w:ascii="Times New Roman" w:hAnsi="Times New Roman"/>
                <w:lang w:val="en-GB"/>
              </w:rPr>
            </w:pPr>
            <w:r>
              <w:rPr>
                <w:rFonts w:ascii="Times New Roman" w:hAnsi="Times New Roman"/>
                <w:lang w:val="en-GB"/>
              </w:rPr>
              <w:t>SEMO is continuing to pursue the approach of a modification to the Trading and Settlement Code (T&amp;SC), further details below in</w:t>
            </w:r>
            <w:r w:rsidR="00AC7B34">
              <w:rPr>
                <w:rFonts w:ascii="Times New Roman" w:hAnsi="Times New Roman"/>
                <w:lang w:val="en-GB"/>
              </w:rPr>
              <w:t xml:space="preserve"> response to question</w:t>
            </w:r>
            <w:r>
              <w:rPr>
                <w:rFonts w:ascii="Times New Roman" w:hAnsi="Times New Roman"/>
                <w:lang w:val="en-GB"/>
              </w:rPr>
              <w:t xml:space="preserve"> 4</w:t>
            </w:r>
            <w:r w:rsidR="00AC7B34">
              <w:rPr>
                <w:rFonts w:ascii="Times New Roman" w:hAnsi="Times New Roman"/>
                <w:lang w:val="en-GB"/>
              </w:rPr>
              <w:t>)</w:t>
            </w:r>
            <w:r w:rsidR="0034113A">
              <w:rPr>
                <w:rFonts w:ascii="Times New Roman" w:hAnsi="Times New Roman"/>
                <w:lang w:val="en-GB"/>
              </w:rPr>
              <w:t xml:space="preserve"> d);</w:t>
            </w:r>
          </w:p>
          <w:p w:rsidR="00067CC4" w:rsidRDefault="006C635B" w:rsidP="00067CC4">
            <w:pPr>
              <w:pStyle w:val="ListParagraph"/>
              <w:numPr>
                <w:ilvl w:val="0"/>
                <w:numId w:val="27"/>
              </w:numPr>
              <w:spacing w:before="100" w:after="100"/>
              <w:jc w:val="both"/>
              <w:rPr>
                <w:rFonts w:ascii="Times New Roman" w:hAnsi="Times New Roman"/>
                <w:lang w:val="en-GB"/>
              </w:rPr>
            </w:pPr>
            <w:r>
              <w:rPr>
                <w:rFonts w:ascii="Times New Roman" w:hAnsi="Times New Roman"/>
                <w:lang w:val="en-GB"/>
              </w:rPr>
              <w:t>MOD_06_15 v2 will be</w:t>
            </w:r>
            <w:r w:rsidR="00067CC4">
              <w:rPr>
                <w:rFonts w:ascii="Times New Roman" w:hAnsi="Times New Roman"/>
                <w:lang w:val="en-GB"/>
              </w:rPr>
              <w:t xml:space="preserve"> circ</w:t>
            </w:r>
            <w:r w:rsidR="00067CC4" w:rsidRPr="006C635B">
              <w:rPr>
                <w:rFonts w:ascii="Times New Roman" w:hAnsi="Times New Roman"/>
                <w:lang w:val="en-GB"/>
              </w:rPr>
              <w:t xml:space="preserve">ulated </w:t>
            </w:r>
            <w:r w:rsidR="00407D37" w:rsidRPr="006C635B">
              <w:rPr>
                <w:rFonts w:ascii="Times New Roman" w:hAnsi="Times New Roman"/>
                <w:lang w:val="en-GB"/>
              </w:rPr>
              <w:t>on the 2</w:t>
            </w:r>
            <w:r w:rsidR="00BF2007" w:rsidRPr="006C635B">
              <w:rPr>
                <w:rFonts w:ascii="Times New Roman" w:hAnsi="Times New Roman"/>
                <w:lang w:val="en-GB"/>
              </w:rPr>
              <w:t>4</w:t>
            </w:r>
            <w:r w:rsidR="00BF2007" w:rsidRPr="006C635B">
              <w:rPr>
                <w:rFonts w:ascii="Times New Roman" w:hAnsi="Times New Roman"/>
                <w:vertAlign w:val="superscript"/>
                <w:lang w:val="en-GB"/>
              </w:rPr>
              <w:t>th</w:t>
            </w:r>
            <w:r w:rsidR="00BF2007" w:rsidRPr="006C635B">
              <w:rPr>
                <w:rFonts w:ascii="Times New Roman" w:hAnsi="Times New Roman"/>
                <w:lang w:val="en-GB"/>
              </w:rPr>
              <w:t xml:space="preserve"> </w:t>
            </w:r>
            <w:r w:rsidR="00067CC4" w:rsidRPr="006C635B">
              <w:rPr>
                <w:rFonts w:ascii="Times New Roman" w:hAnsi="Times New Roman"/>
                <w:lang w:val="en-GB"/>
              </w:rPr>
              <w:t>July 2015 for a</w:t>
            </w:r>
            <w:r w:rsidR="00067CC4">
              <w:rPr>
                <w:rFonts w:ascii="Times New Roman" w:hAnsi="Times New Roman"/>
                <w:lang w:val="en-GB"/>
              </w:rPr>
              <w:t xml:space="preserve"> two week review period in which we will invite further comments</w:t>
            </w:r>
            <w:r w:rsidR="0034113A">
              <w:rPr>
                <w:rFonts w:ascii="Times New Roman" w:hAnsi="Times New Roman"/>
                <w:lang w:val="en-GB"/>
              </w:rPr>
              <w:t>;</w:t>
            </w:r>
          </w:p>
          <w:p w:rsidR="00067CC4" w:rsidRPr="00067CC4" w:rsidRDefault="00067CC4" w:rsidP="00067CC4">
            <w:pPr>
              <w:pStyle w:val="ListParagraph"/>
              <w:numPr>
                <w:ilvl w:val="0"/>
                <w:numId w:val="27"/>
              </w:numPr>
              <w:spacing w:before="100" w:after="100"/>
              <w:jc w:val="both"/>
              <w:rPr>
                <w:rFonts w:ascii="Times New Roman" w:hAnsi="Times New Roman"/>
                <w:lang w:val="en-GB"/>
              </w:rPr>
            </w:pPr>
            <w:r w:rsidRPr="00067CC4">
              <w:rPr>
                <w:rFonts w:ascii="Times New Roman" w:hAnsi="Times New Roman"/>
                <w:lang w:val="en-GB"/>
              </w:rPr>
              <w:lastRenderedPageBreak/>
              <w:t xml:space="preserve">A conference call will be arranged following the review period to </w:t>
            </w:r>
            <w:r w:rsidRPr="006C635B">
              <w:rPr>
                <w:rFonts w:ascii="Times New Roman" w:hAnsi="Times New Roman"/>
                <w:lang w:val="en-GB"/>
              </w:rPr>
              <w:t>discuss comments received.</w:t>
            </w:r>
            <w:r w:rsidR="00AC7B34" w:rsidRPr="006C635B">
              <w:rPr>
                <w:rFonts w:ascii="Times New Roman" w:hAnsi="Times New Roman"/>
                <w:lang w:val="en-GB"/>
              </w:rPr>
              <w:t xml:space="preserve"> The proposed date for this is </w:t>
            </w:r>
            <w:r w:rsidR="00BF2007" w:rsidRPr="006C635B">
              <w:rPr>
                <w:rFonts w:ascii="Times New Roman" w:hAnsi="Times New Roman"/>
                <w:lang w:val="en-GB"/>
              </w:rPr>
              <w:t>Tues</w:t>
            </w:r>
            <w:r w:rsidR="00AC7B34" w:rsidRPr="006C635B">
              <w:rPr>
                <w:rFonts w:ascii="Times New Roman" w:hAnsi="Times New Roman"/>
                <w:lang w:val="en-GB"/>
              </w:rPr>
              <w:t>day 1</w:t>
            </w:r>
            <w:r w:rsidR="00BF2007" w:rsidRPr="006C635B">
              <w:rPr>
                <w:rFonts w:ascii="Times New Roman" w:hAnsi="Times New Roman"/>
                <w:lang w:val="en-GB"/>
              </w:rPr>
              <w:t>1</w:t>
            </w:r>
            <w:r w:rsidR="00AC7B34" w:rsidRPr="006C635B">
              <w:rPr>
                <w:rFonts w:ascii="Times New Roman" w:hAnsi="Times New Roman"/>
                <w:vertAlign w:val="superscript"/>
                <w:lang w:val="en-GB"/>
              </w:rPr>
              <w:t>th</w:t>
            </w:r>
            <w:r w:rsidR="00AC7B34" w:rsidRPr="006C635B">
              <w:rPr>
                <w:rFonts w:ascii="Times New Roman" w:hAnsi="Times New Roman"/>
                <w:lang w:val="en-GB"/>
              </w:rPr>
              <w:t xml:space="preserve"> August 2015</w:t>
            </w:r>
            <w:r w:rsidR="0034113A" w:rsidRPr="006C635B">
              <w:rPr>
                <w:rFonts w:ascii="Times New Roman" w:hAnsi="Times New Roman"/>
                <w:lang w:val="en-GB"/>
              </w:rPr>
              <w:t>;</w:t>
            </w:r>
          </w:p>
          <w:p w:rsidR="00067CC4" w:rsidRDefault="00A24602" w:rsidP="008450BE">
            <w:pPr>
              <w:pStyle w:val="ListParagraph"/>
              <w:numPr>
                <w:ilvl w:val="0"/>
                <w:numId w:val="27"/>
              </w:numPr>
              <w:spacing w:before="100" w:after="100"/>
              <w:jc w:val="both"/>
              <w:rPr>
                <w:rFonts w:ascii="Times New Roman" w:hAnsi="Times New Roman"/>
                <w:lang w:val="en-GB"/>
              </w:rPr>
            </w:pPr>
            <w:r w:rsidRPr="008450BE">
              <w:rPr>
                <w:rFonts w:ascii="Times New Roman" w:hAnsi="Times New Roman"/>
                <w:lang w:val="en-GB"/>
              </w:rPr>
              <w:t>A</w:t>
            </w:r>
            <w:r w:rsidR="00D53B2D" w:rsidRPr="008450BE">
              <w:rPr>
                <w:rFonts w:ascii="Times New Roman" w:hAnsi="Times New Roman"/>
                <w:lang w:val="en-GB"/>
              </w:rPr>
              <w:t xml:space="preserve">n </w:t>
            </w:r>
            <w:r w:rsidR="00067CC4" w:rsidRPr="008450BE">
              <w:rPr>
                <w:rFonts w:ascii="Times New Roman" w:hAnsi="Times New Roman"/>
                <w:lang w:val="en-GB"/>
              </w:rPr>
              <w:t>extended discussion will be facilitated at the</w:t>
            </w:r>
            <w:r w:rsidR="00D53B2D" w:rsidRPr="008450BE">
              <w:rPr>
                <w:rFonts w:ascii="Times New Roman" w:hAnsi="Times New Roman"/>
                <w:lang w:val="en-GB"/>
              </w:rPr>
              <w:t xml:space="preserve"> next Modifications meeting on the </w:t>
            </w:r>
            <w:r w:rsidR="00067CC4" w:rsidRPr="008450BE">
              <w:rPr>
                <w:rFonts w:ascii="Times New Roman" w:hAnsi="Times New Roman"/>
                <w:lang w:val="en-GB"/>
              </w:rPr>
              <w:t>13</w:t>
            </w:r>
            <w:r w:rsidR="00067CC4" w:rsidRPr="008450BE">
              <w:rPr>
                <w:rFonts w:ascii="Times New Roman" w:hAnsi="Times New Roman"/>
                <w:vertAlign w:val="superscript"/>
                <w:lang w:val="en-GB"/>
              </w:rPr>
              <w:t>th</w:t>
            </w:r>
            <w:r w:rsidR="00067CC4" w:rsidRPr="008450BE">
              <w:rPr>
                <w:rFonts w:ascii="Times New Roman" w:hAnsi="Times New Roman"/>
                <w:lang w:val="en-GB"/>
              </w:rPr>
              <w:t xml:space="preserve"> August 2015. An </w:t>
            </w:r>
            <w:r w:rsidR="00067CC4" w:rsidRPr="00215D80">
              <w:rPr>
                <w:rFonts w:ascii="Times New Roman" w:hAnsi="Times New Roman"/>
                <w:b/>
                <w:lang w:val="en-GB"/>
              </w:rPr>
              <w:t xml:space="preserve">invite will be issued to wider distribution list of the </w:t>
            </w:r>
            <w:r w:rsidR="00067CC4" w:rsidRPr="008450BE">
              <w:rPr>
                <w:rFonts w:ascii="Times New Roman" w:hAnsi="Times New Roman"/>
                <w:lang w:val="en-GB"/>
              </w:rPr>
              <w:t>REMIT project</w:t>
            </w:r>
            <w:r w:rsidR="008450BE" w:rsidRPr="008450BE">
              <w:rPr>
                <w:rFonts w:ascii="Times New Roman" w:hAnsi="Times New Roman"/>
                <w:lang w:val="en-GB"/>
              </w:rPr>
              <w:t xml:space="preserve"> who may attend as observers.</w:t>
            </w:r>
            <w:r w:rsidR="0034113A">
              <w:rPr>
                <w:rFonts w:ascii="Times New Roman" w:hAnsi="Times New Roman"/>
                <w:lang w:val="en-GB"/>
              </w:rPr>
              <w:t xml:space="preserve"> Please note that discussions in this forum will be limited to the Modification and not the solution design currently under test.</w:t>
            </w:r>
          </w:p>
          <w:p w:rsidR="003E56FC" w:rsidRPr="003E56FC" w:rsidRDefault="003E56FC" w:rsidP="003E56FC">
            <w:pPr>
              <w:spacing w:before="100" w:after="100"/>
              <w:jc w:val="both"/>
              <w:rPr>
                <w:rFonts w:ascii="Times New Roman" w:hAnsi="Times New Roman"/>
                <w:lang w:val="en-GB"/>
              </w:rPr>
            </w:pPr>
            <w:r w:rsidRPr="003E56FC">
              <w:rPr>
                <w:rFonts w:ascii="Times New Roman" w:hAnsi="Times New Roman"/>
                <w:lang w:val="en-GB"/>
              </w:rPr>
              <w:t xml:space="preserve">Due to the tight timelines for implementing this change, it is necessary to progress this in a timely manner to ensure </w:t>
            </w:r>
            <w:r>
              <w:rPr>
                <w:rFonts w:ascii="Times New Roman" w:hAnsi="Times New Roman"/>
                <w:lang w:val="en-GB"/>
              </w:rPr>
              <w:t>all legal considerations are addressed to enable r</w:t>
            </w:r>
            <w:r w:rsidRPr="003E56FC">
              <w:rPr>
                <w:rFonts w:ascii="Times New Roman" w:hAnsi="Times New Roman"/>
                <w:lang w:val="en-GB"/>
              </w:rPr>
              <w:t>eport</w:t>
            </w:r>
            <w:r>
              <w:rPr>
                <w:rFonts w:ascii="Times New Roman" w:hAnsi="Times New Roman"/>
                <w:lang w:val="en-GB"/>
              </w:rPr>
              <w:t>ing</w:t>
            </w:r>
            <w:r w:rsidRPr="003E56FC">
              <w:rPr>
                <w:rFonts w:ascii="Times New Roman" w:hAnsi="Times New Roman"/>
                <w:lang w:val="en-GB"/>
              </w:rPr>
              <w:t xml:space="preserve"> </w:t>
            </w:r>
            <w:r>
              <w:rPr>
                <w:rFonts w:ascii="Times New Roman" w:hAnsi="Times New Roman"/>
                <w:lang w:val="en-GB"/>
              </w:rPr>
              <w:t>from</w:t>
            </w:r>
            <w:r w:rsidRPr="003E56FC">
              <w:rPr>
                <w:rFonts w:ascii="Times New Roman" w:hAnsi="Times New Roman"/>
                <w:lang w:val="en-GB"/>
              </w:rPr>
              <w:t xml:space="preserve"> </w:t>
            </w:r>
            <w:r>
              <w:rPr>
                <w:rFonts w:ascii="Times New Roman" w:hAnsi="Times New Roman"/>
                <w:lang w:val="en-GB"/>
              </w:rPr>
              <w:t>the</w:t>
            </w:r>
            <w:r w:rsidR="00E76474">
              <w:rPr>
                <w:rFonts w:ascii="Times New Roman" w:hAnsi="Times New Roman"/>
                <w:lang w:val="en-GB"/>
              </w:rPr>
              <w:t xml:space="preserve"> </w:t>
            </w:r>
            <w:r w:rsidRPr="003E56FC">
              <w:rPr>
                <w:rFonts w:ascii="Times New Roman" w:hAnsi="Times New Roman"/>
                <w:lang w:val="en-GB"/>
              </w:rPr>
              <w:t>7</w:t>
            </w:r>
            <w:r w:rsidRPr="003E56FC">
              <w:rPr>
                <w:rFonts w:ascii="Times New Roman" w:hAnsi="Times New Roman"/>
                <w:vertAlign w:val="superscript"/>
                <w:lang w:val="en-GB"/>
              </w:rPr>
              <w:t>th</w:t>
            </w:r>
            <w:r w:rsidRPr="003E56FC">
              <w:rPr>
                <w:rFonts w:ascii="Times New Roman" w:hAnsi="Times New Roman"/>
                <w:lang w:val="en-GB"/>
              </w:rPr>
              <w:t xml:space="preserve"> October 2015.</w:t>
            </w:r>
          </w:p>
        </w:tc>
      </w:tr>
      <w:tr w:rsidR="00874AB0" w:rsidRPr="00D0005F" w:rsidTr="00A63065">
        <w:trPr>
          <w:trHeight w:val="1175"/>
        </w:trPr>
        <w:tc>
          <w:tcPr>
            <w:tcW w:w="2269" w:type="dxa"/>
            <w:vMerge w:val="restart"/>
            <w:shd w:val="clear" w:color="auto" w:fill="D6E3BC" w:themeFill="accent3" w:themeFillTint="66"/>
          </w:tcPr>
          <w:p w:rsidR="00874AB0" w:rsidRDefault="00874AB0" w:rsidP="00676ACF">
            <w:pPr>
              <w:pStyle w:val="ListParagraph"/>
              <w:numPr>
                <w:ilvl w:val="0"/>
                <w:numId w:val="15"/>
              </w:numPr>
            </w:pPr>
            <w:r>
              <w:lastRenderedPageBreak/>
              <w:t>Power NI 29/06/2015</w:t>
            </w:r>
          </w:p>
          <w:p w:rsidR="00874AB0" w:rsidRPr="00821147" w:rsidRDefault="00874AB0" w:rsidP="00A63065"/>
        </w:tc>
        <w:tc>
          <w:tcPr>
            <w:tcW w:w="5386" w:type="dxa"/>
            <w:tcBorders>
              <w:top w:val="single" w:sz="4" w:space="0" w:color="auto"/>
              <w:bottom w:val="single" w:sz="4" w:space="0" w:color="auto"/>
            </w:tcBorders>
          </w:tcPr>
          <w:p w:rsidR="00874AB0" w:rsidRPr="001313E8" w:rsidRDefault="00874AB0" w:rsidP="001313E8">
            <w:pPr>
              <w:pStyle w:val="ListParagraph"/>
              <w:numPr>
                <w:ilvl w:val="0"/>
                <w:numId w:val="18"/>
              </w:numPr>
              <w:rPr>
                <w:rFonts w:ascii="Times New Roman" w:hAnsi="Times New Roman"/>
                <w:lang w:val="en-GB"/>
              </w:rPr>
            </w:pPr>
            <w:r w:rsidRPr="001313E8">
              <w:rPr>
                <w:rFonts w:ascii="Times New Roman" w:hAnsi="Times New Roman"/>
                <w:lang w:val="en-GB"/>
              </w:rPr>
              <w:t>Please see comments from Power NI below:</w:t>
            </w:r>
          </w:p>
          <w:p w:rsidR="00874AB0" w:rsidRPr="007778D3" w:rsidRDefault="00874AB0" w:rsidP="00A63065">
            <w:pPr>
              <w:rPr>
                <w:rFonts w:ascii="Times New Roman" w:hAnsi="Times New Roman"/>
                <w:lang w:val="en-GB"/>
              </w:rPr>
            </w:pPr>
          </w:p>
          <w:p w:rsidR="00874AB0" w:rsidRPr="007778D3" w:rsidRDefault="00874AB0" w:rsidP="00A63065">
            <w:pPr>
              <w:numPr>
                <w:ilvl w:val="0"/>
                <w:numId w:val="10"/>
              </w:numPr>
              <w:rPr>
                <w:rFonts w:ascii="Times New Roman" w:hAnsi="Times New Roman"/>
                <w:lang w:val="en-GB"/>
              </w:rPr>
            </w:pPr>
            <w:r w:rsidRPr="007778D3">
              <w:rPr>
                <w:rFonts w:ascii="Times New Roman" w:hAnsi="Times New Roman"/>
                <w:lang w:val="en-GB"/>
              </w:rPr>
              <w:t>Power NI supports the approach to include the REMIT provisions within the T&amp;SC as opposed to bilateral arrangements.</w:t>
            </w:r>
          </w:p>
        </w:tc>
        <w:tc>
          <w:tcPr>
            <w:tcW w:w="5697" w:type="dxa"/>
            <w:tcBorders>
              <w:top w:val="single" w:sz="4" w:space="0" w:color="auto"/>
              <w:bottom w:val="single" w:sz="4" w:space="0" w:color="auto"/>
            </w:tcBorders>
          </w:tcPr>
          <w:p w:rsidR="00874AB0" w:rsidRPr="00DE26D1" w:rsidRDefault="00D53B2D" w:rsidP="00760B8D">
            <w:pPr>
              <w:pStyle w:val="ListParagraph"/>
              <w:spacing w:before="100" w:after="100"/>
              <w:ind w:left="0"/>
              <w:jc w:val="both"/>
              <w:rPr>
                <w:rFonts w:ascii="Times New Roman" w:hAnsi="Times New Roman"/>
                <w:lang w:val="en-GB"/>
              </w:rPr>
            </w:pPr>
            <w:r>
              <w:rPr>
                <w:rFonts w:ascii="Times New Roman" w:hAnsi="Times New Roman"/>
                <w:lang w:val="en-GB"/>
              </w:rPr>
              <w:t>SEMO is progressing with MOD_06_15</w:t>
            </w:r>
            <w:r w:rsidR="003E56FC">
              <w:rPr>
                <w:rFonts w:ascii="Times New Roman" w:hAnsi="Times New Roman"/>
                <w:lang w:val="en-GB"/>
              </w:rPr>
              <w:t xml:space="preserve"> v2, please refer to</w:t>
            </w:r>
            <w:r w:rsidR="00760B8D">
              <w:rPr>
                <w:rFonts w:ascii="Times New Roman" w:hAnsi="Times New Roman"/>
                <w:lang w:val="en-GB"/>
              </w:rPr>
              <w:t xml:space="preserve"> response to question</w:t>
            </w:r>
            <w:r w:rsidR="0034113A">
              <w:rPr>
                <w:rFonts w:ascii="Times New Roman" w:hAnsi="Times New Roman"/>
                <w:lang w:val="en-GB"/>
              </w:rPr>
              <w:t xml:space="preserve"> 2)</w:t>
            </w:r>
            <w:r w:rsidR="003E56FC">
              <w:rPr>
                <w:rFonts w:ascii="Times New Roman" w:hAnsi="Times New Roman"/>
                <w:lang w:val="en-GB"/>
              </w:rPr>
              <w:t>.</w:t>
            </w:r>
            <w:r w:rsidR="00A24602">
              <w:rPr>
                <w:rFonts w:ascii="Times New Roman" w:hAnsi="Times New Roman"/>
                <w:lang w:val="en-GB"/>
              </w:rPr>
              <w:t xml:space="preserve"> </w:t>
            </w:r>
          </w:p>
        </w:tc>
      </w:tr>
      <w:tr w:rsidR="00874AB0" w:rsidRPr="00D0005F" w:rsidTr="00A63065">
        <w:trPr>
          <w:trHeight w:val="1175"/>
        </w:trPr>
        <w:tc>
          <w:tcPr>
            <w:tcW w:w="2269" w:type="dxa"/>
            <w:vMerge/>
            <w:shd w:val="clear" w:color="auto" w:fill="D6E3BC" w:themeFill="accent3" w:themeFillTint="66"/>
          </w:tcPr>
          <w:p w:rsidR="00874AB0" w:rsidRPr="00011880" w:rsidRDefault="00874AB0" w:rsidP="00A63065"/>
        </w:tc>
        <w:tc>
          <w:tcPr>
            <w:tcW w:w="5386" w:type="dxa"/>
            <w:tcBorders>
              <w:top w:val="single" w:sz="4" w:space="0" w:color="auto"/>
              <w:bottom w:val="single" w:sz="4" w:space="0" w:color="auto"/>
            </w:tcBorders>
          </w:tcPr>
          <w:p w:rsidR="001313E8" w:rsidRPr="001313E8" w:rsidRDefault="001313E8" w:rsidP="00B3664A">
            <w:pPr>
              <w:pStyle w:val="ListParagraph"/>
              <w:numPr>
                <w:ilvl w:val="0"/>
                <w:numId w:val="18"/>
              </w:numPr>
              <w:rPr>
                <w:rFonts w:ascii="Times New Roman" w:hAnsi="Times New Roman"/>
                <w:lang w:val="en-GB"/>
              </w:rPr>
            </w:pPr>
          </w:p>
          <w:p w:rsidR="00874AB0" w:rsidRPr="007778D3" w:rsidRDefault="00874AB0" w:rsidP="00B3664A">
            <w:pPr>
              <w:numPr>
                <w:ilvl w:val="0"/>
                <w:numId w:val="23"/>
              </w:numPr>
              <w:rPr>
                <w:rFonts w:ascii="Times New Roman" w:hAnsi="Times New Roman"/>
                <w:lang w:val="en-GB"/>
              </w:rPr>
            </w:pPr>
            <w:r w:rsidRPr="007778D3">
              <w:rPr>
                <w:rFonts w:ascii="Times New Roman" w:hAnsi="Times New Roman"/>
                <w:lang w:val="en-GB"/>
              </w:rPr>
              <w:t>The drafting of the MOD should make it clear that SEMO’s obligations sit only with reporting of SEM data under REMIT and not other reporting obligations participants might have</w:t>
            </w:r>
          </w:p>
          <w:p w:rsidR="00874AB0" w:rsidRPr="007778D3" w:rsidRDefault="00C60483" w:rsidP="00B3664A">
            <w:pPr>
              <w:numPr>
                <w:ilvl w:val="0"/>
                <w:numId w:val="23"/>
              </w:numPr>
              <w:rPr>
                <w:rFonts w:ascii="Times New Roman" w:hAnsi="Times New Roman"/>
                <w:lang w:val="en-GB"/>
              </w:rPr>
            </w:pPr>
            <w:r w:rsidRPr="007778D3">
              <w:rPr>
                <w:rFonts w:ascii="Times New Roman" w:hAnsi="Times New Roman"/>
                <w:lang w:val="en-GB"/>
              </w:rPr>
              <w:t>Power NI does</w:t>
            </w:r>
            <w:r w:rsidR="00874AB0" w:rsidRPr="007778D3">
              <w:rPr>
                <w:rFonts w:ascii="Times New Roman" w:hAnsi="Times New Roman"/>
                <w:lang w:val="en-GB"/>
              </w:rPr>
              <w:t xml:space="preserve"> not agree with the limitation of liability provisions. SEMO as an RRM (or proxy for) should be liable for what is reported, especially given the lack of transparency it appears participants will have</w:t>
            </w:r>
          </w:p>
        </w:tc>
        <w:tc>
          <w:tcPr>
            <w:tcW w:w="5697" w:type="dxa"/>
            <w:tcBorders>
              <w:top w:val="single" w:sz="4" w:space="0" w:color="auto"/>
              <w:bottom w:val="single" w:sz="4" w:space="0" w:color="auto"/>
            </w:tcBorders>
          </w:tcPr>
          <w:p w:rsidR="00874AB0" w:rsidRPr="00DE26D1" w:rsidRDefault="003D3F57" w:rsidP="0034113A">
            <w:pPr>
              <w:pStyle w:val="ListParagraph"/>
              <w:spacing w:before="100" w:after="100"/>
              <w:ind w:left="0"/>
              <w:jc w:val="both"/>
              <w:rPr>
                <w:rFonts w:ascii="Times New Roman" w:hAnsi="Times New Roman"/>
                <w:lang w:val="en-GB"/>
              </w:rPr>
            </w:pPr>
            <w:r>
              <w:rPr>
                <w:rFonts w:ascii="Times New Roman" w:hAnsi="Times New Roman"/>
                <w:lang w:val="en-GB"/>
              </w:rPr>
              <w:t xml:space="preserve">Please refer to response to </w:t>
            </w:r>
            <w:r w:rsidR="001313E8">
              <w:rPr>
                <w:rFonts w:ascii="Times New Roman" w:hAnsi="Times New Roman"/>
                <w:lang w:val="en-GB"/>
              </w:rPr>
              <w:t xml:space="preserve">question </w:t>
            </w:r>
            <w:r w:rsidR="0034113A">
              <w:rPr>
                <w:rFonts w:ascii="Times New Roman" w:hAnsi="Times New Roman"/>
                <w:lang w:val="en-GB"/>
              </w:rPr>
              <w:t>1) b)</w:t>
            </w:r>
          </w:p>
        </w:tc>
      </w:tr>
      <w:tr w:rsidR="00634213" w:rsidRPr="00D0005F" w:rsidTr="007778D3">
        <w:trPr>
          <w:trHeight w:val="691"/>
        </w:trPr>
        <w:tc>
          <w:tcPr>
            <w:tcW w:w="2269" w:type="dxa"/>
            <w:vMerge w:val="restart"/>
            <w:shd w:val="clear" w:color="auto" w:fill="E5B8B7" w:themeFill="accent2" w:themeFillTint="66"/>
          </w:tcPr>
          <w:p w:rsidR="00634213" w:rsidRPr="00DF0E81" w:rsidRDefault="00634213" w:rsidP="00676ACF">
            <w:pPr>
              <w:pStyle w:val="ListParagraph"/>
              <w:numPr>
                <w:ilvl w:val="0"/>
                <w:numId w:val="15"/>
              </w:numPr>
            </w:pPr>
            <w:r>
              <w:t>ESB 26/06/2015</w:t>
            </w:r>
          </w:p>
        </w:tc>
        <w:tc>
          <w:tcPr>
            <w:tcW w:w="5386" w:type="dxa"/>
            <w:tcBorders>
              <w:bottom w:val="single" w:sz="4" w:space="0" w:color="auto"/>
            </w:tcBorders>
          </w:tcPr>
          <w:p w:rsidR="00634213" w:rsidRPr="001313E8" w:rsidRDefault="00634213" w:rsidP="001313E8">
            <w:pPr>
              <w:pStyle w:val="ListParagraph"/>
              <w:numPr>
                <w:ilvl w:val="0"/>
                <w:numId w:val="19"/>
              </w:numPr>
              <w:spacing w:before="100" w:after="100"/>
              <w:rPr>
                <w:rFonts w:ascii="Times New Roman" w:hAnsi="Times New Roman"/>
                <w:lang w:val="en-IE"/>
              </w:rPr>
            </w:pPr>
            <w:r w:rsidRPr="001313E8">
              <w:rPr>
                <w:rFonts w:ascii="Times New Roman" w:hAnsi="Times New Roman"/>
                <w:lang w:val="en-IE"/>
              </w:rPr>
              <w:t>Two issues for consideration are:</w:t>
            </w:r>
          </w:p>
          <w:p w:rsidR="00634213" w:rsidRPr="007778D3" w:rsidRDefault="00634213" w:rsidP="00634213">
            <w:pPr>
              <w:numPr>
                <w:ilvl w:val="0"/>
                <w:numId w:val="8"/>
              </w:numPr>
              <w:spacing w:before="100" w:after="100"/>
              <w:rPr>
                <w:rFonts w:ascii="Times New Roman" w:hAnsi="Times New Roman"/>
                <w:lang w:val="en-IE"/>
              </w:rPr>
            </w:pPr>
            <w:r w:rsidRPr="007778D3">
              <w:rPr>
                <w:rFonts w:ascii="Times New Roman" w:hAnsi="Times New Roman"/>
                <w:lang w:val="en-IE"/>
              </w:rPr>
              <w:t xml:space="preserve">Provision of confirmation / receipt by SEMO to participants that data has been sent </w:t>
            </w:r>
          </w:p>
          <w:p w:rsidR="004674D9" w:rsidRDefault="004674D9" w:rsidP="004674D9">
            <w:pPr>
              <w:pStyle w:val="ListParagraph"/>
              <w:spacing w:before="100" w:after="100"/>
              <w:ind w:left="1080"/>
              <w:rPr>
                <w:rFonts w:ascii="Times New Roman" w:hAnsi="Times New Roman"/>
                <w:lang w:val="en-IE"/>
              </w:rPr>
            </w:pPr>
          </w:p>
          <w:p w:rsidR="009116E7" w:rsidRDefault="009116E7" w:rsidP="004674D9">
            <w:pPr>
              <w:pStyle w:val="ListParagraph"/>
              <w:spacing w:before="100" w:after="100"/>
              <w:ind w:left="1080"/>
              <w:rPr>
                <w:rFonts w:ascii="Times New Roman" w:hAnsi="Times New Roman"/>
                <w:lang w:val="en-IE"/>
              </w:rPr>
            </w:pPr>
          </w:p>
          <w:p w:rsidR="00634213" w:rsidRPr="00CE1320" w:rsidRDefault="00CE1320" w:rsidP="00CE1320">
            <w:pPr>
              <w:pStyle w:val="ListParagraph"/>
              <w:numPr>
                <w:ilvl w:val="0"/>
                <w:numId w:val="8"/>
              </w:numPr>
              <w:spacing w:before="100" w:after="100"/>
              <w:rPr>
                <w:rFonts w:ascii="Times New Roman" w:hAnsi="Times New Roman"/>
                <w:lang w:val="en-IE"/>
              </w:rPr>
            </w:pPr>
            <w:r w:rsidRPr="00CE1320">
              <w:rPr>
                <w:rFonts w:ascii="Times New Roman" w:hAnsi="Times New Roman"/>
                <w:lang w:val="en-IE"/>
              </w:rPr>
              <w:t>Access by participants to the information that has been provided to ACER by SEMO</w:t>
            </w:r>
          </w:p>
        </w:tc>
        <w:tc>
          <w:tcPr>
            <w:tcW w:w="5697" w:type="dxa"/>
            <w:tcBorders>
              <w:bottom w:val="single" w:sz="4" w:space="0" w:color="auto"/>
            </w:tcBorders>
          </w:tcPr>
          <w:p w:rsidR="00B05D61" w:rsidRPr="002B2518" w:rsidRDefault="00B05D61" w:rsidP="005E37CD">
            <w:pPr>
              <w:pStyle w:val="ListParagraph"/>
              <w:numPr>
                <w:ilvl w:val="0"/>
                <w:numId w:val="28"/>
              </w:numPr>
              <w:jc w:val="both"/>
              <w:rPr>
                <w:rFonts w:ascii="Times New Roman" w:hAnsi="Times New Roman"/>
                <w:lang w:val="en-IE"/>
              </w:rPr>
            </w:pPr>
            <w:r w:rsidRPr="002B2518">
              <w:rPr>
                <w:rFonts w:ascii="Times New Roman" w:hAnsi="Times New Roman"/>
                <w:lang w:val="en-IE"/>
              </w:rPr>
              <w:lastRenderedPageBreak/>
              <w:t xml:space="preserve">Receipts </w:t>
            </w:r>
            <w:r w:rsidR="005E37CD">
              <w:rPr>
                <w:rFonts w:ascii="Times New Roman" w:hAnsi="Times New Roman"/>
                <w:lang w:val="en-IE"/>
              </w:rPr>
              <w:t xml:space="preserve">from ACER </w:t>
            </w:r>
            <w:r w:rsidRPr="002B2518">
              <w:rPr>
                <w:rFonts w:ascii="Times New Roman" w:hAnsi="Times New Roman"/>
                <w:lang w:val="en-IE"/>
              </w:rPr>
              <w:t xml:space="preserve">will be based on file submissions; as SEMO will be sending data for all Participants who have requested this service in one submission, only one receipt will be received for all data submitted. </w:t>
            </w:r>
            <w:r w:rsidR="00811855" w:rsidRPr="002B2518">
              <w:rPr>
                <w:rFonts w:ascii="Times New Roman" w:hAnsi="Times New Roman"/>
                <w:lang w:val="en-IE"/>
              </w:rPr>
              <w:t xml:space="preserve">Liability for the timely transfer of the </w:t>
            </w:r>
            <w:r w:rsidR="00811855" w:rsidRPr="002B2518">
              <w:rPr>
                <w:rFonts w:ascii="Times New Roman" w:hAnsi="Times New Roman"/>
                <w:lang w:val="en-IE"/>
              </w:rPr>
              <w:lastRenderedPageBreak/>
              <w:t xml:space="preserve">data rests with SEMO </w:t>
            </w:r>
            <w:r w:rsidR="005E37CD">
              <w:rPr>
                <w:rFonts w:ascii="Times New Roman" w:hAnsi="Times New Roman"/>
                <w:lang w:val="en-IE"/>
              </w:rPr>
              <w:t>and this is reflected in</w:t>
            </w:r>
            <w:r w:rsidR="00811855" w:rsidRPr="002B2518">
              <w:rPr>
                <w:rFonts w:ascii="Times New Roman" w:hAnsi="Times New Roman"/>
                <w:lang w:val="en-IE"/>
              </w:rPr>
              <w:t xml:space="preserve"> </w:t>
            </w:r>
            <w:r w:rsidR="009116E7" w:rsidRPr="002B2518">
              <w:rPr>
                <w:rFonts w:ascii="Times New Roman" w:hAnsi="Times New Roman"/>
                <w:lang w:val="en-IE"/>
              </w:rPr>
              <w:t>M</w:t>
            </w:r>
            <w:r w:rsidR="009116E7" w:rsidRPr="002B2518">
              <w:rPr>
                <w:rFonts w:ascii="Times New Roman" w:hAnsi="Times New Roman"/>
                <w:lang w:val="en-GB"/>
              </w:rPr>
              <w:t>OD_06_15 v2.</w:t>
            </w:r>
          </w:p>
          <w:p w:rsidR="00B05D61" w:rsidRDefault="00B05D61" w:rsidP="007778D3">
            <w:pPr>
              <w:rPr>
                <w:rFonts w:ascii="Times New Roman" w:hAnsi="Times New Roman"/>
                <w:lang w:val="en-IE"/>
              </w:rPr>
            </w:pPr>
          </w:p>
          <w:p w:rsidR="00CE1320" w:rsidRPr="002B2518" w:rsidRDefault="002B2518" w:rsidP="005E37CD">
            <w:pPr>
              <w:pStyle w:val="ListParagraph"/>
              <w:numPr>
                <w:ilvl w:val="0"/>
                <w:numId w:val="28"/>
              </w:numPr>
              <w:jc w:val="both"/>
              <w:rPr>
                <w:rFonts w:ascii="Times New Roman" w:hAnsi="Times New Roman"/>
                <w:lang w:val="en-IE"/>
              </w:rPr>
            </w:pPr>
            <w:r w:rsidRPr="002B2518">
              <w:rPr>
                <w:rFonts w:ascii="Times New Roman" w:hAnsi="Times New Roman"/>
                <w:lang w:val="en-IE"/>
              </w:rPr>
              <w:t xml:space="preserve">This is still under discussion at ACER and a process </w:t>
            </w:r>
            <w:r w:rsidR="005E37CD">
              <w:rPr>
                <w:rFonts w:ascii="Times New Roman" w:hAnsi="Times New Roman"/>
                <w:lang w:val="en-IE"/>
              </w:rPr>
              <w:t>is expected to</w:t>
            </w:r>
            <w:r w:rsidRPr="002B2518">
              <w:rPr>
                <w:rFonts w:ascii="Times New Roman" w:hAnsi="Times New Roman"/>
                <w:lang w:val="en-IE"/>
              </w:rPr>
              <w:t xml:space="preserve"> be put forward in due course. Once SEMO has visibility of this we will communicate it.</w:t>
            </w:r>
          </w:p>
          <w:p w:rsidR="00CE1320" w:rsidRDefault="00CE1320" w:rsidP="00CE1320">
            <w:pPr>
              <w:rPr>
                <w:rFonts w:ascii="Times New Roman" w:hAnsi="Times New Roman"/>
                <w:lang w:val="en-IE"/>
              </w:rPr>
            </w:pPr>
          </w:p>
          <w:p w:rsidR="00CE1320" w:rsidRPr="00DE26D1" w:rsidRDefault="002B2518" w:rsidP="00EF37FF">
            <w:pPr>
              <w:rPr>
                <w:rFonts w:ascii="Times New Roman" w:hAnsi="Times New Roman" w:cs="Times New Roman"/>
                <w:highlight w:val="yellow"/>
                <w:lang w:val="en-IE"/>
              </w:rPr>
            </w:pPr>
            <w:r>
              <w:t>For completeness and for further details</w:t>
            </w:r>
            <w:r w:rsidR="006C635B">
              <w:t>,</w:t>
            </w:r>
            <w:r>
              <w:t xml:space="preserve"> p</w:t>
            </w:r>
            <w:r w:rsidR="00CE1320">
              <w:t xml:space="preserve">lease </w:t>
            </w:r>
            <w:r>
              <w:t>refer to</w:t>
            </w:r>
            <w:r w:rsidR="00EF37FF">
              <w:t xml:space="preserve"> </w:t>
            </w:r>
            <w:hyperlink r:id="rId8" w:tgtFrame="_blank" w:history="1">
              <w:r w:rsidR="00EF37FF" w:rsidRPr="00EF37FF">
                <w:rPr>
                  <w:rStyle w:val="Hyperlink"/>
                  <w:b/>
                </w:rPr>
                <w:t>SEM REMIT Reporting Workshop Q&amp;A</w:t>
              </w:r>
              <w:r w:rsidR="001917D5">
                <w:rPr>
                  <w:rStyle w:val="Hyperlink"/>
                </w:rPr>
                <w:t xml:space="preserve"> </w:t>
              </w:r>
              <w:r w:rsidR="001917D5" w:rsidRPr="001917D5">
                <w:rPr>
                  <w:rFonts w:ascii="Times New Roman" w:hAnsi="Times New Roman"/>
                  <w:lang w:val="en-IE"/>
                </w:rPr>
                <w:t xml:space="preserve"> as published on the SEMO website on the 26th June 2015.</w:t>
              </w:r>
              <w:r w:rsidR="00EF37FF">
                <w:rPr>
                  <w:color w:val="0000FF"/>
                  <w:u w:val="single"/>
                </w:rPr>
                <w:br/>
              </w:r>
            </w:hyperlink>
          </w:p>
        </w:tc>
      </w:tr>
      <w:tr w:rsidR="009B6C67" w:rsidRPr="00D0005F" w:rsidTr="007778D3">
        <w:trPr>
          <w:trHeight w:val="691"/>
        </w:trPr>
        <w:tc>
          <w:tcPr>
            <w:tcW w:w="2269" w:type="dxa"/>
            <w:vMerge/>
            <w:shd w:val="clear" w:color="auto" w:fill="E5B8B7" w:themeFill="accent2" w:themeFillTint="66"/>
          </w:tcPr>
          <w:p w:rsidR="009B6C67" w:rsidRDefault="009B6C67" w:rsidP="00634213"/>
        </w:tc>
        <w:tc>
          <w:tcPr>
            <w:tcW w:w="5386" w:type="dxa"/>
            <w:tcBorders>
              <w:bottom w:val="single" w:sz="4" w:space="0" w:color="auto"/>
            </w:tcBorders>
          </w:tcPr>
          <w:p w:rsidR="009B6C67" w:rsidRPr="001313E8" w:rsidRDefault="009B6C67" w:rsidP="001313E8">
            <w:pPr>
              <w:pStyle w:val="ListParagraph"/>
              <w:numPr>
                <w:ilvl w:val="0"/>
                <w:numId w:val="19"/>
              </w:numPr>
              <w:spacing w:before="100" w:after="100"/>
              <w:rPr>
                <w:rFonts w:ascii="Times New Roman" w:hAnsi="Times New Roman"/>
                <w:lang w:val="en-IE"/>
              </w:rPr>
            </w:pPr>
            <w:r w:rsidRPr="001313E8">
              <w:rPr>
                <w:rFonts w:ascii="Times New Roman" w:hAnsi="Times New Roman"/>
                <w:lang w:val="en-IE"/>
              </w:rPr>
              <w:t>The technical detail of the reporting may require inclusion in an Agreed Procedure to the Code.</w:t>
            </w:r>
          </w:p>
        </w:tc>
        <w:tc>
          <w:tcPr>
            <w:tcW w:w="5697" w:type="dxa"/>
            <w:tcBorders>
              <w:bottom w:val="single" w:sz="4" w:space="0" w:color="auto"/>
            </w:tcBorders>
          </w:tcPr>
          <w:p w:rsidR="00D5664F" w:rsidRDefault="004813E0" w:rsidP="005E37CD">
            <w:pPr>
              <w:jc w:val="both"/>
              <w:rPr>
                <w:rFonts w:ascii="Times New Roman" w:hAnsi="Times New Roman" w:cs="Times New Roman"/>
                <w:lang w:val="en-GB"/>
              </w:rPr>
            </w:pPr>
            <w:r>
              <w:rPr>
                <w:rFonts w:ascii="Times New Roman" w:hAnsi="Times New Roman" w:cs="Times New Roman"/>
                <w:lang w:val="en-GB"/>
              </w:rPr>
              <w:t>T</w:t>
            </w:r>
            <w:r w:rsidRPr="000036F1">
              <w:rPr>
                <w:rFonts w:ascii="Times New Roman" w:hAnsi="Times New Roman" w:cs="Times New Roman"/>
                <w:lang w:val="en-GB"/>
              </w:rPr>
              <w:t xml:space="preserve">he </w:t>
            </w:r>
            <w:r>
              <w:rPr>
                <w:rFonts w:ascii="Times New Roman" w:hAnsi="Times New Roman" w:cs="Times New Roman"/>
                <w:lang w:val="en-GB"/>
              </w:rPr>
              <w:t>design of the</w:t>
            </w:r>
            <w:r w:rsidRPr="000036F1">
              <w:rPr>
                <w:rFonts w:ascii="Times New Roman" w:hAnsi="Times New Roman" w:cs="Times New Roman"/>
                <w:lang w:val="en-GB"/>
              </w:rPr>
              <w:t xml:space="preserve"> solution is not in scope for </w:t>
            </w:r>
            <w:r w:rsidR="005E37CD" w:rsidRPr="000036F1">
              <w:rPr>
                <w:rFonts w:ascii="Times New Roman" w:hAnsi="Times New Roman" w:cs="Times New Roman"/>
                <w:lang w:val="en-GB"/>
              </w:rPr>
              <w:t>Agreed Procedure</w:t>
            </w:r>
            <w:r w:rsidR="005E37CD">
              <w:rPr>
                <w:rFonts w:ascii="Times New Roman" w:hAnsi="Times New Roman" w:cs="Times New Roman"/>
                <w:lang w:val="en-GB"/>
              </w:rPr>
              <w:t>s</w:t>
            </w:r>
            <w:r w:rsidR="005E37CD" w:rsidRPr="000036F1">
              <w:rPr>
                <w:rFonts w:ascii="Times New Roman" w:hAnsi="Times New Roman" w:cs="Times New Roman"/>
                <w:lang w:val="en-GB"/>
              </w:rPr>
              <w:t xml:space="preserve"> </w:t>
            </w:r>
            <w:r w:rsidR="005E37CD">
              <w:rPr>
                <w:rFonts w:ascii="Times New Roman" w:hAnsi="Times New Roman" w:cs="Times New Roman"/>
                <w:lang w:val="en-GB"/>
              </w:rPr>
              <w:t>(</w:t>
            </w:r>
            <w:r w:rsidRPr="000036F1">
              <w:rPr>
                <w:rFonts w:ascii="Times New Roman" w:hAnsi="Times New Roman" w:cs="Times New Roman"/>
                <w:lang w:val="en-GB"/>
              </w:rPr>
              <w:t>AP</w:t>
            </w:r>
            <w:r w:rsidR="005E37CD">
              <w:rPr>
                <w:rFonts w:ascii="Times New Roman" w:hAnsi="Times New Roman" w:cs="Times New Roman"/>
                <w:lang w:val="en-GB"/>
              </w:rPr>
              <w:t>)</w:t>
            </w:r>
            <w:r>
              <w:rPr>
                <w:rFonts w:ascii="Times New Roman" w:hAnsi="Times New Roman" w:cs="Times New Roman"/>
                <w:lang w:val="en-GB"/>
              </w:rPr>
              <w:t xml:space="preserve">; </w:t>
            </w:r>
            <w:r w:rsidRPr="000036F1">
              <w:rPr>
                <w:rFonts w:ascii="Times New Roman" w:hAnsi="Times New Roman" w:cs="Times New Roman"/>
                <w:lang w:val="en-GB"/>
              </w:rPr>
              <w:t>however,</w:t>
            </w:r>
            <w:r>
              <w:rPr>
                <w:rFonts w:ascii="Times New Roman" w:hAnsi="Times New Roman" w:cs="Times New Roman"/>
                <w:lang w:val="en-GB"/>
              </w:rPr>
              <w:t xml:space="preserve"> so</w:t>
            </w:r>
            <w:r w:rsidR="000036F1" w:rsidRPr="000036F1">
              <w:rPr>
                <w:rFonts w:ascii="Times New Roman" w:hAnsi="Times New Roman" w:cs="Times New Roman"/>
                <w:lang w:val="en-GB"/>
              </w:rPr>
              <w:t>me aspects</w:t>
            </w:r>
            <w:r w:rsidRPr="000036F1">
              <w:rPr>
                <w:rFonts w:ascii="Times New Roman" w:hAnsi="Times New Roman" w:cs="Times New Roman"/>
                <w:lang w:val="en-GB"/>
              </w:rPr>
              <w:t xml:space="preserve"> have been included in </w:t>
            </w:r>
            <w:r w:rsidR="005E37CD">
              <w:rPr>
                <w:rFonts w:ascii="Times New Roman" w:hAnsi="Times New Roman" w:cs="Times New Roman"/>
                <w:lang w:val="en-GB"/>
              </w:rPr>
              <w:t xml:space="preserve">APs </w:t>
            </w:r>
            <w:r w:rsidRPr="000036F1">
              <w:rPr>
                <w:rFonts w:ascii="Times New Roman" w:hAnsi="Times New Roman" w:cs="Times New Roman"/>
                <w:lang w:val="en-GB"/>
              </w:rPr>
              <w:t xml:space="preserve">and will form part of MOD_06_15 </w:t>
            </w:r>
            <w:r>
              <w:rPr>
                <w:rFonts w:ascii="Times New Roman" w:hAnsi="Times New Roman" w:cs="Times New Roman"/>
                <w:lang w:val="en-GB"/>
              </w:rPr>
              <w:t>v</w:t>
            </w:r>
            <w:r w:rsidRPr="000036F1">
              <w:rPr>
                <w:rFonts w:ascii="Times New Roman" w:hAnsi="Times New Roman" w:cs="Times New Roman"/>
                <w:lang w:val="en-GB"/>
              </w:rPr>
              <w:t>2</w:t>
            </w:r>
            <w:r w:rsidR="00D5664F">
              <w:rPr>
                <w:rFonts w:ascii="Times New Roman" w:hAnsi="Times New Roman" w:cs="Times New Roman"/>
                <w:lang w:val="en-GB"/>
              </w:rPr>
              <w:t>, for example in relation to data s</w:t>
            </w:r>
            <w:r w:rsidR="000036F1" w:rsidRPr="000036F1">
              <w:rPr>
                <w:rFonts w:ascii="Times New Roman" w:hAnsi="Times New Roman" w:cs="Times New Roman"/>
                <w:lang w:val="en-GB"/>
              </w:rPr>
              <w:t>ecuri</w:t>
            </w:r>
            <w:r w:rsidR="00D5664F">
              <w:rPr>
                <w:rFonts w:ascii="Times New Roman" w:hAnsi="Times New Roman" w:cs="Times New Roman"/>
                <w:lang w:val="en-GB"/>
              </w:rPr>
              <w:t>ty leveraged by the CMS.</w:t>
            </w:r>
          </w:p>
          <w:p w:rsidR="00667CCA" w:rsidRDefault="00667CCA" w:rsidP="004813E0">
            <w:pPr>
              <w:rPr>
                <w:rFonts w:ascii="Times New Roman" w:hAnsi="Times New Roman" w:cs="Times New Roman"/>
                <w:lang w:val="en-GB"/>
              </w:rPr>
            </w:pPr>
          </w:p>
          <w:p w:rsidR="00667CCA" w:rsidRDefault="009B6C67" w:rsidP="005E37CD">
            <w:pPr>
              <w:jc w:val="both"/>
              <w:rPr>
                <w:b/>
                <w:lang w:val="en-IE"/>
              </w:rPr>
            </w:pPr>
            <w:r w:rsidRPr="000036F1">
              <w:rPr>
                <w:rFonts w:ascii="Times New Roman" w:hAnsi="Times New Roman" w:cs="Times New Roman"/>
                <w:lang w:val="en-GB"/>
              </w:rPr>
              <w:t xml:space="preserve"> </w:t>
            </w:r>
            <w:r w:rsidR="000036F1" w:rsidRPr="000036F1">
              <w:rPr>
                <w:rFonts w:ascii="Times New Roman" w:hAnsi="Times New Roman" w:cs="Times New Roman"/>
                <w:lang w:val="en-GB"/>
              </w:rPr>
              <w:t>The technical</w:t>
            </w:r>
            <w:r w:rsidR="00667CCA">
              <w:rPr>
                <w:rFonts w:ascii="Times New Roman" w:hAnsi="Times New Roman" w:cs="Times New Roman"/>
                <w:lang w:val="en-GB"/>
              </w:rPr>
              <w:t xml:space="preserve"> details are included in the Transaction Reporting User Manual (TRUM) which can be found on the</w:t>
            </w:r>
            <w:r w:rsidR="000036F1" w:rsidRPr="000036F1">
              <w:rPr>
                <w:rFonts w:ascii="Times New Roman" w:hAnsi="Times New Roman" w:cs="Times New Roman"/>
                <w:lang w:val="en-GB"/>
              </w:rPr>
              <w:t xml:space="preserve"> ACER </w:t>
            </w:r>
            <w:r w:rsidR="00667CCA">
              <w:rPr>
                <w:rFonts w:ascii="Times New Roman" w:hAnsi="Times New Roman" w:cs="Times New Roman"/>
                <w:lang w:val="en-GB"/>
              </w:rPr>
              <w:t xml:space="preserve">REMIT portal, </w:t>
            </w:r>
            <w:r w:rsidR="006C635B">
              <w:rPr>
                <w:rFonts w:ascii="Times New Roman" w:hAnsi="Times New Roman" w:cs="Times New Roman"/>
                <w:lang w:val="en-GB"/>
              </w:rPr>
              <w:t xml:space="preserve">please </w:t>
            </w:r>
            <w:r w:rsidR="00667CCA">
              <w:rPr>
                <w:rFonts w:ascii="Times New Roman" w:hAnsi="Times New Roman" w:cs="Times New Roman"/>
                <w:lang w:val="en-GB"/>
              </w:rPr>
              <w:t>click here</w:t>
            </w:r>
            <w:r w:rsidR="002C6DC6">
              <w:rPr>
                <w:rFonts w:ascii="Times New Roman" w:hAnsi="Times New Roman" w:cs="Times New Roman"/>
                <w:lang w:val="en-GB"/>
              </w:rPr>
              <w:t xml:space="preserve"> for further details</w:t>
            </w:r>
            <w:r w:rsidR="002C6DC6">
              <w:rPr>
                <w:color w:val="FF0000"/>
                <w:lang w:val="en-IE"/>
              </w:rPr>
              <w:t xml:space="preserve"> </w:t>
            </w:r>
            <w:hyperlink r:id="rId9" w:history="1">
              <w:r w:rsidR="002C6DC6">
                <w:rPr>
                  <w:rStyle w:val="Hyperlink"/>
                  <w:b/>
                  <w:lang w:val="en-IE"/>
                </w:rPr>
                <w:t>ACER REMIT Portal</w:t>
              </w:r>
            </w:hyperlink>
            <w:r w:rsidR="000036F1" w:rsidRPr="000036F1">
              <w:rPr>
                <w:b/>
                <w:lang w:val="en-IE"/>
              </w:rPr>
              <w:t xml:space="preserve">. </w:t>
            </w:r>
          </w:p>
          <w:p w:rsidR="00667CCA" w:rsidRDefault="00667CCA" w:rsidP="005E37CD">
            <w:pPr>
              <w:jc w:val="both"/>
              <w:rPr>
                <w:b/>
                <w:lang w:val="en-IE"/>
              </w:rPr>
            </w:pPr>
          </w:p>
          <w:p w:rsidR="009B6C67" w:rsidRPr="00D5664F" w:rsidRDefault="000036F1" w:rsidP="005E37CD">
            <w:pPr>
              <w:jc w:val="both"/>
              <w:rPr>
                <w:rFonts w:ascii="Times New Roman" w:hAnsi="Times New Roman" w:cs="Times New Roman"/>
                <w:lang w:val="en-GB"/>
              </w:rPr>
            </w:pPr>
            <w:r w:rsidRPr="000036F1">
              <w:rPr>
                <w:rFonts w:ascii="Times New Roman" w:hAnsi="Times New Roman" w:cs="Times New Roman"/>
                <w:lang w:val="en-GB"/>
              </w:rPr>
              <w:t xml:space="preserve">SEMO has based the </w:t>
            </w:r>
            <w:r w:rsidR="00667CCA">
              <w:rPr>
                <w:rFonts w:ascii="Times New Roman" w:hAnsi="Times New Roman" w:cs="Times New Roman"/>
                <w:lang w:val="en-GB"/>
              </w:rPr>
              <w:t xml:space="preserve">design </w:t>
            </w:r>
            <w:r w:rsidRPr="000036F1">
              <w:rPr>
                <w:rFonts w:ascii="Times New Roman" w:hAnsi="Times New Roman" w:cs="Times New Roman"/>
                <w:lang w:val="en-GB"/>
              </w:rPr>
              <w:t>solution on the TRUM document</w:t>
            </w:r>
            <w:r w:rsidR="005B0D94">
              <w:rPr>
                <w:rFonts w:ascii="Times New Roman" w:hAnsi="Times New Roman" w:cs="Times New Roman"/>
                <w:lang w:val="en-GB"/>
              </w:rPr>
              <w:t xml:space="preserve"> and it d</w:t>
            </w:r>
            <w:r>
              <w:rPr>
                <w:rFonts w:ascii="Times New Roman" w:hAnsi="Times New Roman" w:cs="Times New Roman"/>
                <w:lang w:val="en-GB"/>
              </w:rPr>
              <w:t xml:space="preserve">oes </w:t>
            </w:r>
            <w:r w:rsidR="005B0D94">
              <w:rPr>
                <w:rFonts w:ascii="Times New Roman" w:hAnsi="Times New Roman" w:cs="Times New Roman"/>
                <w:lang w:val="en-GB"/>
              </w:rPr>
              <w:t>n</w:t>
            </w:r>
            <w:r w:rsidR="005E37CD">
              <w:rPr>
                <w:rFonts w:ascii="Times New Roman" w:hAnsi="Times New Roman" w:cs="Times New Roman"/>
                <w:lang w:val="en-GB"/>
              </w:rPr>
              <w:t>ot believe</w:t>
            </w:r>
            <w:r w:rsidR="00DD3E48">
              <w:rPr>
                <w:rFonts w:ascii="Times New Roman" w:hAnsi="Times New Roman" w:cs="Times New Roman"/>
                <w:lang w:val="en-GB"/>
              </w:rPr>
              <w:t xml:space="preserve"> </w:t>
            </w:r>
            <w:r w:rsidR="005E37CD">
              <w:rPr>
                <w:rFonts w:ascii="Times New Roman" w:hAnsi="Times New Roman" w:cs="Times New Roman"/>
                <w:lang w:val="en-GB"/>
              </w:rPr>
              <w:t xml:space="preserve">it is </w:t>
            </w:r>
            <w:r w:rsidR="00DD3E48">
              <w:rPr>
                <w:rFonts w:ascii="Times New Roman" w:hAnsi="Times New Roman" w:cs="Times New Roman"/>
                <w:lang w:val="en-GB"/>
              </w:rPr>
              <w:t>necessary to duplicate</w:t>
            </w:r>
            <w:r w:rsidR="005B0D94">
              <w:rPr>
                <w:rFonts w:ascii="Times New Roman" w:hAnsi="Times New Roman" w:cs="Times New Roman"/>
                <w:lang w:val="en-GB"/>
              </w:rPr>
              <w:t xml:space="preserve"> details of an exter</w:t>
            </w:r>
            <w:r>
              <w:rPr>
                <w:rFonts w:ascii="Times New Roman" w:hAnsi="Times New Roman" w:cs="Times New Roman"/>
                <w:lang w:val="en-GB"/>
              </w:rPr>
              <w:t>nal obligation into the Code</w:t>
            </w:r>
            <w:r w:rsidRPr="000036F1">
              <w:rPr>
                <w:rFonts w:ascii="Times New Roman" w:hAnsi="Times New Roman" w:cs="Times New Roman"/>
                <w:lang w:val="en-GB"/>
              </w:rPr>
              <w:t xml:space="preserve">. </w:t>
            </w:r>
            <w:r w:rsidR="005E37CD">
              <w:rPr>
                <w:rFonts w:ascii="Times New Roman" w:hAnsi="Times New Roman" w:cs="Times New Roman"/>
                <w:lang w:val="en-GB"/>
              </w:rPr>
              <w:t>To include these details in the T&amp;SC may require further modifications should this document be updated in the future</w:t>
            </w:r>
            <w:r w:rsidR="00667CCA">
              <w:rPr>
                <w:rFonts w:ascii="Times New Roman" w:hAnsi="Times New Roman" w:cs="Times New Roman"/>
                <w:lang w:val="en-GB"/>
              </w:rPr>
              <w:t>.</w:t>
            </w:r>
          </w:p>
        </w:tc>
      </w:tr>
      <w:tr w:rsidR="00634213" w:rsidRPr="00D0005F" w:rsidTr="007778D3">
        <w:trPr>
          <w:trHeight w:val="391"/>
        </w:trPr>
        <w:tc>
          <w:tcPr>
            <w:tcW w:w="2269" w:type="dxa"/>
            <w:vMerge/>
            <w:shd w:val="clear" w:color="auto" w:fill="E5B8B7" w:themeFill="accent2" w:themeFillTint="66"/>
          </w:tcPr>
          <w:p w:rsidR="00634213" w:rsidRPr="00821147" w:rsidRDefault="00634213" w:rsidP="00634213"/>
        </w:tc>
        <w:tc>
          <w:tcPr>
            <w:tcW w:w="5386" w:type="dxa"/>
            <w:tcBorders>
              <w:top w:val="single" w:sz="4" w:space="0" w:color="auto"/>
              <w:bottom w:val="single" w:sz="4" w:space="0" w:color="auto"/>
            </w:tcBorders>
          </w:tcPr>
          <w:p w:rsidR="00634213" w:rsidRPr="001313E8" w:rsidRDefault="00634213" w:rsidP="001313E8">
            <w:pPr>
              <w:pStyle w:val="ListParagraph"/>
              <w:numPr>
                <w:ilvl w:val="0"/>
                <w:numId w:val="19"/>
              </w:numPr>
              <w:spacing w:before="100" w:after="100"/>
              <w:rPr>
                <w:rFonts w:ascii="Times New Roman" w:hAnsi="Times New Roman"/>
                <w:lang w:val="en-IE"/>
              </w:rPr>
            </w:pPr>
            <w:r w:rsidRPr="001313E8">
              <w:rPr>
                <w:rFonts w:ascii="Times New Roman" w:hAnsi="Times New Roman"/>
                <w:lang w:val="en-IE"/>
              </w:rPr>
              <w:t>The modification will also need to consider SEMO obligations in relation to the REMIT reporting undertaken.  The review being carried out by SEMO should consider:</w:t>
            </w:r>
          </w:p>
          <w:p w:rsidR="00634213" w:rsidRPr="007778D3" w:rsidRDefault="00634213" w:rsidP="00CE1320">
            <w:pPr>
              <w:numPr>
                <w:ilvl w:val="0"/>
                <w:numId w:val="21"/>
              </w:numPr>
              <w:spacing w:before="100" w:after="100"/>
              <w:rPr>
                <w:rFonts w:ascii="Times New Roman" w:hAnsi="Times New Roman"/>
                <w:lang w:val="en-IE"/>
              </w:rPr>
            </w:pPr>
            <w:r w:rsidRPr="007778D3">
              <w:rPr>
                <w:rFonts w:ascii="Times New Roman" w:hAnsi="Times New Roman"/>
                <w:lang w:val="en-IE"/>
              </w:rPr>
              <w:t>The performance obligations, technical capability of IT systems etc.  Market participants will want some assurances regarding the sufficiency and robustness of SEMO’s systems</w:t>
            </w:r>
            <w:r w:rsidR="00990179">
              <w:rPr>
                <w:rFonts w:ascii="Times New Roman" w:hAnsi="Times New Roman"/>
                <w:lang w:val="en-IE"/>
              </w:rPr>
              <w:t>.</w:t>
            </w:r>
          </w:p>
          <w:p w:rsidR="00634213" w:rsidRPr="007778D3" w:rsidRDefault="00634213" w:rsidP="00CE1320">
            <w:pPr>
              <w:numPr>
                <w:ilvl w:val="0"/>
                <w:numId w:val="21"/>
              </w:numPr>
              <w:spacing w:before="100" w:after="100"/>
              <w:rPr>
                <w:rFonts w:ascii="Times New Roman" w:hAnsi="Times New Roman"/>
                <w:lang w:val="en-IE"/>
              </w:rPr>
            </w:pPr>
            <w:r w:rsidRPr="007778D3">
              <w:rPr>
                <w:rFonts w:ascii="Times New Roman" w:hAnsi="Times New Roman"/>
                <w:lang w:val="en-IE"/>
              </w:rPr>
              <w:t xml:space="preserve">Protections: Data protection, confidentiality etc.  Market participant will need to have confidence that SEMO’s reporting system are robust from a security point of view.  Current provisions may not be appropriate given this new service that SEMO will be providing. </w:t>
            </w:r>
          </w:p>
          <w:p w:rsidR="00634213" w:rsidRPr="007778D3" w:rsidRDefault="00634213" w:rsidP="00CE1320">
            <w:pPr>
              <w:numPr>
                <w:ilvl w:val="0"/>
                <w:numId w:val="21"/>
              </w:numPr>
              <w:spacing w:before="100" w:after="100"/>
              <w:rPr>
                <w:rFonts w:ascii="Times New Roman" w:hAnsi="Times New Roman"/>
                <w:lang w:val="en-IE"/>
              </w:rPr>
            </w:pPr>
            <w:r w:rsidRPr="007778D3">
              <w:rPr>
                <w:rFonts w:ascii="Times New Roman" w:hAnsi="Times New Roman"/>
                <w:lang w:val="en-IE"/>
              </w:rPr>
              <w:t>Limitation of Liability: Current provision in the Code may not be appropriate since they relate to physical damage only. The current provisions will need to be reviewed to ensure they are suitable for the new funct</w:t>
            </w:r>
            <w:r w:rsidR="00874AB0" w:rsidRPr="007778D3">
              <w:rPr>
                <w:rFonts w:ascii="Times New Roman" w:hAnsi="Times New Roman"/>
                <w:lang w:val="en-IE"/>
              </w:rPr>
              <w:t xml:space="preserve">ion SEMO will be carrying out. </w:t>
            </w:r>
          </w:p>
        </w:tc>
        <w:tc>
          <w:tcPr>
            <w:tcW w:w="5697" w:type="dxa"/>
            <w:tcBorders>
              <w:top w:val="single" w:sz="4" w:space="0" w:color="auto"/>
              <w:bottom w:val="single" w:sz="4" w:space="0" w:color="auto"/>
            </w:tcBorders>
          </w:tcPr>
          <w:p w:rsidR="00CE1320" w:rsidRDefault="00CE1320" w:rsidP="00CE1320">
            <w:pPr>
              <w:pStyle w:val="ListParagraph"/>
              <w:rPr>
                <w:color w:val="FF0000"/>
                <w:lang w:val="en-IE"/>
              </w:rPr>
            </w:pPr>
          </w:p>
          <w:p w:rsidR="00CE1320" w:rsidRDefault="00CE1320" w:rsidP="00C02846">
            <w:pPr>
              <w:pStyle w:val="ListParagraph"/>
              <w:jc w:val="both"/>
              <w:rPr>
                <w:color w:val="FF0000"/>
                <w:lang w:val="en-IE"/>
              </w:rPr>
            </w:pPr>
          </w:p>
          <w:p w:rsidR="00CE1320" w:rsidRDefault="00CE1320" w:rsidP="00C02846">
            <w:pPr>
              <w:pStyle w:val="ListParagraph"/>
              <w:jc w:val="both"/>
              <w:rPr>
                <w:color w:val="FF0000"/>
                <w:lang w:val="en-IE"/>
              </w:rPr>
            </w:pPr>
          </w:p>
          <w:p w:rsidR="00CE1320" w:rsidRDefault="00CE1320" w:rsidP="00C02846">
            <w:pPr>
              <w:pStyle w:val="ListParagraph"/>
              <w:jc w:val="both"/>
              <w:rPr>
                <w:color w:val="FF0000"/>
                <w:lang w:val="en-IE"/>
              </w:rPr>
            </w:pPr>
          </w:p>
          <w:p w:rsidR="009401ED" w:rsidRPr="009F3F67" w:rsidRDefault="009401ED" w:rsidP="00C02846">
            <w:pPr>
              <w:pStyle w:val="ListParagraph"/>
              <w:numPr>
                <w:ilvl w:val="0"/>
                <w:numId w:val="22"/>
              </w:numPr>
              <w:jc w:val="both"/>
              <w:rPr>
                <w:rFonts w:ascii="Times New Roman" w:hAnsi="Times New Roman" w:cstheme="minorBidi"/>
                <w:lang w:val="en-IE"/>
              </w:rPr>
            </w:pPr>
            <w:r w:rsidRPr="009F3F67">
              <w:rPr>
                <w:rFonts w:ascii="Times New Roman" w:hAnsi="Times New Roman" w:cstheme="minorBidi"/>
                <w:lang w:val="en-IE"/>
              </w:rPr>
              <w:t>SEMO will be using the Central Market Systems</w:t>
            </w:r>
            <w:r w:rsidR="00F96634" w:rsidRPr="009F3F67">
              <w:rPr>
                <w:rFonts w:ascii="Times New Roman" w:hAnsi="Times New Roman" w:cstheme="minorBidi"/>
                <w:lang w:val="en-IE"/>
              </w:rPr>
              <w:t xml:space="preserve"> </w:t>
            </w:r>
            <w:r w:rsidR="00990179" w:rsidRPr="009F3F67">
              <w:rPr>
                <w:rFonts w:ascii="Times New Roman" w:hAnsi="Times New Roman" w:cstheme="minorBidi"/>
                <w:lang w:val="en-IE"/>
              </w:rPr>
              <w:t xml:space="preserve">(CMS) to carry out REMIT reporting </w:t>
            </w:r>
            <w:r w:rsidRPr="009F3F67">
              <w:rPr>
                <w:rFonts w:ascii="Times New Roman" w:hAnsi="Times New Roman" w:cstheme="minorBidi"/>
                <w:lang w:val="en-IE"/>
              </w:rPr>
              <w:t xml:space="preserve">so capability of these including robustness will be leveraged from well proven, accepted infrastructure. </w:t>
            </w:r>
          </w:p>
          <w:p w:rsidR="00E572E1" w:rsidRPr="00907E9C" w:rsidRDefault="00E572E1" w:rsidP="00C02846">
            <w:pPr>
              <w:pStyle w:val="ListParagraph"/>
              <w:jc w:val="both"/>
              <w:rPr>
                <w:lang w:val="en-IE"/>
              </w:rPr>
            </w:pPr>
          </w:p>
          <w:p w:rsidR="009401ED" w:rsidRPr="009F3F67" w:rsidRDefault="00F96634" w:rsidP="00C02846">
            <w:pPr>
              <w:pStyle w:val="ListParagraph"/>
              <w:numPr>
                <w:ilvl w:val="0"/>
                <w:numId w:val="22"/>
              </w:numPr>
              <w:jc w:val="both"/>
              <w:rPr>
                <w:rFonts w:ascii="Times New Roman" w:hAnsi="Times New Roman" w:cstheme="minorBidi"/>
                <w:lang w:val="en-IE"/>
              </w:rPr>
            </w:pPr>
            <w:r w:rsidRPr="009F3F67">
              <w:rPr>
                <w:rFonts w:ascii="Times New Roman" w:hAnsi="Times New Roman" w:cstheme="minorBidi"/>
                <w:lang w:val="en-IE"/>
              </w:rPr>
              <w:t>SEMO</w:t>
            </w:r>
            <w:r w:rsidR="009401ED" w:rsidRPr="009F3F67">
              <w:rPr>
                <w:rFonts w:ascii="Times New Roman" w:hAnsi="Times New Roman" w:cstheme="minorBidi"/>
                <w:lang w:val="en-IE"/>
              </w:rPr>
              <w:t xml:space="preserve"> will be using the CMS for storage of data. These are subjected to annual audit and security assessments in the context o</w:t>
            </w:r>
            <w:r w:rsidR="00DB41C1" w:rsidRPr="009F3F67">
              <w:rPr>
                <w:rFonts w:ascii="Times New Roman" w:hAnsi="Times New Roman" w:cstheme="minorBidi"/>
                <w:lang w:val="en-IE"/>
              </w:rPr>
              <w:t>f our obligations under the T&amp;SC</w:t>
            </w:r>
            <w:r w:rsidR="009401ED" w:rsidRPr="009F3F67">
              <w:rPr>
                <w:rFonts w:ascii="Times New Roman" w:hAnsi="Times New Roman" w:cstheme="minorBidi"/>
                <w:lang w:val="en-IE"/>
              </w:rPr>
              <w:t xml:space="preserve">. For the avoidance of doubt, SEMO is not putting in place new systems to cover REMIT. </w:t>
            </w:r>
          </w:p>
          <w:p w:rsidR="00DB41C1" w:rsidRPr="009F3F67" w:rsidRDefault="00DB41C1" w:rsidP="009F3F67">
            <w:pPr>
              <w:pStyle w:val="ListParagraph"/>
              <w:rPr>
                <w:rFonts w:ascii="Times New Roman" w:hAnsi="Times New Roman" w:cstheme="minorBidi"/>
                <w:lang w:val="en-IE"/>
              </w:rPr>
            </w:pPr>
          </w:p>
          <w:p w:rsidR="00DB41C1" w:rsidRPr="009F3F67" w:rsidRDefault="00DB41C1" w:rsidP="009F3F67">
            <w:pPr>
              <w:pStyle w:val="ListParagraph"/>
              <w:rPr>
                <w:rFonts w:ascii="Times New Roman" w:hAnsi="Times New Roman" w:cstheme="minorBidi"/>
                <w:lang w:val="en-IE"/>
              </w:rPr>
            </w:pPr>
          </w:p>
          <w:p w:rsidR="00907E9C" w:rsidRPr="009F3F67" w:rsidRDefault="00907E9C" w:rsidP="00B3664A">
            <w:pPr>
              <w:pStyle w:val="ListParagraph"/>
              <w:numPr>
                <w:ilvl w:val="0"/>
                <w:numId w:val="22"/>
              </w:numPr>
              <w:rPr>
                <w:rFonts w:ascii="Times New Roman" w:hAnsi="Times New Roman" w:cstheme="minorBidi"/>
                <w:lang w:val="en-IE"/>
              </w:rPr>
            </w:pPr>
            <w:r w:rsidRPr="009F3F67">
              <w:rPr>
                <w:rFonts w:ascii="Times New Roman" w:hAnsi="Times New Roman" w:cstheme="minorBidi"/>
                <w:lang w:val="en-IE"/>
              </w:rPr>
              <w:t>Please refer to response to question 1) b).</w:t>
            </w:r>
          </w:p>
          <w:p w:rsidR="00D53B2D" w:rsidRDefault="00D53B2D" w:rsidP="009F3F67">
            <w:pPr>
              <w:rPr>
                <w:rFonts w:ascii="Calibri" w:hAnsi="Calibri" w:cs="Times New Roman"/>
                <w:color w:val="FF0000"/>
                <w:lang w:val="en-IE"/>
              </w:rPr>
            </w:pPr>
          </w:p>
          <w:p w:rsidR="009F3F67" w:rsidRPr="009F3F67" w:rsidRDefault="009F3F67" w:rsidP="009F3F67">
            <w:pPr>
              <w:rPr>
                <w:color w:val="FF0000"/>
                <w:lang w:val="en-IE"/>
              </w:rPr>
            </w:pPr>
          </w:p>
        </w:tc>
      </w:tr>
      <w:tr w:rsidR="00634213" w:rsidRPr="00D0005F" w:rsidTr="00A63065">
        <w:trPr>
          <w:trHeight w:val="633"/>
        </w:trPr>
        <w:tc>
          <w:tcPr>
            <w:tcW w:w="2269" w:type="dxa"/>
            <w:vMerge/>
            <w:shd w:val="clear" w:color="auto" w:fill="E5B8B7" w:themeFill="accent2" w:themeFillTint="66"/>
          </w:tcPr>
          <w:p w:rsidR="00634213" w:rsidRPr="00821147" w:rsidRDefault="00634213" w:rsidP="00634213"/>
        </w:tc>
        <w:tc>
          <w:tcPr>
            <w:tcW w:w="5386" w:type="dxa"/>
            <w:tcBorders>
              <w:top w:val="single" w:sz="4" w:space="0" w:color="auto"/>
              <w:bottom w:val="single" w:sz="4" w:space="0" w:color="auto"/>
            </w:tcBorders>
          </w:tcPr>
          <w:p w:rsidR="00634213" w:rsidRPr="001313E8" w:rsidRDefault="00634213" w:rsidP="001313E8">
            <w:pPr>
              <w:pStyle w:val="ListParagraph"/>
              <w:numPr>
                <w:ilvl w:val="0"/>
                <w:numId w:val="19"/>
              </w:numPr>
              <w:spacing w:before="100" w:after="100"/>
              <w:rPr>
                <w:rFonts w:ascii="Times New Roman" w:hAnsi="Times New Roman"/>
                <w:lang w:val="en-IE"/>
              </w:rPr>
            </w:pPr>
            <w:r w:rsidRPr="001313E8">
              <w:rPr>
                <w:rFonts w:ascii="Times New Roman" w:hAnsi="Times New Roman"/>
                <w:lang w:val="en-IE"/>
              </w:rPr>
              <w:t>ESB GWM considers that a further industry workshop will be required in order to drive out the best solution.  In the mean time ESB GWM will continue to engage wi</w:t>
            </w:r>
            <w:r w:rsidR="00874AB0" w:rsidRPr="001313E8">
              <w:rPr>
                <w:rFonts w:ascii="Times New Roman" w:hAnsi="Times New Roman"/>
                <w:lang w:val="en-IE"/>
              </w:rPr>
              <w:t xml:space="preserve">th SEMO bilaterally.  </w:t>
            </w:r>
          </w:p>
        </w:tc>
        <w:tc>
          <w:tcPr>
            <w:tcW w:w="5697" w:type="dxa"/>
            <w:tcBorders>
              <w:top w:val="single" w:sz="4" w:space="0" w:color="auto"/>
              <w:bottom w:val="single" w:sz="4" w:space="0" w:color="auto"/>
            </w:tcBorders>
          </w:tcPr>
          <w:p w:rsidR="00B767E2" w:rsidRDefault="00B767E2" w:rsidP="00905E04">
            <w:pPr>
              <w:jc w:val="both"/>
              <w:rPr>
                <w:rFonts w:ascii="Times New Roman" w:hAnsi="Times New Roman"/>
                <w:lang w:val="en-GB"/>
              </w:rPr>
            </w:pPr>
            <w:r>
              <w:rPr>
                <w:rFonts w:ascii="Times New Roman" w:hAnsi="Times New Roman"/>
                <w:lang w:val="en-GB"/>
              </w:rPr>
              <w:t>Based on the responses received, S</w:t>
            </w:r>
            <w:r w:rsidR="00905E04">
              <w:rPr>
                <w:rFonts w:ascii="Times New Roman" w:hAnsi="Times New Roman"/>
                <w:lang w:val="en-GB"/>
              </w:rPr>
              <w:t>EMO ha</w:t>
            </w:r>
            <w:r>
              <w:rPr>
                <w:rFonts w:ascii="Times New Roman" w:hAnsi="Times New Roman"/>
                <w:lang w:val="en-GB"/>
              </w:rPr>
              <w:t>s considered a number of solutions</w:t>
            </w:r>
            <w:r w:rsidR="00905E04">
              <w:rPr>
                <w:rFonts w:ascii="Times New Roman" w:hAnsi="Times New Roman"/>
                <w:lang w:val="en-GB"/>
              </w:rPr>
              <w:t xml:space="preserve"> to address legal considerations posed by REMIT reporting</w:t>
            </w:r>
            <w:r w:rsidR="00FB6C21">
              <w:rPr>
                <w:rFonts w:ascii="Times New Roman" w:hAnsi="Times New Roman"/>
                <w:lang w:val="en-GB"/>
              </w:rPr>
              <w:t xml:space="preserve"> requirements. T</w:t>
            </w:r>
            <w:r>
              <w:rPr>
                <w:rFonts w:ascii="Times New Roman" w:hAnsi="Times New Roman"/>
                <w:lang w:val="en-GB"/>
              </w:rPr>
              <w:t>he majorit</w:t>
            </w:r>
            <w:r w:rsidR="00FB6C21">
              <w:rPr>
                <w:rFonts w:ascii="Times New Roman" w:hAnsi="Times New Roman"/>
                <w:lang w:val="en-GB"/>
              </w:rPr>
              <w:t xml:space="preserve">y of responses received favour </w:t>
            </w:r>
            <w:r>
              <w:rPr>
                <w:rFonts w:ascii="Times New Roman" w:hAnsi="Times New Roman"/>
                <w:lang w:val="en-GB"/>
              </w:rPr>
              <w:t>a Modification to the T&amp;SC and SEMO also believes this to be the correct approach for the following reasons:</w:t>
            </w:r>
          </w:p>
          <w:p w:rsidR="00905E04" w:rsidRDefault="00905E04" w:rsidP="00905E04">
            <w:pPr>
              <w:jc w:val="both"/>
              <w:rPr>
                <w:rFonts w:ascii="Times New Roman" w:hAnsi="Times New Roman"/>
                <w:lang w:val="en-GB"/>
              </w:rPr>
            </w:pPr>
            <w:r>
              <w:rPr>
                <w:rFonts w:ascii="Times New Roman" w:hAnsi="Times New Roman"/>
                <w:lang w:val="en-GB"/>
              </w:rPr>
              <w:t xml:space="preserve"> </w:t>
            </w:r>
          </w:p>
          <w:p w:rsidR="002F2CE7" w:rsidRDefault="00A36DF3" w:rsidP="002F2CE7">
            <w:pPr>
              <w:pStyle w:val="ListParagraph"/>
              <w:numPr>
                <w:ilvl w:val="0"/>
                <w:numId w:val="26"/>
              </w:numPr>
              <w:jc w:val="both"/>
              <w:rPr>
                <w:rFonts w:ascii="Times New Roman" w:hAnsi="Times New Roman"/>
                <w:lang w:val="en-GB"/>
              </w:rPr>
            </w:pPr>
            <w:r>
              <w:rPr>
                <w:rFonts w:ascii="Times New Roman" w:hAnsi="Times New Roman"/>
                <w:lang w:val="en-GB"/>
              </w:rPr>
              <w:t xml:space="preserve">All SEM Market Participants are already </w:t>
            </w:r>
            <w:r w:rsidR="005534B7">
              <w:rPr>
                <w:rFonts w:ascii="Times New Roman" w:hAnsi="Times New Roman"/>
                <w:lang w:val="en-GB"/>
              </w:rPr>
              <w:t>acceded to the T&amp;SC</w:t>
            </w:r>
            <w:r>
              <w:rPr>
                <w:rFonts w:ascii="Times New Roman" w:hAnsi="Times New Roman"/>
                <w:lang w:val="en-GB"/>
              </w:rPr>
              <w:t xml:space="preserve"> and thereby accepted the current provisions</w:t>
            </w:r>
            <w:r w:rsidR="00427A35">
              <w:rPr>
                <w:rFonts w:ascii="Times New Roman" w:hAnsi="Times New Roman"/>
                <w:lang w:val="en-GB"/>
              </w:rPr>
              <w:t>.</w:t>
            </w:r>
          </w:p>
          <w:p w:rsidR="002F2CE7" w:rsidRPr="002F2CE7" w:rsidRDefault="002F2CE7" w:rsidP="002F2CE7">
            <w:pPr>
              <w:pStyle w:val="ListParagraph"/>
              <w:numPr>
                <w:ilvl w:val="0"/>
                <w:numId w:val="26"/>
              </w:numPr>
              <w:jc w:val="both"/>
              <w:rPr>
                <w:rFonts w:ascii="Times New Roman" w:hAnsi="Times New Roman"/>
                <w:lang w:val="en-GB"/>
              </w:rPr>
            </w:pPr>
            <w:r>
              <w:rPr>
                <w:rFonts w:ascii="Times New Roman" w:hAnsi="Times New Roman"/>
                <w:lang w:val="en-GB"/>
              </w:rPr>
              <w:t>The specific changes required are to differentiate between Market Participants liability for data submitted to SEMO (section 3.34) and SEMO’s liability as an OMP and RRM to map, transfer and backup CMS data going to ACER for REMIT purposes.</w:t>
            </w:r>
          </w:p>
          <w:p w:rsidR="005534B7" w:rsidRDefault="00A36DF3" w:rsidP="005534B7">
            <w:pPr>
              <w:pStyle w:val="ListParagraph"/>
              <w:numPr>
                <w:ilvl w:val="0"/>
                <w:numId w:val="26"/>
              </w:numPr>
              <w:jc w:val="both"/>
              <w:rPr>
                <w:rFonts w:ascii="Times New Roman" w:hAnsi="Times New Roman"/>
                <w:lang w:val="en-GB"/>
              </w:rPr>
            </w:pPr>
            <w:r>
              <w:rPr>
                <w:rFonts w:ascii="Times New Roman" w:hAnsi="Times New Roman"/>
                <w:lang w:val="en-GB"/>
              </w:rPr>
              <w:t>T</w:t>
            </w:r>
            <w:r w:rsidR="005534B7">
              <w:rPr>
                <w:rFonts w:ascii="Times New Roman" w:hAnsi="Times New Roman"/>
                <w:lang w:val="en-GB"/>
              </w:rPr>
              <w:t>o amend the current provisions in the T&amp;SC will ensure that already agreed provisions for data security, confidentiality,</w:t>
            </w:r>
            <w:r>
              <w:rPr>
                <w:rFonts w:ascii="Times New Roman" w:hAnsi="Times New Roman"/>
                <w:lang w:val="en-GB"/>
              </w:rPr>
              <w:t xml:space="preserve"> </w:t>
            </w:r>
            <w:r w:rsidR="005534B7">
              <w:rPr>
                <w:rFonts w:ascii="Times New Roman" w:hAnsi="Times New Roman"/>
                <w:lang w:val="en-GB"/>
              </w:rPr>
              <w:t xml:space="preserve">data provision </w:t>
            </w:r>
            <w:r w:rsidR="00427A35">
              <w:rPr>
                <w:rFonts w:ascii="Times New Roman" w:hAnsi="Times New Roman"/>
                <w:lang w:val="en-GB"/>
              </w:rPr>
              <w:t xml:space="preserve">(3.34 for example) </w:t>
            </w:r>
            <w:r w:rsidR="005534B7">
              <w:rPr>
                <w:rFonts w:ascii="Times New Roman" w:hAnsi="Times New Roman"/>
                <w:lang w:val="en-GB"/>
              </w:rPr>
              <w:t>will be applied and will only be amended where necessary</w:t>
            </w:r>
            <w:r w:rsidR="00A310C9">
              <w:rPr>
                <w:rFonts w:ascii="Times New Roman" w:hAnsi="Times New Roman"/>
                <w:lang w:val="en-GB"/>
              </w:rPr>
              <w:t xml:space="preserve"> to incorporate REMIT t</w:t>
            </w:r>
            <w:r>
              <w:rPr>
                <w:rFonts w:ascii="Times New Roman" w:hAnsi="Times New Roman"/>
                <w:lang w:val="en-GB"/>
              </w:rPr>
              <w:t>ransactions</w:t>
            </w:r>
            <w:r w:rsidR="005534B7">
              <w:rPr>
                <w:rFonts w:ascii="Times New Roman" w:hAnsi="Times New Roman"/>
                <w:lang w:val="en-GB"/>
              </w:rPr>
              <w:t>.</w:t>
            </w:r>
          </w:p>
          <w:p w:rsidR="005534B7" w:rsidRDefault="005534B7" w:rsidP="005534B7">
            <w:pPr>
              <w:pStyle w:val="ListParagraph"/>
              <w:numPr>
                <w:ilvl w:val="0"/>
                <w:numId w:val="26"/>
              </w:numPr>
              <w:jc w:val="both"/>
              <w:rPr>
                <w:rFonts w:ascii="Times New Roman" w:hAnsi="Times New Roman"/>
                <w:lang w:val="en-GB"/>
              </w:rPr>
            </w:pPr>
            <w:r w:rsidRPr="005534B7">
              <w:rPr>
                <w:rFonts w:ascii="Times New Roman" w:hAnsi="Times New Roman"/>
                <w:lang w:val="en-GB"/>
              </w:rPr>
              <w:t xml:space="preserve">In turn this should fit with the </w:t>
            </w:r>
            <w:r>
              <w:rPr>
                <w:rFonts w:ascii="Times New Roman" w:hAnsi="Times New Roman"/>
                <w:lang w:val="en-GB"/>
              </w:rPr>
              <w:t>SEMO’s approach to offering a least cost</w:t>
            </w:r>
            <w:r w:rsidRPr="005534B7">
              <w:rPr>
                <w:rFonts w:ascii="Times New Roman" w:hAnsi="Times New Roman"/>
                <w:lang w:val="en-GB"/>
              </w:rPr>
              <w:t xml:space="preserve"> </w:t>
            </w:r>
            <w:r w:rsidR="002F2CE7">
              <w:rPr>
                <w:rFonts w:ascii="Times New Roman" w:hAnsi="Times New Roman"/>
                <w:lang w:val="en-GB"/>
              </w:rPr>
              <w:t xml:space="preserve">minimum impact </w:t>
            </w:r>
            <w:r w:rsidRPr="005534B7">
              <w:rPr>
                <w:rFonts w:ascii="Times New Roman" w:hAnsi="Times New Roman"/>
                <w:lang w:val="en-GB"/>
              </w:rPr>
              <w:t>solution</w:t>
            </w:r>
            <w:r>
              <w:rPr>
                <w:rFonts w:ascii="Times New Roman" w:hAnsi="Times New Roman"/>
                <w:lang w:val="en-GB"/>
              </w:rPr>
              <w:t xml:space="preserve"> for REMIT reporting</w:t>
            </w:r>
          </w:p>
          <w:p w:rsidR="00905E04" w:rsidRPr="009F3F67" w:rsidRDefault="002F2CE7" w:rsidP="00905E04">
            <w:pPr>
              <w:pStyle w:val="ListParagraph"/>
              <w:numPr>
                <w:ilvl w:val="0"/>
                <w:numId w:val="26"/>
              </w:numPr>
              <w:jc w:val="both"/>
              <w:rPr>
                <w:rFonts w:ascii="Times New Roman" w:hAnsi="Times New Roman"/>
                <w:lang w:val="en-GB"/>
              </w:rPr>
            </w:pPr>
            <w:r w:rsidRPr="009F3F67">
              <w:rPr>
                <w:rFonts w:ascii="Times New Roman" w:hAnsi="Times New Roman"/>
                <w:lang w:val="en-GB"/>
              </w:rPr>
              <w:t>Incorporating these changes into the T&amp;SC will ensure consideration for I-SEM.</w:t>
            </w:r>
          </w:p>
          <w:p w:rsidR="008450BE" w:rsidRPr="005B32C1" w:rsidRDefault="008450BE" w:rsidP="005B32C1">
            <w:pPr>
              <w:jc w:val="both"/>
              <w:rPr>
                <w:rFonts w:ascii="Times New Roman" w:hAnsi="Times New Roman"/>
                <w:lang w:val="en-IE"/>
              </w:rPr>
            </w:pPr>
          </w:p>
        </w:tc>
      </w:tr>
      <w:tr w:rsidR="00634213" w:rsidRPr="00D0005F" w:rsidTr="00A63065">
        <w:trPr>
          <w:trHeight w:val="446"/>
        </w:trPr>
        <w:tc>
          <w:tcPr>
            <w:tcW w:w="2269" w:type="dxa"/>
            <w:vMerge/>
            <w:shd w:val="clear" w:color="auto" w:fill="E5B8B7" w:themeFill="accent2" w:themeFillTint="66"/>
          </w:tcPr>
          <w:p w:rsidR="00634213" w:rsidRPr="00821147" w:rsidRDefault="00634213" w:rsidP="00634213"/>
        </w:tc>
        <w:tc>
          <w:tcPr>
            <w:tcW w:w="5386" w:type="dxa"/>
            <w:tcBorders>
              <w:top w:val="single" w:sz="4" w:space="0" w:color="auto"/>
              <w:bottom w:val="single" w:sz="4" w:space="0" w:color="auto"/>
            </w:tcBorders>
          </w:tcPr>
          <w:p w:rsidR="00634213" w:rsidRPr="001313E8" w:rsidRDefault="00634213" w:rsidP="001313E8">
            <w:pPr>
              <w:pStyle w:val="ListParagraph"/>
              <w:numPr>
                <w:ilvl w:val="0"/>
                <w:numId w:val="19"/>
              </w:numPr>
              <w:spacing w:before="100" w:after="100"/>
              <w:rPr>
                <w:rFonts w:ascii="Times New Roman" w:hAnsi="Times New Roman"/>
                <w:lang w:val="en-IE"/>
              </w:rPr>
            </w:pPr>
            <w:r w:rsidRPr="001313E8">
              <w:rPr>
                <w:rFonts w:ascii="Times New Roman" w:hAnsi="Times New Roman"/>
                <w:lang w:val="en-IE"/>
              </w:rPr>
              <w:t>On a separate but related matter, ESB GWM considers that there may be merit in the establishment of a centralised platform for the publication of all outage information.  A centralised platform will allow for the timely and effective publication of such information in line with REMIT requirements.  ESB GWM understands that Elexon developed such a tool for the BETTA market, and that this development was brought about via a modification to the equivalent T&amp;SC in BETTA.  Have SEMO consid</w:t>
            </w:r>
            <w:r w:rsidR="00874AB0" w:rsidRPr="001313E8">
              <w:rPr>
                <w:rFonts w:ascii="Times New Roman" w:hAnsi="Times New Roman"/>
                <w:lang w:val="en-IE"/>
              </w:rPr>
              <w:t xml:space="preserve">ered such a platform for SEM?  </w:t>
            </w:r>
          </w:p>
        </w:tc>
        <w:tc>
          <w:tcPr>
            <w:tcW w:w="5697" w:type="dxa"/>
            <w:tcBorders>
              <w:top w:val="single" w:sz="4" w:space="0" w:color="auto"/>
              <w:bottom w:val="single" w:sz="4" w:space="0" w:color="auto"/>
            </w:tcBorders>
          </w:tcPr>
          <w:p w:rsidR="0034669D" w:rsidRPr="0034669D" w:rsidRDefault="00CC0021" w:rsidP="000918E8">
            <w:pPr>
              <w:shd w:val="clear" w:color="auto" w:fill="FFFFFF"/>
              <w:jc w:val="both"/>
              <w:rPr>
                <w:rFonts w:ascii="Times New Roman" w:hAnsi="Times New Roman" w:cs="Times New Roman"/>
                <w:lang w:val="en-IE"/>
              </w:rPr>
            </w:pPr>
            <w:r>
              <w:rPr>
                <w:rFonts w:ascii="Times New Roman" w:hAnsi="Times New Roman" w:cs="Times New Roman"/>
                <w:lang w:val="en-IE"/>
              </w:rPr>
              <w:t>A</w:t>
            </w:r>
            <w:r w:rsidRPr="0034669D">
              <w:rPr>
                <w:rFonts w:ascii="Times New Roman" w:hAnsi="Times New Roman" w:cs="Times New Roman"/>
                <w:lang w:val="en-IE"/>
              </w:rPr>
              <w:t xml:space="preserve">s part of the </w:t>
            </w:r>
            <w:r>
              <w:rPr>
                <w:rFonts w:ascii="Times New Roman" w:hAnsi="Times New Roman" w:cs="Times New Roman"/>
                <w:lang w:val="en-IE"/>
              </w:rPr>
              <w:t xml:space="preserve">SEM </w:t>
            </w:r>
            <w:r w:rsidRPr="0034669D">
              <w:rPr>
                <w:rFonts w:ascii="Times New Roman" w:hAnsi="Times New Roman" w:cs="Times New Roman"/>
                <w:lang w:val="en-IE"/>
              </w:rPr>
              <w:t>REMIT scope</w:t>
            </w:r>
            <w:r>
              <w:rPr>
                <w:rFonts w:ascii="Times New Roman" w:hAnsi="Times New Roman" w:cs="Times New Roman"/>
                <w:lang w:val="en-IE"/>
              </w:rPr>
              <w:t xml:space="preserve"> for transaction reporting</w:t>
            </w:r>
            <w:r w:rsidRPr="0034669D">
              <w:rPr>
                <w:rFonts w:ascii="Times New Roman" w:hAnsi="Times New Roman" w:cs="Times New Roman"/>
                <w:lang w:val="en-IE"/>
              </w:rPr>
              <w:t xml:space="preserve"> </w:t>
            </w:r>
            <w:r>
              <w:rPr>
                <w:rFonts w:ascii="Times New Roman" w:hAnsi="Times New Roman" w:cs="Times New Roman"/>
                <w:lang w:val="en-IE"/>
              </w:rPr>
              <w:t>we can confirm that t</w:t>
            </w:r>
            <w:r w:rsidR="0034669D" w:rsidRPr="0034669D">
              <w:rPr>
                <w:rFonts w:ascii="Times New Roman" w:hAnsi="Times New Roman" w:cs="Times New Roman"/>
                <w:lang w:val="en-IE"/>
              </w:rPr>
              <w:t>here are no plans for SEMO to introduce a centrali</w:t>
            </w:r>
            <w:r w:rsidR="001055EF">
              <w:rPr>
                <w:rFonts w:ascii="Times New Roman" w:hAnsi="Times New Roman" w:cs="Times New Roman"/>
                <w:lang w:val="en-IE"/>
              </w:rPr>
              <w:t>sed platform to publish outages as this data is not used in the CMS.</w:t>
            </w:r>
          </w:p>
          <w:p w:rsidR="0034669D" w:rsidRPr="0034669D" w:rsidRDefault="0034669D" w:rsidP="000918E8">
            <w:pPr>
              <w:shd w:val="clear" w:color="auto" w:fill="FFFFFF"/>
              <w:jc w:val="both"/>
              <w:rPr>
                <w:rFonts w:ascii="Times New Roman" w:hAnsi="Times New Roman" w:cs="Times New Roman"/>
                <w:lang w:val="en-IE"/>
              </w:rPr>
            </w:pPr>
          </w:p>
          <w:p w:rsidR="0034669D" w:rsidRDefault="00CC0021" w:rsidP="000918E8">
            <w:pPr>
              <w:shd w:val="clear" w:color="auto" w:fill="FFFFFF"/>
              <w:jc w:val="both"/>
              <w:rPr>
                <w:rFonts w:ascii="Times New Roman" w:hAnsi="Times New Roman" w:cs="Times New Roman"/>
                <w:lang w:val="en-IE"/>
              </w:rPr>
            </w:pPr>
            <w:r>
              <w:rPr>
                <w:rFonts w:ascii="Times New Roman" w:hAnsi="Times New Roman" w:cs="Times New Roman"/>
                <w:lang w:val="en-IE"/>
              </w:rPr>
              <w:t>As outages fall under the f</w:t>
            </w:r>
            <w:r w:rsidR="0034669D">
              <w:rPr>
                <w:rFonts w:ascii="Times New Roman" w:hAnsi="Times New Roman" w:cs="Times New Roman"/>
                <w:lang w:val="en-IE"/>
              </w:rPr>
              <w:t xml:space="preserve">undamental data </w:t>
            </w:r>
            <w:r>
              <w:rPr>
                <w:rFonts w:ascii="Times New Roman" w:hAnsi="Times New Roman" w:cs="Times New Roman"/>
                <w:lang w:val="en-IE"/>
              </w:rPr>
              <w:t xml:space="preserve">category this query has </w:t>
            </w:r>
            <w:r w:rsidRPr="00BF3D13">
              <w:rPr>
                <w:rFonts w:ascii="Times New Roman" w:hAnsi="Times New Roman" w:cs="Times New Roman"/>
                <w:lang w:val="en-IE"/>
              </w:rPr>
              <w:t>been passed</w:t>
            </w:r>
            <w:r w:rsidR="0034669D" w:rsidRPr="00BF3D13">
              <w:rPr>
                <w:rFonts w:ascii="Times New Roman" w:hAnsi="Times New Roman" w:cs="Times New Roman"/>
                <w:lang w:val="en-IE"/>
              </w:rPr>
              <w:t xml:space="preserve"> to the TSO and I-SEM for consideration</w:t>
            </w:r>
            <w:r w:rsidR="000918E8" w:rsidRPr="00BF3D13">
              <w:rPr>
                <w:rFonts w:ascii="Times New Roman" w:hAnsi="Times New Roman" w:cs="Times New Roman"/>
                <w:lang w:val="en-IE"/>
              </w:rPr>
              <w:t xml:space="preserve"> and</w:t>
            </w:r>
            <w:r w:rsidR="00365D29" w:rsidRPr="00BF3D13">
              <w:rPr>
                <w:rFonts w:ascii="Times New Roman" w:hAnsi="Times New Roman" w:cs="Times New Roman"/>
                <w:lang w:val="en-IE"/>
              </w:rPr>
              <w:t xml:space="preserve"> will need to be driven </w:t>
            </w:r>
            <w:r w:rsidR="00BF3D13" w:rsidRPr="00BF3D13">
              <w:rPr>
                <w:rFonts w:ascii="Times New Roman" w:hAnsi="Times New Roman" w:cs="Times New Roman"/>
                <w:lang w:val="en-IE"/>
              </w:rPr>
              <w:t xml:space="preserve">by the interested party </w:t>
            </w:r>
            <w:r w:rsidR="00365D29" w:rsidRPr="00BF3D13">
              <w:rPr>
                <w:rFonts w:ascii="Times New Roman" w:hAnsi="Times New Roman" w:cs="Times New Roman"/>
                <w:lang w:val="en-IE"/>
              </w:rPr>
              <w:t>in that conte</w:t>
            </w:r>
            <w:r w:rsidR="000918E8" w:rsidRPr="00BF3D13">
              <w:rPr>
                <w:rFonts w:ascii="Times New Roman" w:hAnsi="Times New Roman" w:cs="Times New Roman"/>
                <w:lang w:val="en-IE"/>
              </w:rPr>
              <w:t>xt if it is to be progressed any</w:t>
            </w:r>
            <w:r w:rsidR="00365D29" w:rsidRPr="00BF3D13">
              <w:rPr>
                <w:rFonts w:ascii="Times New Roman" w:hAnsi="Times New Roman" w:cs="Times New Roman"/>
                <w:lang w:val="en-IE"/>
              </w:rPr>
              <w:t xml:space="preserve"> further</w:t>
            </w:r>
            <w:r w:rsidR="0034669D" w:rsidRPr="00BF3D13">
              <w:rPr>
                <w:rFonts w:ascii="Times New Roman" w:hAnsi="Times New Roman" w:cs="Times New Roman"/>
                <w:lang w:val="en-IE"/>
              </w:rPr>
              <w:t>.</w:t>
            </w:r>
          </w:p>
          <w:p w:rsidR="00634213" w:rsidRPr="00DE26D1" w:rsidRDefault="00634213" w:rsidP="001055EF">
            <w:pPr>
              <w:rPr>
                <w:rFonts w:ascii="Times New Roman" w:hAnsi="Times New Roman" w:cs="Times New Roman"/>
                <w:lang w:val="en-IE"/>
              </w:rPr>
            </w:pPr>
          </w:p>
        </w:tc>
      </w:tr>
      <w:tr w:rsidR="004A0FEE" w:rsidRPr="00634213" w:rsidTr="00A63065">
        <w:trPr>
          <w:trHeight w:val="657"/>
        </w:trPr>
        <w:tc>
          <w:tcPr>
            <w:tcW w:w="2269" w:type="dxa"/>
            <w:vMerge w:val="restart"/>
            <w:shd w:val="clear" w:color="auto" w:fill="BFBFBF" w:themeFill="background1" w:themeFillShade="BF"/>
          </w:tcPr>
          <w:p w:rsidR="004A0FEE" w:rsidRPr="00634213" w:rsidRDefault="004A0FEE" w:rsidP="00676ACF">
            <w:pPr>
              <w:pStyle w:val="ListParagraph"/>
              <w:numPr>
                <w:ilvl w:val="0"/>
                <w:numId w:val="15"/>
              </w:numPr>
            </w:pPr>
            <w:r w:rsidRPr="00634213">
              <w:t>Bord Gáis</w:t>
            </w:r>
            <w:r w:rsidR="00634213" w:rsidRPr="00634213">
              <w:t xml:space="preserve"> 30/06/2015</w:t>
            </w:r>
          </w:p>
          <w:p w:rsidR="004A0FEE" w:rsidRPr="00634213" w:rsidRDefault="004A0FEE" w:rsidP="004A0FEE">
            <w:pPr>
              <w:rPr>
                <w:highlight w:val="yellow"/>
              </w:rPr>
            </w:pPr>
            <w:r w:rsidRPr="00BF3D13">
              <w:t>(After Mods meeting 62)</w:t>
            </w:r>
          </w:p>
        </w:tc>
        <w:tc>
          <w:tcPr>
            <w:tcW w:w="5386" w:type="dxa"/>
            <w:tcBorders>
              <w:bottom w:val="single" w:sz="4" w:space="0" w:color="auto"/>
            </w:tcBorders>
          </w:tcPr>
          <w:p w:rsidR="004A0FEE" w:rsidRPr="001313E8" w:rsidRDefault="00634213" w:rsidP="001313E8">
            <w:pPr>
              <w:pStyle w:val="ListParagraph"/>
              <w:numPr>
                <w:ilvl w:val="0"/>
                <w:numId w:val="20"/>
              </w:numPr>
              <w:spacing w:before="100" w:after="100"/>
              <w:rPr>
                <w:rFonts w:ascii="Times New Roman" w:hAnsi="Times New Roman"/>
                <w:lang w:val="en-IE"/>
              </w:rPr>
            </w:pPr>
            <w:r w:rsidRPr="001313E8">
              <w:rPr>
                <w:rFonts w:ascii="Times New Roman" w:hAnsi="Times New Roman"/>
                <w:lang w:val="en-IE"/>
              </w:rPr>
              <w:t>Further to the most recent Mods Committee and the request for feedback on the REMIT Mod, BGE’s comments remains as circulated to you on the 15</w:t>
            </w:r>
            <w:r w:rsidRPr="001313E8">
              <w:rPr>
                <w:rFonts w:ascii="Times New Roman" w:hAnsi="Times New Roman"/>
                <w:vertAlign w:val="superscript"/>
                <w:lang w:val="en-IE"/>
              </w:rPr>
              <w:t>th</w:t>
            </w:r>
            <w:r w:rsidRPr="001313E8">
              <w:rPr>
                <w:rFonts w:ascii="Times New Roman" w:hAnsi="Times New Roman"/>
                <w:lang w:val="en-IE"/>
              </w:rPr>
              <w:t xml:space="preserve"> June. Regarding the best way to progress this, it is our view that a working group is the best way to progress this in light of the October deadline.</w:t>
            </w:r>
          </w:p>
        </w:tc>
        <w:tc>
          <w:tcPr>
            <w:tcW w:w="5697" w:type="dxa"/>
            <w:tcBorders>
              <w:bottom w:val="single" w:sz="4" w:space="0" w:color="auto"/>
            </w:tcBorders>
          </w:tcPr>
          <w:p w:rsidR="004A0FEE" w:rsidRPr="00F96634" w:rsidRDefault="00365D29" w:rsidP="00F96634">
            <w:pPr>
              <w:spacing w:before="100" w:after="100"/>
              <w:jc w:val="both"/>
              <w:rPr>
                <w:rFonts w:ascii="Times New Roman" w:hAnsi="Times New Roman" w:cs="Times New Roman"/>
                <w:b/>
                <w:i/>
                <w:lang w:val="en-GB"/>
              </w:rPr>
            </w:pPr>
            <w:r>
              <w:rPr>
                <w:rFonts w:ascii="Times New Roman" w:hAnsi="Times New Roman"/>
                <w:lang w:val="en-GB"/>
              </w:rPr>
              <w:t>Please ref</w:t>
            </w:r>
            <w:r w:rsidR="00BF3D13">
              <w:rPr>
                <w:rFonts w:ascii="Times New Roman" w:hAnsi="Times New Roman"/>
                <w:lang w:val="en-GB"/>
              </w:rPr>
              <w:t>er to response to question 2)</w:t>
            </w:r>
            <w:r>
              <w:rPr>
                <w:rFonts w:ascii="Times New Roman" w:hAnsi="Times New Roman"/>
                <w:lang w:val="en-GB"/>
              </w:rPr>
              <w:t>.</w:t>
            </w:r>
          </w:p>
        </w:tc>
      </w:tr>
      <w:tr w:rsidR="004A0FEE" w:rsidRPr="00D0005F" w:rsidTr="00A63065">
        <w:trPr>
          <w:trHeight w:val="1156"/>
        </w:trPr>
        <w:tc>
          <w:tcPr>
            <w:tcW w:w="2269" w:type="dxa"/>
            <w:vMerge/>
            <w:shd w:val="clear" w:color="auto" w:fill="BFBFBF" w:themeFill="background1" w:themeFillShade="BF"/>
          </w:tcPr>
          <w:p w:rsidR="004A0FEE" w:rsidRPr="00821147" w:rsidRDefault="004A0FEE" w:rsidP="004A0FEE"/>
        </w:tc>
        <w:tc>
          <w:tcPr>
            <w:tcW w:w="5386" w:type="dxa"/>
            <w:tcBorders>
              <w:top w:val="single" w:sz="4" w:space="0" w:color="auto"/>
              <w:bottom w:val="single" w:sz="4" w:space="0" w:color="auto"/>
            </w:tcBorders>
          </w:tcPr>
          <w:p w:rsidR="00634213" w:rsidRPr="001313E8" w:rsidRDefault="00634213" w:rsidP="001313E8">
            <w:pPr>
              <w:pStyle w:val="ListParagraph"/>
              <w:numPr>
                <w:ilvl w:val="0"/>
                <w:numId w:val="20"/>
              </w:numPr>
              <w:spacing w:before="100" w:after="100"/>
              <w:rPr>
                <w:rFonts w:ascii="Times New Roman" w:hAnsi="Times New Roman"/>
                <w:lang w:val="en-IE"/>
              </w:rPr>
            </w:pPr>
            <w:r w:rsidRPr="001313E8">
              <w:rPr>
                <w:rFonts w:ascii="Times New Roman" w:hAnsi="Times New Roman"/>
                <w:lang w:val="en-IE"/>
              </w:rPr>
              <w:t xml:space="preserve">To recap, </w:t>
            </w:r>
            <w:r w:rsidRPr="001313E8">
              <w:rPr>
                <w:rFonts w:ascii="Times New Roman" w:hAnsi="Times New Roman"/>
                <w:b/>
                <w:bCs/>
                <w:lang w:val="en-IE"/>
              </w:rPr>
              <w:t>BGE’s view on Mod_06_15 REMIT Modification Proposal</w:t>
            </w:r>
            <w:r w:rsidRPr="001313E8">
              <w:rPr>
                <w:rFonts w:ascii="Times New Roman" w:hAnsi="Times New Roman"/>
                <w:lang w:val="en-IE"/>
              </w:rPr>
              <w:t xml:space="preserve"> is: </w:t>
            </w:r>
          </w:p>
          <w:p w:rsidR="004A0FEE" w:rsidRPr="007778D3" w:rsidRDefault="00634213" w:rsidP="00CA6AFC">
            <w:pPr>
              <w:spacing w:before="100" w:after="100"/>
              <w:ind w:left="720"/>
              <w:rPr>
                <w:rFonts w:ascii="Times New Roman" w:hAnsi="Times New Roman"/>
                <w:lang w:val="en-IE"/>
              </w:rPr>
            </w:pPr>
            <w:r w:rsidRPr="007778D3">
              <w:rPr>
                <w:rFonts w:ascii="Times New Roman" w:hAnsi="Times New Roman"/>
                <w:lang w:val="en-IE"/>
              </w:rPr>
              <w:t xml:space="preserve">BGE accepts the approach of modifying the T&amp;SC instead of a bilateral agreement for establishing reporting channels for organised market places. We would however welcome further discussion on the “simplified request” procedure that SEMO will require each market participant to complete if it wishes SEMO to report data on its behalf. </w:t>
            </w:r>
          </w:p>
        </w:tc>
        <w:tc>
          <w:tcPr>
            <w:tcW w:w="5697" w:type="dxa"/>
            <w:tcBorders>
              <w:top w:val="single" w:sz="4" w:space="0" w:color="auto"/>
              <w:bottom w:val="single" w:sz="4" w:space="0" w:color="auto"/>
            </w:tcBorders>
          </w:tcPr>
          <w:p w:rsidR="004A0FEE" w:rsidRPr="00DE26D1" w:rsidRDefault="00BF3D13" w:rsidP="00967609">
            <w:pPr>
              <w:pStyle w:val="ListParagraph"/>
              <w:spacing w:before="100" w:after="100"/>
              <w:ind w:left="0"/>
              <w:jc w:val="both"/>
              <w:rPr>
                <w:rFonts w:ascii="Times New Roman" w:hAnsi="Times New Roman"/>
                <w:lang w:val="en-GB"/>
              </w:rPr>
            </w:pPr>
            <w:r>
              <w:rPr>
                <w:rFonts w:ascii="Times New Roman" w:hAnsi="Times New Roman"/>
                <w:lang w:val="en-GB"/>
              </w:rPr>
              <w:t>Please refer to response to question 1) a).</w:t>
            </w:r>
          </w:p>
        </w:tc>
      </w:tr>
      <w:tr w:rsidR="004A0FEE" w:rsidRPr="00D0005F" w:rsidTr="00A63065">
        <w:trPr>
          <w:trHeight w:val="668"/>
        </w:trPr>
        <w:tc>
          <w:tcPr>
            <w:tcW w:w="2269" w:type="dxa"/>
            <w:vMerge/>
            <w:shd w:val="clear" w:color="auto" w:fill="BFBFBF" w:themeFill="background1" w:themeFillShade="BF"/>
          </w:tcPr>
          <w:p w:rsidR="004A0FEE" w:rsidRPr="00821147" w:rsidRDefault="004A0FEE" w:rsidP="004A0FEE"/>
        </w:tc>
        <w:tc>
          <w:tcPr>
            <w:tcW w:w="5386" w:type="dxa"/>
            <w:tcBorders>
              <w:top w:val="single" w:sz="4" w:space="0" w:color="auto"/>
              <w:bottom w:val="single" w:sz="4" w:space="0" w:color="auto"/>
            </w:tcBorders>
          </w:tcPr>
          <w:p w:rsidR="004A0FEE" w:rsidRPr="001313E8" w:rsidRDefault="00634213" w:rsidP="001313E8">
            <w:pPr>
              <w:pStyle w:val="ListParagraph"/>
              <w:numPr>
                <w:ilvl w:val="0"/>
                <w:numId w:val="20"/>
              </w:numPr>
              <w:spacing w:before="100" w:after="100"/>
              <w:rPr>
                <w:rFonts w:ascii="Times New Roman" w:hAnsi="Times New Roman"/>
                <w:lang w:val="en-IE"/>
              </w:rPr>
            </w:pPr>
            <w:r w:rsidRPr="001313E8">
              <w:rPr>
                <w:rFonts w:ascii="Times New Roman" w:hAnsi="Times New Roman"/>
                <w:lang w:val="en-IE"/>
              </w:rPr>
              <w:t>BGE is not in agreement with the proposed limitation of liability as outlined in the Mod. In BGE’s view SEMO should be fully liable for any reported data errors or omissions at least until such time that a market participant is able to validate the correctness etc. of its own data either pre or post its submission. The only exception for this may be for market participant identification information and codes that are outside of its control, unless SEMO has received the correct information and codes from the market participant but actually reported it incorrectly. Support for the above view is in BGE’s opinion provided for in the REMIT Implementing Acts. Under Article 11 thereof, in instances where the market participant is reporting through a third party such as an organised market place, the market participant’s obligation is solely to “take reasonable steps to verify the completeness, accuracy and timeliness of the data which they submit through third parties” (Article 11(1)). Without an ability to pre or post validate the information SEMO will report on its behalf, a market participant will be inhibited from carrying out such reasonable steps.  Importantly, where that market participant is submitting data through a third party, the market participant “shall not be responsible for failures in the completeness, accuracy or timely submission of the data which are attributable to the third party. In those cases the third party shall be responsible for those failures.” Furthermore, Recital 10 of the REMIT Implementing Acts states that “the reporting parties should comply with basic requirements in relation to their ability to authenticate data sources, check data for correctness and completeness and to ensure business continuity”. ACER will assess reporting parties compliance with these requirements but “ensure a proportionate treatment of professional third parties handling market participants' data and market participants reporting their own data”. The above provisions in our view clarify that ACER believes a level of responsibility for the completeness, accuracy and timeliness of data is attributable to the organised market place as a third party reporter. This level of responsibility must remain with SEMO at least until market participants are in a position to validate their submitted data.</w:t>
            </w:r>
          </w:p>
        </w:tc>
        <w:tc>
          <w:tcPr>
            <w:tcW w:w="5697" w:type="dxa"/>
            <w:tcBorders>
              <w:top w:val="single" w:sz="4" w:space="0" w:color="auto"/>
              <w:bottom w:val="single" w:sz="4" w:space="0" w:color="auto"/>
            </w:tcBorders>
          </w:tcPr>
          <w:p w:rsidR="004A0FEE" w:rsidRPr="00DE26D1" w:rsidRDefault="00365D29" w:rsidP="004A0FEE">
            <w:pPr>
              <w:pStyle w:val="ListParagraph"/>
              <w:spacing w:before="100" w:after="100"/>
              <w:ind w:left="0"/>
              <w:jc w:val="both"/>
              <w:rPr>
                <w:rFonts w:ascii="Times New Roman" w:hAnsi="Times New Roman"/>
                <w:lang w:val="en-GB"/>
              </w:rPr>
            </w:pPr>
            <w:r>
              <w:rPr>
                <w:rFonts w:ascii="Times New Roman" w:hAnsi="Times New Roman"/>
                <w:lang w:val="en-GB"/>
              </w:rPr>
              <w:t>Please refer to response to question 1) b).</w:t>
            </w:r>
          </w:p>
        </w:tc>
      </w:tr>
    </w:tbl>
    <w:p w:rsidR="00D10B66" w:rsidRDefault="00D10B66" w:rsidP="00874AB0"/>
    <w:sectPr w:rsidR="00D10B66" w:rsidSect="008A6022">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448" w:rsidRDefault="002D0448" w:rsidP="006E364D">
      <w:pPr>
        <w:spacing w:after="0" w:line="240" w:lineRule="auto"/>
      </w:pPr>
      <w:r>
        <w:separator/>
      </w:r>
    </w:p>
  </w:endnote>
  <w:endnote w:type="continuationSeparator" w:id="0">
    <w:p w:rsidR="002D0448" w:rsidRDefault="002D0448" w:rsidP="006E3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448" w:rsidRDefault="002D0448" w:rsidP="006E364D">
      <w:pPr>
        <w:spacing w:after="0" w:line="240" w:lineRule="auto"/>
      </w:pPr>
      <w:r>
        <w:separator/>
      </w:r>
    </w:p>
  </w:footnote>
  <w:footnote w:type="continuationSeparator" w:id="0">
    <w:p w:rsidR="002D0448" w:rsidRDefault="002D0448" w:rsidP="006E3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297B"/>
    <w:multiLevelType w:val="hybridMultilevel"/>
    <w:tmpl w:val="2DBE40EA"/>
    <w:lvl w:ilvl="0" w:tplc="04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16031573"/>
    <w:multiLevelType w:val="hybridMultilevel"/>
    <w:tmpl w:val="46C2151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1E153681"/>
    <w:multiLevelType w:val="hybridMultilevel"/>
    <w:tmpl w:val="58DA1B20"/>
    <w:lvl w:ilvl="0" w:tplc="04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10864FA"/>
    <w:multiLevelType w:val="hybridMultilevel"/>
    <w:tmpl w:val="4950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71D26"/>
    <w:multiLevelType w:val="hybridMultilevel"/>
    <w:tmpl w:val="ED48A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0789C"/>
    <w:multiLevelType w:val="hybridMultilevel"/>
    <w:tmpl w:val="AF98CB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301F583D"/>
    <w:multiLevelType w:val="hybridMultilevel"/>
    <w:tmpl w:val="C2BAF4C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451565F"/>
    <w:multiLevelType w:val="hybridMultilevel"/>
    <w:tmpl w:val="91FE4F82"/>
    <w:lvl w:ilvl="0" w:tplc="04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5F6257"/>
    <w:multiLevelType w:val="hybridMultilevel"/>
    <w:tmpl w:val="1DAA8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C3D90"/>
    <w:multiLevelType w:val="hybridMultilevel"/>
    <w:tmpl w:val="071C0D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39DA1817"/>
    <w:multiLevelType w:val="hybridMultilevel"/>
    <w:tmpl w:val="83086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86FCD"/>
    <w:multiLevelType w:val="hybridMultilevel"/>
    <w:tmpl w:val="A162D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3920816"/>
    <w:multiLevelType w:val="hybridMultilevel"/>
    <w:tmpl w:val="4FE45AC0"/>
    <w:lvl w:ilvl="0" w:tplc="0409001B">
      <w:start w:val="1"/>
      <w:numFmt w:val="lowerRoman"/>
      <w:lvlText w:val="%1."/>
      <w:lvlJc w:val="right"/>
      <w:pPr>
        <w:ind w:left="1080" w:hanging="360"/>
      </w:pPr>
      <w:rPr>
        <w:rFont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nsid w:val="4519182E"/>
    <w:multiLevelType w:val="hybridMultilevel"/>
    <w:tmpl w:val="9D96FE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4E362502"/>
    <w:multiLevelType w:val="hybridMultilevel"/>
    <w:tmpl w:val="903029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nsid w:val="51FB4883"/>
    <w:multiLevelType w:val="hybridMultilevel"/>
    <w:tmpl w:val="C8EC8678"/>
    <w:lvl w:ilvl="0" w:tplc="41FE40D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224A6"/>
    <w:multiLevelType w:val="hybridMultilevel"/>
    <w:tmpl w:val="51DCBF66"/>
    <w:lvl w:ilvl="0" w:tplc="04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B756117"/>
    <w:multiLevelType w:val="hybridMultilevel"/>
    <w:tmpl w:val="335CDD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FD4F3F"/>
    <w:multiLevelType w:val="hybridMultilevel"/>
    <w:tmpl w:val="157CA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322CA"/>
    <w:multiLevelType w:val="hybridMultilevel"/>
    <w:tmpl w:val="25B02DCC"/>
    <w:lvl w:ilvl="0" w:tplc="65F4A478">
      <w:start w:val="1"/>
      <w:numFmt w:val="lowerLetter"/>
      <w:lvlText w:val="%1)"/>
      <w:lvlJc w:val="left"/>
      <w:pPr>
        <w:ind w:left="720" w:hanging="360"/>
      </w:pPr>
      <w:rPr>
        <w:rFonts w:ascii="Times New Roman" w:hAnsi="Times New Roman"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704C2F"/>
    <w:multiLevelType w:val="hybridMultilevel"/>
    <w:tmpl w:val="C8F84E58"/>
    <w:lvl w:ilvl="0" w:tplc="0409001B">
      <w:start w:val="1"/>
      <w:numFmt w:val="lowerRoman"/>
      <w:lvlText w:val="%1."/>
      <w:lvlJc w:val="right"/>
      <w:pPr>
        <w:ind w:left="1080" w:hanging="360"/>
      </w:pPr>
      <w:rPr>
        <w:rFont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nsid w:val="7376594A"/>
    <w:multiLevelType w:val="hybridMultilevel"/>
    <w:tmpl w:val="65BA0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6A608B"/>
    <w:multiLevelType w:val="hybridMultilevel"/>
    <w:tmpl w:val="D4684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D38C0"/>
    <w:multiLevelType w:val="hybridMultilevel"/>
    <w:tmpl w:val="C51C671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nsid w:val="7C354FDD"/>
    <w:multiLevelType w:val="hybridMultilevel"/>
    <w:tmpl w:val="4FEA14E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F3C6540"/>
    <w:multiLevelType w:val="hybridMultilevel"/>
    <w:tmpl w:val="7890A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5"/>
  </w:num>
  <w:num w:numId="7">
    <w:abstractNumId w:val="13"/>
  </w:num>
  <w:num w:numId="8">
    <w:abstractNumId w:val="12"/>
  </w:num>
  <w:num w:numId="9">
    <w:abstractNumId w:val="23"/>
  </w:num>
  <w:num w:numId="10">
    <w:abstractNumId w:val="11"/>
  </w:num>
  <w:num w:numId="11">
    <w:abstractNumId w:val="4"/>
  </w:num>
  <w:num w:numId="12">
    <w:abstractNumId w:val="8"/>
  </w:num>
  <w:num w:numId="13">
    <w:abstractNumId w:val="25"/>
  </w:num>
  <w:num w:numId="14">
    <w:abstractNumId w:val="1"/>
  </w:num>
  <w:num w:numId="15">
    <w:abstractNumId w:val="18"/>
  </w:num>
  <w:num w:numId="16">
    <w:abstractNumId w:val="19"/>
  </w:num>
  <w:num w:numId="17">
    <w:abstractNumId w:val="10"/>
  </w:num>
  <w:num w:numId="18">
    <w:abstractNumId w:val="22"/>
  </w:num>
  <w:num w:numId="19">
    <w:abstractNumId w:val="17"/>
  </w:num>
  <w:num w:numId="20">
    <w:abstractNumId w:val="21"/>
  </w:num>
  <w:num w:numId="21">
    <w:abstractNumId w:val="20"/>
  </w:num>
  <w:num w:numId="22">
    <w:abstractNumId w:val="7"/>
  </w:num>
  <w:num w:numId="23">
    <w:abstractNumId w:val="0"/>
  </w:num>
  <w:num w:numId="24">
    <w:abstractNumId w:val="9"/>
  </w:num>
  <w:num w:numId="25">
    <w:abstractNumId w:val="2"/>
  </w:num>
  <w:num w:numId="26">
    <w:abstractNumId w:val="24"/>
  </w:num>
  <w:num w:numId="27">
    <w:abstractNumId w:val="6"/>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11EA1"/>
    <w:rsid w:val="000036F1"/>
    <w:rsid w:val="00011880"/>
    <w:rsid w:val="000455DD"/>
    <w:rsid w:val="000655BA"/>
    <w:rsid w:val="00067CC4"/>
    <w:rsid w:val="000918E8"/>
    <w:rsid w:val="00091C19"/>
    <w:rsid w:val="000B35EC"/>
    <w:rsid w:val="000C63EF"/>
    <w:rsid w:val="000D419C"/>
    <w:rsid w:val="000E383D"/>
    <w:rsid w:val="000E3C07"/>
    <w:rsid w:val="000E5D34"/>
    <w:rsid w:val="000F3ABF"/>
    <w:rsid w:val="001008EB"/>
    <w:rsid w:val="00104FB2"/>
    <w:rsid w:val="001055EF"/>
    <w:rsid w:val="0011322F"/>
    <w:rsid w:val="00121965"/>
    <w:rsid w:val="00124750"/>
    <w:rsid w:val="001313E8"/>
    <w:rsid w:val="001449B5"/>
    <w:rsid w:val="0015427B"/>
    <w:rsid w:val="00171816"/>
    <w:rsid w:val="00172607"/>
    <w:rsid w:val="00176B65"/>
    <w:rsid w:val="00180C18"/>
    <w:rsid w:val="00185F3B"/>
    <w:rsid w:val="001861B7"/>
    <w:rsid w:val="001917D5"/>
    <w:rsid w:val="001A33B6"/>
    <w:rsid w:val="001A5B8B"/>
    <w:rsid w:val="001B1AA2"/>
    <w:rsid w:val="001D23EC"/>
    <w:rsid w:val="001D3BDE"/>
    <w:rsid w:val="001D7DBE"/>
    <w:rsid w:val="001F1A28"/>
    <w:rsid w:val="001F219F"/>
    <w:rsid w:val="00215D80"/>
    <w:rsid w:val="00220FA1"/>
    <w:rsid w:val="00221804"/>
    <w:rsid w:val="00222770"/>
    <w:rsid w:val="0022371C"/>
    <w:rsid w:val="00247EB0"/>
    <w:rsid w:val="00271D98"/>
    <w:rsid w:val="0029305E"/>
    <w:rsid w:val="002952F7"/>
    <w:rsid w:val="002B2518"/>
    <w:rsid w:val="002B530F"/>
    <w:rsid w:val="002C6DC6"/>
    <w:rsid w:val="002C7F45"/>
    <w:rsid w:val="002D0448"/>
    <w:rsid w:val="002F2CE7"/>
    <w:rsid w:val="00303381"/>
    <w:rsid w:val="00326949"/>
    <w:rsid w:val="0032772C"/>
    <w:rsid w:val="0034113A"/>
    <w:rsid w:val="0034669D"/>
    <w:rsid w:val="00365D29"/>
    <w:rsid w:val="00372433"/>
    <w:rsid w:val="003811AE"/>
    <w:rsid w:val="00387D7B"/>
    <w:rsid w:val="003975D4"/>
    <w:rsid w:val="003A0AB6"/>
    <w:rsid w:val="003A3425"/>
    <w:rsid w:val="003A4F39"/>
    <w:rsid w:val="003C3040"/>
    <w:rsid w:val="003D057A"/>
    <w:rsid w:val="003D3F57"/>
    <w:rsid w:val="003D695D"/>
    <w:rsid w:val="003E56FC"/>
    <w:rsid w:val="003F5086"/>
    <w:rsid w:val="00401D18"/>
    <w:rsid w:val="00405167"/>
    <w:rsid w:val="00407D37"/>
    <w:rsid w:val="00415790"/>
    <w:rsid w:val="00420B47"/>
    <w:rsid w:val="00425102"/>
    <w:rsid w:val="004265F4"/>
    <w:rsid w:val="00427A35"/>
    <w:rsid w:val="0043509A"/>
    <w:rsid w:val="00437C2F"/>
    <w:rsid w:val="00444BE7"/>
    <w:rsid w:val="004452D4"/>
    <w:rsid w:val="0046277F"/>
    <w:rsid w:val="00463790"/>
    <w:rsid w:val="004674D9"/>
    <w:rsid w:val="00477226"/>
    <w:rsid w:val="004813E0"/>
    <w:rsid w:val="004840FC"/>
    <w:rsid w:val="004A0FEE"/>
    <w:rsid w:val="004A1C39"/>
    <w:rsid w:val="004A30DD"/>
    <w:rsid w:val="004B0679"/>
    <w:rsid w:val="004C448E"/>
    <w:rsid w:val="004E20C7"/>
    <w:rsid w:val="004E3677"/>
    <w:rsid w:val="004E457F"/>
    <w:rsid w:val="005430C3"/>
    <w:rsid w:val="005534B7"/>
    <w:rsid w:val="00567D60"/>
    <w:rsid w:val="005753F1"/>
    <w:rsid w:val="00582F58"/>
    <w:rsid w:val="00595916"/>
    <w:rsid w:val="00595DDD"/>
    <w:rsid w:val="005A742B"/>
    <w:rsid w:val="005B0D94"/>
    <w:rsid w:val="005B30E5"/>
    <w:rsid w:val="005B32C1"/>
    <w:rsid w:val="005C2717"/>
    <w:rsid w:val="005C5784"/>
    <w:rsid w:val="005D3C96"/>
    <w:rsid w:val="005D79C4"/>
    <w:rsid w:val="005E37CD"/>
    <w:rsid w:val="005E4E3D"/>
    <w:rsid w:val="005E50EC"/>
    <w:rsid w:val="005F5D8B"/>
    <w:rsid w:val="00613E44"/>
    <w:rsid w:val="006204CD"/>
    <w:rsid w:val="00624769"/>
    <w:rsid w:val="00626160"/>
    <w:rsid w:val="00627DC9"/>
    <w:rsid w:val="00634213"/>
    <w:rsid w:val="00635C4F"/>
    <w:rsid w:val="00662FC2"/>
    <w:rsid w:val="006634C3"/>
    <w:rsid w:val="00667CCA"/>
    <w:rsid w:val="00676ACF"/>
    <w:rsid w:val="00680B7E"/>
    <w:rsid w:val="00686AAB"/>
    <w:rsid w:val="00687A5B"/>
    <w:rsid w:val="006909EE"/>
    <w:rsid w:val="006A7FDA"/>
    <w:rsid w:val="006C1180"/>
    <w:rsid w:val="006C4E59"/>
    <w:rsid w:val="006C635B"/>
    <w:rsid w:val="006D71CE"/>
    <w:rsid w:val="006E364D"/>
    <w:rsid w:val="006E3EA7"/>
    <w:rsid w:val="007001CE"/>
    <w:rsid w:val="00705E06"/>
    <w:rsid w:val="00712ADB"/>
    <w:rsid w:val="0073360A"/>
    <w:rsid w:val="0073521E"/>
    <w:rsid w:val="00760B8D"/>
    <w:rsid w:val="00761F08"/>
    <w:rsid w:val="0076407E"/>
    <w:rsid w:val="007778D3"/>
    <w:rsid w:val="00782BA7"/>
    <w:rsid w:val="007A3C47"/>
    <w:rsid w:val="007B1EC2"/>
    <w:rsid w:val="007D1A1C"/>
    <w:rsid w:val="007D7C88"/>
    <w:rsid w:val="0080571F"/>
    <w:rsid w:val="00811855"/>
    <w:rsid w:val="00821147"/>
    <w:rsid w:val="00823A5E"/>
    <w:rsid w:val="00827A98"/>
    <w:rsid w:val="008450BE"/>
    <w:rsid w:val="00856B46"/>
    <w:rsid w:val="00862125"/>
    <w:rsid w:val="008720DC"/>
    <w:rsid w:val="00874AB0"/>
    <w:rsid w:val="00882D3F"/>
    <w:rsid w:val="00884EA1"/>
    <w:rsid w:val="00887567"/>
    <w:rsid w:val="008938FE"/>
    <w:rsid w:val="008A6022"/>
    <w:rsid w:val="008B2E35"/>
    <w:rsid w:val="008B7E3A"/>
    <w:rsid w:val="008D54C7"/>
    <w:rsid w:val="00905E04"/>
    <w:rsid w:val="00907E9C"/>
    <w:rsid w:val="009116E7"/>
    <w:rsid w:val="00911C45"/>
    <w:rsid w:val="00911EA1"/>
    <w:rsid w:val="00913008"/>
    <w:rsid w:val="009340AC"/>
    <w:rsid w:val="0093457E"/>
    <w:rsid w:val="009401ED"/>
    <w:rsid w:val="009457A8"/>
    <w:rsid w:val="009561AC"/>
    <w:rsid w:val="00957E98"/>
    <w:rsid w:val="009614EA"/>
    <w:rsid w:val="0096635E"/>
    <w:rsid w:val="00967609"/>
    <w:rsid w:val="0097058B"/>
    <w:rsid w:val="009773EF"/>
    <w:rsid w:val="009824A7"/>
    <w:rsid w:val="00990179"/>
    <w:rsid w:val="00996868"/>
    <w:rsid w:val="009A1A80"/>
    <w:rsid w:val="009B20A9"/>
    <w:rsid w:val="009B6C67"/>
    <w:rsid w:val="009C415C"/>
    <w:rsid w:val="009D2158"/>
    <w:rsid w:val="009D72E5"/>
    <w:rsid w:val="009F3F67"/>
    <w:rsid w:val="009F66BF"/>
    <w:rsid w:val="00A05A7F"/>
    <w:rsid w:val="00A07837"/>
    <w:rsid w:val="00A24602"/>
    <w:rsid w:val="00A310C9"/>
    <w:rsid w:val="00A3259A"/>
    <w:rsid w:val="00A36DF3"/>
    <w:rsid w:val="00A417D4"/>
    <w:rsid w:val="00A56A6D"/>
    <w:rsid w:val="00A63065"/>
    <w:rsid w:val="00A761ED"/>
    <w:rsid w:val="00A80725"/>
    <w:rsid w:val="00A86160"/>
    <w:rsid w:val="00A97CD9"/>
    <w:rsid w:val="00AA37B6"/>
    <w:rsid w:val="00AB2F99"/>
    <w:rsid w:val="00AC1606"/>
    <w:rsid w:val="00AC7B34"/>
    <w:rsid w:val="00AD49B6"/>
    <w:rsid w:val="00AF115F"/>
    <w:rsid w:val="00B05D61"/>
    <w:rsid w:val="00B12159"/>
    <w:rsid w:val="00B27000"/>
    <w:rsid w:val="00B3664A"/>
    <w:rsid w:val="00B40D37"/>
    <w:rsid w:val="00B761AE"/>
    <w:rsid w:val="00B767E2"/>
    <w:rsid w:val="00BA0F33"/>
    <w:rsid w:val="00BD10C5"/>
    <w:rsid w:val="00BE18F0"/>
    <w:rsid w:val="00BE71E2"/>
    <w:rsid w:val="00BF2007"/>
    <w:rsid w:val="00BF3D13"/>
    <w:rsid w:val="00BF4E7B"/>
    <w:rsid w:val="00C02846"/>
    <w:rsid w:val="00C041B5"/>
    <w:rsid w:val="00C0634E"/>
    <w:rsid w:val="00C14D78"/>
    <w:rsid w:val="00C37FD3"/>
    <w:rsid w:val="00C60483"/>
    <w:rsid w:val="00C65F6A"/>
    <w:rsid w:val="00C72C1C"/>
    <w:rsid w:val="00C8099D"/>
    <w:rsid w:val="00C81580"/>
    <w:rsid w:val="00CA6AFC"/>
    <w:rsid w:val="00CC0021"/>
    <w:rsid w:val="00CD0408"/>
    <w:rsid w:val="00CD289A"/>
    <w:rsid w:val="00CE1320"/>
    <w:rsid w:val="00CE3D49"/>
    <w:rsid w:val="00CF1605"/>
    <w:rsid w:val="00CF3E01"/>
    <w:rsid w:val="00D0005F"/>
    <w:rsid w:val="00D06065"/>
    <w:rsid w:val="00D10B66"/>
    <w:rsid w:val="00D114A0"/>
    <w:rsid w:val="00D23435"/>
    <w:rsid w:val="00D52AAB"/>
    <w:rsid w:val="00D53B2D"/>
    <w:rsid w:val="00D5664F"/>
    <w:rsid w:val="00D62E71"/>
    <w:rsid w:val="00D72BFB"/>
    <w:rsid w:val="00D764BD"/>
    <w:rsid w:val="00D82C98"/>
    <w:rsid w:val="00D87590"/>
    <w:rsid w:val="00DA09A1"/>
    <w:rsid w:val="00DB41C1"/>
    <w:rsid w:val="00DD1DBE"/>
    <w:rsid w:val="00DD3E48"/>
    <w:rsid w:val="00DE26D1"/>
    <w:rsid w:val="00DE74FB"/>
    <w:rsid w:val="00DF0E81"/>
    <w:rsid w:val="00DF5C86"/>
    <w:rsid w:val="00E07954"/>
    <w:rsid w:val="00E143A0"/>
    <w:rsid w:val="00E14BD9"/>
    <w:rsid w:val="00E16A2B"/>
    <w:rsid w:val="00E307B9"/>
    <w:rsid w:val="00E30B4E"/>
    <w:rsid w:val="00E572E1"/>
    <w:rsid w:val="00E645C6"/>
    <w:rsid w:val="00E75E64"/>
    <w:rsid w:val="00E76474"/>
    <w:rsid w:val="00E8167B"/>
    <w:rsid w:val="00E9373C"/>
    <w:rsid w:val="00E93959"/>
    <w:rsid w:val="00E97CFC"/>
    <w:rsid w:val="00EA5EBF"/>
    <w:rsid w:val="00EB2575"/>
    <w:rsid w:val="00EB3231"/>
    <w:rsid w:val="00EB366E"/>
    <w:rsid w:val="00EB4292"/>
    <w:rsid w:val="00EC3827"/>
    <w:rsid w:val="00EC4E3F"/>
    <w:rsid w:val="00EE0BFC"/>
    <w:rsid w:val="00EE66EE"/>
    <w:rsid w:val="00EF37FF"/>
    <w:rsid w:val="00EF4EEA"/>
    <w:rsid w:val="00F00C27"/>
    <w:rsid w:val="00F139FF"/>
    <w:rsid w:val="00F470DD"/>
    <w:rsid w:val="00F63DF7"/>
    <w:rsid w:val="00F67351"/>
    <w:rsid w:val="00F8117A"/>
    <w:rsid w:val="00F96634"/>
    <w:rsid w:val="00FA3DA3"/>
    <w:rsid w:val="00FB4373"/>
    <w:rsid w:val="00FB6C21"/>
    <w:rsid w:val="00FB7E17"/>
    <w:rsid w:val="00FD1012"/>
    <w:rsid w:val="00FD3314"/>
    <w:rsid w:val="00FE4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A1"/>
    <w:pPr>
      <w:ind w:left="720"/>
    </w:pPr>
    <w:rPr>
      <w:rFonts w:ascii="Calibri" w:hAnsi="Calibri" w:cs="Times New Roman"/>
    </w:rPr>
  </w:style>
  <w:style w:type="character" w:customStyle="1" w:styleId="msoins0">
    <w:name w:val="msoins"/>
    <w:basedOn w:val="DefaultParagraphFont"/>
    <w:rsid w:val="00911EA1"/>
  </w:style>
  <w:style w:type="character" w:styleId="Strong">
    <w:name w:val="Strong"/>
    <w:basedOn w:val="DefaultParagraphFont"/>
    <w:uiPriority w:val="22"/>
    <w:qFormat/>
    <w:rsid w:val="00911EA1"/>
    <w:rPr>
      <w:b/>
      <w:bCs/>
    </w:rPr>
  </w:style>
  <w:style w:type="table" w:styleId="TableGrid">
    <w:name w:val="Table Grid"/>
    <w:basedOn w:val="TableNormal"/>
    <w:uiPriority w:val="59"/>
    <w:rsid w:val="008A6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71816"/>
    <w:pPr>
      <w:autoSpaceDE w:val="0"/>
      <w:autoSpaceDN w:val="0"/>
      <w:adjustRightInd w:val="0"/>
      <w:spacing w:after="0" w:line="240" w:lineRule="auto"/>
    </w:pPr>
    <w:rPr>
      <w:rFonts w:ascii="Arial" w:hAnsi="Arial" w:cs="Arial"/>
      <w:color w:val="000000"/>
      <w:sz w:val="24"/>
      <w:szCs w:val="24"/>
      <w:lang w:val="en-IE"/>
    </w:rPr>
  </w:style>
  <w:style w:type="character" w:styleId="CommentReference">
    <w:name w:val="annotation reference"/>
    <w:basedOn w:val="DefaultParagraphFont"/>
    <w:uiPriority w:val="99"/>
    <w:semiHidden/>
    <w:unhideWhenUsed/>
    <w:rsid w:val="00635C4F"/>
    <w:rPr>
      <w:sz w:val="16"/>
      <w:szCs w:val="16"/>
    </w:rPr>
  </w:style>
  <w:style w:type="paragraph" w:styleId="CommentText">
    <w:name w:val="annotation text"/>
    <w:basedOn w:val="Normal"/>
    <w:link w:val="CommentTextChar"/>
    <w:uiPriority w:val="99"/>
    <w:semiHidden/>
    <w:unhideWhenUsed/>
    <w:rsid w:val="00635C4F"/>
    <w:pPr>
      <w:spacing w:line="240" w:lineRule="auto"/>
    </w:pPr>
    <w:rPr>
      <w:sz w:val="20"/>
      <w:szCs w:val="20"/>
    </w:rPr>
  </w:style>
  <w:style w:type="character" w:customStyle="1" w:styleId="CommentTextChar">
    <w:name w:val="Comment Text Char"/>
    <w:basedOn w:val="DefaultParagraphFont"/>
    <w:link w:val="CommentText"/>
    <w:uiPriority w:val="99"/>
    <w:semiHidden/>
    <w:rsid w:val="00635C4F"/>
    <w:rPr>
      <w:sz w:val="20"/>
      <w:szCs w:val="20"/>
    </w:rPr>
  </w:style>
  <w:style w:type="paragraph" w:styleId="CommentSubject">
    <w:name w:val="annotation subject"/>
    <w:basedOn w:val="CommentText"/>
    <w:next w:val="CommentText"/>
    <w:link w:val="CommentSubjectChar"/>
    <w:uiPriority w:val="99"/>
    <w:semiHidden/>
    <w:unhideWhenUsed/>
    <w:rsid w:val="00635C4F"/>
    <w:rPr>
      <w:b/>
      <w:bCs/>
    </w:rPr>
  </w:style>
  <w:style w:type="character" w:customStyle="1" w:styleId="CommentSubjectChar">
    <w:name w:val="Comment Subject Char"/>
    <w:basedOn w:val="CommentTextChar"/>
    <w:link w:val="CommentSubject"/>
    <w:uiPriority w:val="99"/>
    <w:semiHidden/>
    <w:rsid w:val="00635C4F"/>
    <w:rPr>
      <w:b/>
      <w:bCs/>
      <w:sz w:val="20"/>
      <w:szCs w:val="20"/>
    </w:rPr>
  </w:style>
  <w:style w:type="paragraph" w:styleId="BalloonText">
    <w:name w:val="Balloon Text"/>
    <w:basedOn w:val="Normal"/>
    <w:link w:val="BalloonTextChar"/>
    <w:uiPriority w:val="99"/>
    <w:semiHidden/>
    <w:unhideWhenUsed/>
    <w:rsid w:val="00635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C4F"/>
    <w:rPr>
      <w:rFonts w:ascii="Tahoma" w:hAnsi="Tahoma" w:cs="Tahoma"/>
      <w:sz w:val="16"/>
      <w:szCs w:val="16"/>
    </w:rPr>
  </w:style>
  <w:style w:type="character" w:styleId="Hyperlink">
    <w:name w:val="Hyperlink"/>
    <w:basedOn w:val="DefaultParagraphFont"/>
    <w:uiPriority w:val="99"/>
    <w:unhideWhenUsed/>
    <w:rsid w:val="007778D3"/>
    <w:rPr>
      <w:color w:val="0000FF" w:themeColor="hyperlink"/>
      <w:u w:val="single"/>
    </w:rPr>
  </w:style>
  <w:style w:type="character" w:styleId="FollowedHyperlink">
    <w:name w:val="FollowedHyperlink"/>
    <w:basedOn w:val="DefaultParagraphFont"/>
    <w:uiPriority w:val="99"/>
    <w:semiHidden/>
    <w:unhideWhenUsed/>
    <w:rsid w:val="00F63DF7"/>
    <w:rPr>
      <w:color w:val="800080" w:themeColor="followedHyperlink"/>
      <w:u w:val="single"/>
    </w:rPr>
  </w:style>
  <w:style w:type="paragraph" w:styleId="Header">
    <w:name w:val="header"/>
    <w:basedOn w:val="Normal"/>
    <w:link w:val="HeaderChar"/>
    <w:uiPriority w:val="99"/>
    <w:semiHidden/>
    <w:unhideWhenUsed/>
    <w:rsid w:val="006E36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364D"/>
  </w:style>
  <w:style w:type="paragraph" w:styleId="Footer">
    <w:name w:val="footer"/>
    <w:basedOn w:val="Normal"/>
    <w:link w:val="FooterChar"/>
    <w:uiPriority w:val="99"/>
    <w:semiHidden/>
    <w:unhideWhenUsed/>
    <w:rsid w:val="006E36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3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4307">
      <w:bodyDiv w:val="1"/>
      <w:marLeft w:val="0"/>
      <w:marRight w:val="0"/>
      <w:marTop w:val="0"/>
      <w:marBottom w:val="0"/>
      <w:divBdr>
        <w:top w:val="none" w:sz="0" w:space="0" w:color="auto"/>
        <w:left w:val="none" w:sz="0" w:space="0" w:color="auto"/>
        <w:bottom w:val="none" w:sz="0" w:space="0" w:color="auto"/>
        <w:right w:val="none" w:sz="0" w:space="0" w:color="auto"/>
      </w:divBdr>
    </w:div>
    <w:div w:id="11348284">
      <w:bodyDiv w:val="1"/>
      <w:marLeft w:val="0"/>
      <w:marRight w:val="0"/>
      <w:marTop w:val="0"/>
      <w:marBottom w:val="0"/>
      <w:divBdr>
        <w:top w:val="none" w:sz="0" w:space="0" w:color="auto"/>
        <w:left w:val="none" w:sz="0" w:space="0" w:color="auto"/>
        <w:bottom w:val="none" w:sz="0" w:space="0" w:color="auto"/>
        <w:right w:val="none" w:sz="0" w:space="0" w:color="auto"/>
      </w:divBdr>
    </w:div>
    <w:div w:id="35473837">
      <w:bodyDiv w:val="1"/>
      <w:marLeft w:val="0"/>
      <w:marRight w:val="0"/>
      <w:marTop w:val="0"/>
      <w:marBottom w:val="0"/>
      <w:divBdr>
        <w:top w:val="none" w:sz="0" w:space="0" w:color="auto"/>
        <w:left w:val="none" w:sz="0" w:space="0" w:color="auto"/>
        <w:bottom w:val="none" w:sz="0" w:space="0" w:color="auto"/>
        <w:right w:val="none" w:sz="0" w:space="0" w:color="auto"/>
      </w:divBdr>
    </w:div>
    <w:div w:id="48379776">
      <w:bodyDiv w:val="1"/>
      <w:marLeft w:val="0"/>
      <w:marRight w:val="0"/>
      <w:marTop w:val="0"/>
      <w:marBottom w:val="0"/>
      <w:divBdr>
        <w:top w:val="none" w:sz="0" w:space="0" w:color="auto"/>
        <w:left w:val="none" w:sz="0" w:space="0" w:color="auto"/>
        <w:bottom w:val="none" w:sz="0" w:space="0" w:color="auto"/>
        <w:right w:val="none" w:sz="0" w:space="0" w:color="auto"/>
      </w:divBdr>
    </w:div>
    <w:div w:id="79983487">
      <w:bodyDiv w:val="1"/>
      <w:marLeft w:val="0"/>
      <w:marRight w:val="0"/>
      <w:marTop w:val="0"/>
      <w:marBottom w:val="0"/>
      <w:divBdr>
        <w:top w:val="none" w:sz="0" w:space="0" w:color="auto"/>
        <w:left w:val="none" w:sz="0" w:space="0" w:color="auto"/>
        <w:bottom w:val="none" w:sz="0" w:space="0" w:color="auto"/>
        <w:right w:val="none" w:sz="0" w:space="0" w:color="auto"/>
      </w:divBdr>
    </w:div>
    <w:div w:id="112792393">
      <w:bodyDiv w:val="1"/>
      <w:marLeft w:val="0"/>
      <w:marRight w:val="0"/>
      <w:marTop w:val="0"/>
      <w:marBottom w:val="0"/>
      <w:divBdr>
        <w:top w:val="none" w:sz="0" w:space="0" w:color="auto"/>
        <w:left w:val="none" w:sz="0" w:space="0" w:color="auto"/>
        <w:bottom w:val="none" w:sz="0" w:space="0" w:color="auto"/>
        <w:right w:val="none" w:sz="0" w:space="0" w:color="auto"/>
      </w:divBdr>
    </w:div>
    <w:div w:id="113795787">
      <w:bodyDiv w:val="1"/>
      <w:marLeft w:val="0"/>
      <w:marRight w:val="0"/>
      <w:marTop w:val="0"/>
      <w:marBottom w:val="0"/>
      <w:divBdr>
        <w:top w:val="none" w:sz="0" w:space="0" w:color="auto"/>
        <w:left w:val="none" w:sz="0" w:space="0" w:color="auto"/>
        <w:bottom w:val="none" w:sz="0" w:space="0" w:color="auto"/>
        <w:right w:val="none" w:sz="0" w:space="0" w:color="auto"/>
      </w:divBdr>
    </w:div>
    <w:div w:id="149449269">
      <w:bodyDiv w:val="1"/>
      <w:marLeft w:val="0"/>
      <w:marRight w:val="0"/>
      <w:marTop w:val="0"/>
      <w:marBottom w:val="0"/>
      <w:divBdr>
        <w:top w:val="none" w:sz="0" w:space="0" w:color="auto"/>
        <w:left w:val="none" w:sz="0" w:space="0" w:color="auto"/>
        <w:bottom w:val="none" w:sz="0" w:space="0" w:color="auto"/>
        <w:right w:val="none" w:sz="0" w:space="0" w:color="auto"/>
      </w:divBdr>
    </w:div>
    <w:div w:id="167061820">
      <w:bodyDiv w:val="1"/>
      <w:marLeft w:val="0"/>
      <w:marRight w:val="0"/>
      <w:marTop w:val="0"/>
      <w:marBottom w:val="0"/>
      <w:divBdr>
        <w:top w:val="none" w:sz="0" w:space="0" w:color="auto"/>
        <w:left w:val="none" w:sz="0" w:space="0" w:color="auto"/>
        <w:bottom w:val="none" w:sz="0" w:space="0" w:color="auto"/>
        <w:right w:val="none" w:sz="0" w:space="0" w:color="auto"/>
      </w:divBdr>
    </w:div>
    <w:div w:id="168252218">
      <w:bodyDiv w:val="1"/>
      <w:marLeft w:val="0"/>
      <w:marRight w:val="0"/>
      <w:marTop w:val="0"/>
      <w:marBottom w:val="0"/>
      <w:divBdr>
        <w:top w:val="none" w:sz="0" w:space="0" w:color="auto"/>
        <w:left w:val="none" w:sz="0" w:space="0" w:color="auto"/>
        <w:bottom w:val="none" w:sz="0" w:space="0" w:color="auto"/>
        <w:right w:val="none" w:sz="0" w:space="0" w:color="auto"/>
      </w:divBdr>
    </w:div>
    <w:div w:id="168565577">
      <w:bodyDiv w:val="1"/>
      <w:marLeft w:val="0"/>
      <w:marRight w:val="0"/>
      <w:marTop w:val="0"/>
      <w:marBottom w:val="0"/>
      <w:divBdr>
        <w:top w:val="none" w:sz="0" w:space="0" w:color="auto"/>
        <w:left w:val="none" w:sz="0" w:space="0" w:color="auto"/>
        <w:bottom w:val="none" w:sz="0" w:space="0" w:color="auto"/>
        <w:right w:val="none" w:sz="0" w:space="0" w:color="auto"/>
      </w:divBdr>
    </w:div>
    <w:div w:id="201523779">
      <w:bodyDiv w:val="1"/>
      <w:marLeft w:val="0"/>
      <w:marRight w:val="0"/>
      <w:marTop w:val="0"/>
      <w:marBottom w:val="0"/>
      <w:divBdr>
        <w:top w:val="none" w:sz="0" w:space="0" w:color="auto"/>
        <w:left w:val="none" w:sz="0" w:space="0" w:color="auto"/>
        <w:bottom w:val="none" w:sz="0" w:space="0" w:color="auto"/>
        <w:right w:val="none" w:sz="0" w:space="0" w:color="auto"/>
      </w:divBdr>
    </w:div>
    <w:div w:id="250427955">
      <w:bodyDiv w:val="1"/>
      <w:marLeft w:val="0"/>
      <w:marRight w:val="0"/>
      <w:marTop w:val="0"/>
      <w:marBottom w:val="0"/>
      <w:divBdr>
        <w:top w:val="none" w:sz="0" w:space="0" w:color="auto"/>
        <w:left w:val="none" w:sz="0" w:space="0" w:color="auto"/>
        <w:bottom w:val="none" w:sz="0" w:space="0" w:color="auto"/>
        <w:right w:val="none" w:sz="0" w:space="0" w:color="auto"/>
      </w:divBdr>
    </w:div>
    <w:div w:id="251206742">
      <w:bodyDiv w:val="1"/>
      <w:marLeft w:val="0"/>
      <w:marRight w:val="0"/>
      <w:marTop w:val="0"/>
      <w:marBottom w:val="0"/>
      <w:divBdr>
        <w:top w:val="none" w:sz="0" w:space="0" w:color="auto"/>
        <w:left w:val="none" w:sz="0" w:space="0" w:color="auto"/>
        <w:bottom w:val="none" w:sz="0" w:space="0" w:color="auto"/>
        <w:right w:val="none" w:sz="0" w:space="0" w:color="auto"/>
      </w:divBdr>
    </w:div>
    <w:div w:id="261887003">
      <w:bodyDiv w:val="1"/>
      <w:marLeft w:val="0"/>
      <w:marRight w:val="0"/>
      <w:marTop w:val="0"/>
      <w:marBottom w:val="0"/>
      <w:divBdr>
        <w:top w:val="none" w:sz="0" w:space="0" w:color="auto"/>
        <w:left w:val="none" w:sz="0" w:space="0" w:color="auto"/>
        <w:bottom w:val="none" w:sz="0" w:space="0" w:color="auto"/>
        <w:right w:val="none" w:sz="0" w:space="0" w:color="auto"/>
      </w:divBdr>
    </w:div>
    <w:div w:id="295069761">
      <w:bodyDiv w:val="1"/>
      <w:marLeft w:val="0"/>
      <w:marRight w:val="0"/>
      <w:marTop w:val="0"/>
      <w:marBottom w:val="0"/>
      <w:divBdr>
        <w:top w:val="none" w:sz="0" w:space="0" w:color="auto"/>
        <w:left w:val="none" w:sz="0" w:space="0" w:color="auto"/>
        <w:bottom w:val="none" w:sz="0" w:space="0" w:color="auto"/>
        <w:right w:val="none" w:sz="0" w:space="0" w:color="auto"/>
      </w:divBdr>
    </w:div>
    <w:div w:id="301083157">
      <w:bodyDiv w:val="1"/>
      <w:marLeft w:val="0"/>
      <w:marRight w:val="0"/>
      <w:marTop w:val="0"/>
      <w:marBottom w:val="0"/>
      <w:divBdr>
        <w:top w:val="none" w:sz="0" w:space="0" w:color="auto"/>
        <w:left w:val="none" w:sz="0" w:space="0" w:color="auto"/>
        <w:bottom w:val="none" w:sz="0" w:space="0" w:color="auto"/>
        <w:right w:val="none" w:sz="0" w:space="0" w:color="auto"/>
      </w:divBdr>
    </w:div>
    <w:div w:id="315573795">
      <w:bodyDiv w:val="1"/>
      <w:marLeft w:val="0"/>
      <w:marRight w:val="0"/>
      <w:marTop w:val="0"/>
      <w:marBottom w:val="0"/>
      <w:divBdr>
        <w:top w:val="none" w:sz="0" w:space="0" w:color="auto"/>
        <w:left w:val="none" w:sz="0" w:space="0" w:color="auto"/>
        <w:bottom w:val="none" w:sz="0" w:space="0" w:color="auto"/>
        <w:right w:val="none" w:sz="0" w:space="0" w:color="auto"/>
      </w:divBdr>
    </w:div>
    <w:div w:id="361173328">
      <w:bodyDiv w:val="1"/>
      <w:marLeft w:val="0"/>
      <w:marRight w:val="0"/>
      <w:marTop w:val="0"/>
      <w:marBottom w:val="0"/>
      <w:divBdr>
        <w:top w:val="none" w:sz="0" w:space="0" w:color="auto"/>
        <w:left w:val="none" w:sz="0" w:space="0" w:color="auto"/>
        <w:bottom w:val="none" w:sz="0" w:space="0" w:color="auto"/>
        <w:right w:val="none" w:sz="0" w:space="0" w:color="auto"/>
      </w:divBdr>
    </w:div>
    <w:div w:id="362679152">
      <w:bodyDiv w:val="1"/>
      <w:marLeft w:val="0"/>
      <w:marRight w:val="0"/>
      <w:marTop w:val="0"/>
      <w:marBottom w:val="0"/>
      <w:divBdr>
        <w:top w:val="none" w:sz="0" w:space="0" w:color="auto"/>
        <w:left w:val="none" w:sz="0" w:space="0" w:color="auto"/>
        <w:bottom w:val="none" w:sz="0" w:space="0" w:color="auto"/>
        <w:right w:val="none" w:sz="0" w:space="0" w:color="auto"/>
      </w:divBdr>
    </w:div>
    <w:div w:id="383066977">
      <w:bodyDiv w:val="1"/>
      <w:marLeft w:val="0"/>
      <w:marRight w:val="0"/>
      <w:marTop w:val="0"/>
      <w:marBottom w:val="0"/>
      <w:divBdr>
        <w:top w:val="none" w:sz="0" w:space="0" w:color="auto"/>
        <w:left w:val="none" w:sz="0" w:space="0" w:color="auto"/>
        <w:bottom w:val="none" w:sz="0" w:space="0" w:color="auto"/>
        <w:right w:val="none" w:sz="0" w:space="0" w:color="auto"/>
      </w:divBdr>
    </w:div>
    <w:div w:id="383334044">
      <w:bodyDiv w:val="1"/>
      <w:marLeft w:val="0"/>
      <w:marRight w:val="0"/>
      <w:marTop w:val="0"/>
      <w:marBottom w:val="0"/>
      <w:divBdr>
        <w:top w:val="none" w:sz="0" w:space="0" w:color="auto"/>
        <w:left w:val="none" w:sz="0" w:space="0" w:color="auto"/>
        <w:bottom w:val="none" w:sz="0" w:space="0" w:color="auto"/>
        <w:right w:val="none" w:sz="0" w:space="0" w:color="auto"/>
      </w:divBdr>
    </w:div>
    <w:div w:id="389958392">
      <w:bodyDiv w:val="1"/>
      <w:marLeft w:val="0"/>
      <w:marRight w:val="0"/>
      <w:marTop w:val="0"/>
      <w:marBottom w:val="0"/>
      <w:divBdr>
        <w:top w:val="none" w:sz="0" w:space="0" w:color="auto"/>
        <w:left w:val="none" w:sz="0" w:space="0" w:color="auto"/>
        <w:bottom w:val="none" w:sz="0" w:space="0" w:color="auto"/>
        <w:right w:val="none" w:sz="0" w:space="0" w:color="auto"/>
      </w:divBdr>
    </w:div>
    <w:div w:id="390008867">
      <w:bodyDiv w:val="1"/>
      <w:marLeft w:val="0"/>
      <w:marRight w:val="0"/>
      <w:marTop w:val="0"/>
      <w:marBottom w:val="0"/>
      <w:divBdr>
        <w:top w:val="none" w:sz="0" w:space="0" w:color="auto"/>
        <w:left w:val="none" w:sz="0" w:space="0" w:color="auto"/>
        <w:bottom w:val="none" w:sz="0" w:space="0" w:color="auto"/>
        <w:right w:val="none" w:sz="0" w:space="0" w:color="auto"/>
      </w:divBdr>
    </w:div>
    <w:div w:id="421993395">
      <w:bodyDiv w:val="1"/>
      <w:marLeft w:val="0"/>
      <w:marRight w:val="0"/>
      <w:marTop w:val="0"/>
      <w:marBottom w:val="0"/>
      <w:divBdr>
        <w:top w:val="none" w:sz="0" w:space="0" w:color="auto"/>
        <w:left w:val="none" w:sz="0" w:space="0" w:color="auto"/>
        <w:bottom w:val="none" w:sz="0" w:space="0" w:color="auto"/>
        <w:right w:val="none" w:sz="0" w:space="0" w:color="auto"/>
      </w:divBdr>
    </w:div>
    <w:div w:id="427821742">
      <w:bodyDiv w:val="1"/>
      <w:marLeft w:val="0"/>
      <w:marRight w:val="0"/>
      <w:marTop w:val="0"/>
      <w:marBottom w:val="0"/>
      <w:divBdr>
        <w:top w:val="none" w:sz="0" w:space="0" w:color="auto"/>
        <w:left w:val="none" w:sz="0" w:space="0" w:color="auto"/>
        <w:bottom w:val="none" w:sz="0" w:space="0" w:color="auto"/>
        <w:right w:val="none" w:sz="0" w:space="0" w:color="auto"/>
      </w:divBdr>
    </w:div>
    <w:div w:id="439373625">
      <w:bodyDiv w:val="1"/>
      <w:marLeft w:val="0"/>
      <w:marRight w:val="0"/>
      <w:marTop w:val="0"/>
      <w:marBottom w:val="0"/>
      <w:divBdr>
        <w:top w:val="none" w:sz="0" w:space="0" w:color="auto"/>
        <w:left w:val="none" w:sz="0" w:space="0" w:color="auto"/>
        <w:bottom w:val="none" w:sz="0" w:space="0" w:color="auto"/>
        <w:right w:val="none" w:sz="0" w:space="0" w:color="auto"/>
      </w:divBdr>
    </w:div>
    <w:div w:id="456989239">
      <w:bodyDiv w:val="1"/>
      <w:marLeft w:val="0"/>
      <w:marRight w:val="0"/>
      <w:marTop w:val="0"/>
      <w:marBottom w:val="0"/>
      <w:divBdr>
        <w:top w:val="none" w:sz="0" w:space="0" w:color="auto"/>
        <w:left w:val="none" w:sz="0" w:space="0" w:color="auto"/>
        <w:bottom w:val="none" w:sz="0" w:space="0" w:color="auto"/>
        <w:right w:val="none" w:sz="0" w:space="0" w:color="auto"/>
      </w:divBdr>
    </w:div>
    <w:div w:id="462113130">
      <w:bodyDiv w:val="1"/>
      <w:marLeft w:val="0"/>
      <w:marRight w:val="0"/>
      <w:marTop w:val="0"/>
      <w:marBottom w:val="0"/>
      <w:divBdr>
        <w:top w:val="none" w:sz="0" w:space="0" w:color="auto"/>
        <w:left w:val="none" w:sz="0" w:space="0" w:color="auto"/>
        <w:bottom w:val="none" w:sz="0" w:space="0" w:color="auto"/>
        <w:right w:val="none" w:sz="0" w:space="0" w:color="auto"/>
      </w:divBdr>
    </w:div>
    <w:div w:id="507600484">
      <w:bodyDiv w:val="1"/>
      <w:marLeft w:val="0"/>
      <w:marRight w:val="0"/>
      <w:marTop w:val="0"/>
      <w:marBottom w:val="0"/>
      <w:divBdr>
        <w:top w:val="none" w:sz="0" w:space="0" w:color="auto"/>
        <w:left w:val="none" w:sz="0" w:space="0" w:color="auto"/>
        <w:bottom w:val="none" w:sz="0" w:space="0" w:color="auto"/>
        <w:right w:val="none" w:sz="0" w:space="0" w:color="auto"/>
      </w:divBdr>
    </w:div>
    <w:div w:id="519901789">
      <w:bodyDiv w:val="1"/>
      <w:marLeft w:val="0"/>
      <w:marRight w:val="0"/>
      <w:marTop w:val="0"/>
      <w:marBottom w:val="0"/>
      <w:divBdr>
        <w:top w:val="none" w:sz="0" w:space="0" w:color="auto"/>
        <w:left w:val="none" w:sz="0" w:space="0" w:color="auto"/>
        <w:bottom w:val="none" w:sz="0" w:space="0" w:color="auto"/>
        <w:right w:val="none" w:sz="0" w:space="0" w:color="auto"/>
      </w:divBdr>
    </w:div>
    <w:div w:id="606815472">
      <w:bodyDiv w:val="1"/>
      <w:marLeft w:val="0"/>
      <w:marRight w:val="0"/>
      <w:marTop w:val="0"/>
      <w:marBottom w:val="0"/>
      <w:divBdr>
        <w:top w:val="none" w:sz="0" w:space="0" w:color="auto"/>
        <w:left w:val="none" w:sz="0" w:space="0" w:color="auto"/>
        <w:bottom w:val="none" w:sz="0" w:space="0" w:color="auto"/>
        <w:right w:val="none" w:sz="0" w:space="0" w:color="auto"/>
      </w:divBdr>
    </w:div>
    <w:div w:id="638847927">
      <w:bodyDiv w:val="1"/>
      <w:marLeft w:val="0"/>
      <w:marRight w:val="0"/>
      <w:marTop w:val="0"/>
      <w:marBottom w:val="0"/>
      <w:divBdr>
        <w:top w:val="none" w:sz="0" w:space="0" w:color="auto"/>
        <w:left w:val="none" w:sz="0" w:space="0" w:color="auto"/>
        <w:bottom w:val="none" w:sz="0" w:space="0" w:color="auto"/>
        <w:right w:val="none" w:sz="0" w:space="0" w:color="auto"/>
      </w:divBdr>
    </w:div>
    <w:div w:id="643119567">
      <w:bodyDiv w:val="1"/>
      <w:marLeft w:val="0"/>
      <w:marRight w:val="0"/>
      <w:marTop w:val="0"/>
      <w:marBottom w:val="0"/>
      <w:divBdr>
        <w:top w:val="none" w:sz="0" w:space="0" w:color="auto"/>
        <w:left w:val="none" w:sz="0" w:space="0" w:color="auto"/>
        <w:bottom w:val="none" w:sz="0" w:space="0" w:color="auto"/>
        <w:right w:val="none" w:sz="0" w:space="0" w:color="auto"/>
      </w:divBdr>
    </w:div>
    <w:div w:id="653073403">
      <w:bodyDiv w:val="1"/>
      <w:marLeft w:val="0"/>
      <w:marRight w:val="0"/>
      <w:marTop w:val="0"/>
      <w:marBottom w:val="0"/>
      <w:divBdr>
        <w:top w:val="none" w:sz="0" w:space="0" w:color="auto"/>
        <w:left w:val="none" w:sz="0" w:space="0" w:color="auto"/>
        <w:bottom w:val="none" w:sz="0" w:space="0" w:color="auto"/>
        <w:right w:val="none" w:sz="0" w:space="0" w:color="auto"/>
      </w:divBdr>
    </w:div>
    <w:div w:id="654377314">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85788420">
      <w:bodyDiv w:val="1"/>
      <w:marLeft w:val="0"/>
      <w:marRight w:val="0"/>
      <w:marTop w:val="0"/>
      <w:marBottom w:val="0"/>
      <w:divBdr>
        <w:top w:val="none" w:sz="0" w:space="0" w:color="auto"/>
        <w:left w:val="none" w:sz="0" w:space="0" w:color="auto"/>
        <w:bottom w:val="none" w:sz="0" w:space="0" w:color="auto"/>
        <w:right w:val="none" w:sz="0" w:space="0" w:color="auto"/>
      </w:divBdr>
    </w:div>
    <w:div w:id="699817818">
      <w:bodyDiv w:val="1"/>
      <w:marLeft w:val="0"/>
      <w:marRight w:val="0"/>
      <w:marTop w:val="0"/>
      <w:marBottom w:val="0"/>
      <w:divBdr>
        <w:top w:val="none" w:sz="0" w:space="0" w:color="auto"/>
        <w:left w:val="none" w:sz="0" w:space="0" w:color="auto"/>
        <w:bottom w:val="none" w:sz="0" w:space="0" w:color="auto"/>
        <w:right w:val="none" w:sz="0" w:space="0" w:color="auto"/>
      </w:divBdr>
    </w:div>
    <w:div w:id="752632075">
      <w:bodyDiv w:val="1"/>
      <w:marLeft w:val="0"/>
      <w:marRight w:val="0"/>
      <w:marTop w:val="0"/>
      <w:marBottom w:val="0"/>
      <w:divBdr>
        <w:top w:val="none" w:sz="0" w:space="0" w:color="auto"/>
        <w:left w:val="none" w:sz="0" w:space="0" w:color="auto"/>
        <w:bottom w:val="none" w:sz="0" w:space="0" w:color="auto"/>
        <w:right w:val="none" w:sz="0" w:space="0" w:color="auto"/>
      </w:divBdr>
    </w:div>
    <w:div w:id="770320562">
      <w:bodyDiv w:val="1"/>
      <w:marLeft w:val="0"/>
      <w:marRight w:val="0"/>
      <w:marTop w:val="0"/>
      <w:marBottom w:val="0"/>
      <w:divBdr>
        <w:top w:val="none" w:sz="0" w:space="0" w:color="auto"/>
        <w:left w:val="none" w:sz="0" w:space="0" w:color="auto"/>
        <w:bottom w:val="none" w:sz="0" w:space="0" w:color="auto"/>
        <w:right w:val="none" w:sz="0" w:space="0" w:color="auto"/>
      </w:divBdr>
    </w:div>
    <w:div w:id="859319556">
      <w:bodyDiv w:val="1"/>
      <w:marLeft w:val="0"/>
      <w:marRight w:val="0"/>
      <w:marTop w:val="0"/>
      <w:marBottom w:val="0"/>
      <w:divBdr>
        <w:top w:val="none" w:sz="0" w:space="0" w:color="auto"/>
        <w:left w:val="none" w:sz="0" w:space="0" w:color="auto"/>
        <w:bottom w:val="none" w:sz="0" w:space="0" w:color="auto"/>
        <w:right w:val="none" w:sz="0" w:space="0" w:color="auto"/>
      </w:divBdr>
    </w:div>
    <w:div w:id="875003086">
      <w:bodyDiv w:val="1"/>
      <w:marLeft w:val="0"/>
      <w:marRight w:val="0"/>
      <w:marTop w:val="0"/>
      <w:marBottom w:val="0"/>
      <w:divBdr>
        <w:top w:val="none" w:sz="0" w:space="0" w:color="auto"/>
        <w:left w:val="none" w:sz="0" w:space="0" w:color="auto"/>
        <w:bottom w:val="none" w:sz="0" w:space="0" w:color="auto"/>
        <w:right w:val="none" w:sz="0" w:space="0" w:color="auto"/>
      </w:divBdr>
    </w:div>
    <w:div w:id="890464041">
      <w:bodyDiv w:val="1"/>
      <w:marLeft w:val="0"/>
      <w:marRight w:val="0"/>
      <w:marTop w:val="0"/>
      <w:marBottom w:val="0"/>
      <w:divBdr>
        <w:top w:val="none" w:sz="0" w:space="0" w:color="auto"/>
        <w:left w:val="none" w:sz="0" w:space="0" w:color="auto"/>
        <w:bottom w:val="none" w:sz="0" w:space="0" w:color="auto"/>
        <w:right w:val="none" w:sz="0" w:space="0" w:color="auto"/>
      </w:divBdr>
    </w:div>
    <w:div w:id="892229996">
      <w:bodyDiv w:val="1"/>
      <w:marLeft w:val="0"/>
      <w:marRight w:val="0"/>
      <w:marTop w:val="0"/>
      <w:marBottom w:val="0"/>
      <w:divBdr>
        <w:top w:val="none" w:sz="0" w:space="0" w:color="auto"/>
        <w:left w:val="none" w:sz="0" w:space="0" w:color="auto"/>
        <w:bottom w:val="none" w:sz="0" w:space="0" w:color="auto"/>
        <w:right w:val="none" w:sz="0" w:space="0" w:color="auto"/>
      </w:divBdr>
    </w:div>
    <w:div w:id="896744474">
      <w:bodyDiv w:val="1"/>
      <w:marLeft w:val="0"/>
      <w:marRight w:val="0"/>
      <w:marTop w:val="0"/>
      <w:marBottom w:val="0"/>
      <w:divBdr>
        <w:top w:val="none" w:sz="0" w:space="0" w:color="auto"/>
        <w:left w:val="none" w:sz="0" w:space="0" w:color="auto"/>
        <w:bottom w:val="none" w:sz="0" w:space="0" w:color="auto"/>
        <w:right w:val="none" w:sz="0" w:space="0" w:color="auto"/>
      </w:divBdr>
    </w:div>
    <w:div w:id="916011401">
      <w:bodyDiv w:val="1"/>
      <w:marLeft w:val="0"/>
      <w:marRight w:val="0"/>
      <w:marTop w:val="0"/>
      <w:marBottom w:val="0"/>
      <w:divBdr>
        <w:top w:val="none" w:sz="0" w:space="0" w:color="auto"/>
        <w:left w:val="none" w:sz="0" w:space="0" w:color="auto"/>
        <w:bottom w:val="none" w:sz="0" w:space="0" w:color="auto"/>
        <w:right w:val="none" w:sz="0" w:space="0" w:color="auto"/>
      </w:divBdr>
    </w:div>
    <w:div w:id="920145347">
      <w:bodyDiv w:val="1"/>
      <w:marLeft w:val="0"/>
      <w:marRight w:val="0"/>
      <w:marTop w:val="0"/>
      <w:marBottom w:val="0"/>
      <w:divBdr>
        <w:top w:val="none" w:sz="0" w:space="0" w:color="auto"/>
        <w:left w:val="none" w:sz="0" w:space="0" w:color="auto"/>
        <w:bottom w:val="none" w:sz="0" w:space="0" w:color="auto"/>
        <w:right w:val="none" w:sz="0" w:space="0" w:color="auto"/>
      </w:divBdr>
    </w:div>
    <w:div w:id="959456753">
      <w:bodyDiv w:val="1"/>
      <w:marLeft w:val="0"/>
      <w:marRight w:val="0"/>
      <w:marTop w:val="0"/>
      <w:marBottom w:val="0"/>
      <w:divBdr>
        <w:top w:val="none" w:sz="0" w:space="0" w:color="auto"/>
        <w:left w:val="none" w:sz="0" w:space="0" w:color="auto"/>
        <w:bottom w:val="none" w:sz="0" w:space="0" w:color="auto"/>
        <w:right w:val="none" w:sz="0" w:space="0" w:color="auto"/>
      </w:divBdr>
    </w:div>
    <w:div w:id="963659814">
      <w:bodyDiv w:val="1"/>
      <w:marLeft w:val="0"/>
      <w:marRight w:val="0"/>
      <w:marTop w:val="0"/>
      <w:marBottom w:val="0"/>
      <w:divBdr>
        <w:top w:val="none" w:sz="0" w:space="0" w:color="auto"/>
        <w:left w:val="none" w:sz="0" w:space="0" w:color="auto"/>
        <w:bottom w:val="none" w:sz="0" w:space="0" w:color="auto"/>
        <w:right w:val="none" w:sz="0" w:space="0" w:color="auto"/>
      </w:divBdr>
    </w:div>
    <w:div w:id="964165791">
      <w:bodyDiv w:val="1"/>
      <w:marLeft w:val="0"/>
      <w:marRight w:val="0"/>
      <w:marTop w:val="0"/>
      <w:marBottom w:val="0"/>
      <w:divBdr>
        <w:top w:val="none" w:sz="0" w:space="0" w:color="auto"/>
        <w:left w:val="none" w:sz="0" w:space="0" w:color="auto"/>
        <w:bottom w:val="none" w:sz="0" w:space="0" w:color="auto"/>
        <w:right w:val="none" w:sz="0" w:space="0" w:color="auto"/>
      </w:divBdr>
    </w:div>
    <w:div w:id="975841011">
      <w:bodyDiv w:val="1"/>
      <w:marLeft w:val="0"/>
      <w:marRight w:val="0"/>
      <w:marTop w:val="0"/>
      <w:marBottom w:val="0"/>
      <w:divBdr>
        <w:top w:val="none" w:sz="0" w:space="0" w:color="auto"/>
        <w:left w:val="none" w:sz="0" w:space="0" w:color="auto"/>
        <w:bottom w:val="none" w:sz="0" w:space="0" w:color="auto"/>
        <w:right w:val="none" w:sz="0" w:space="0" w:color="auto"/>
      </w:divBdr>
    </w:div>
    <w:div w:id="1006521857">
      <w:bodyDiv w:val="1"/>
      <w:marLeft w:val="0"/>
      <w:marRight w:val="0"/>
      <w:marTop w:val="0"/>
      <w:marBottom w:val="0"/>
      <w:divBdr>
        <w:top w:val="none" w:sz="0" w:space="0" w:color="auto"/>
        <w:left w:val="none" w:sz="0" w:space="0" w:color="auto"/>
        <w:bottom w:val="none" w:sz="0" w:space="0" w:color="auto"/>
        <w:right w:val="none" w:sz="0" w:space="0" w:color="auto"/>
      </w:divBdr>
    </w:div>
    <w:div w:id="1019818093">
      <w:bodyDiv w:val="1"/>
      <w:marLeft w:val="0"/>
      <w:marRight w:val="0"/>
      <w:marTop w:val="0"/>
      <w:marBottom w:val="0"/>
      <w:divBdr>
        <w:top w:val="none" w:sz="0" w:space="0" w:color="auto"/>
        <w:left w:val="none" w:sz="0" w:space="0" w:color="auto"/>
        <w:bottom w:val="none" w:sz="0" w:space="0" w:color="auto"/>
        <w:right w:val="none" w:sz="0" w:space="0" w:color="auto"/>
      </w:divBdr>
    </w:div>
    <w:div w:id="1035500845">
      <w:bodyDiv w:val="1"/>
      <w:marLeft w:val="0"/>
      <w:marRight w:val="0"/>
      <w:marTop w:val="0"/>
      <w:marBottom w:val="0"/>
      <w:divBdr>
        <w:top w:val="none" w:sz="0" w:space="0" w:color="auto"/>
        <w:left w:val="none" w:sz="0" w:space="0" w:color="auto"/>
        <w:bottom w:val="none" w:sz="0" w:space="0" w:color="auto"/>
        <w:right w:val="none" w:sz="0" w:space="0" w:color="auto"/>
      </w:divBdr>
    </w:div>
    <w:div w:id="1048460224">
      <w:bodyDiv w:val="1"/>
      <w:marLeft w:val="0"/>
      <w:marRight w:val="0"/>
      <w:marTop w:val="0"/>
      <w:marBottom w:val="0"/>
      <w:divBdr>
        <w:top w:val="none" w:sz="0" w:space="0" w:color="auto"/>
        <w:left w:val="none" w:sz="0" w:space="0" w:color="auto"/>
        <w:bottom w:val="none" w:sz="0" w:space="0" w:color="auto"/>
        <w:right w:val="none" w:sz="0" w:space="0" w:color="auto"/>
      </w:divBdr>
    </w:div>
    <w:div w:id="1069115476">
      <w:bodyDiv w:val="1"/>
      <w:marLeft w:val="0"/>
      <w:marRight w:val="0"/>
      <w:marTop w:val="0"/>
      <w:marBottom w:val="0"/>
      <w:divBdr>
        <w:top w:val="none" w:sz="0" w:space="0" w:color="auto"/>
        <w:left w:val="none" w:sz="0" w:space="0" w:color="auto"/>
        <w:bottom w:val="none" w:sz="0" w:space="0" w:color="auto"/>
        <w:right w:val="none" w:sz="0" w:space="0" w:color="auto"/>
      </w:divBdr>
    </w:div>
    <w:div w:id="1104689460">
      <w:bodyDiv w:val="1"/>
      <w:marLeft w:val="0"/>
      <w:marRight w:val="0"/>
      <w:marTop w:val="0"/>
      <w:marBottom w:val="0"/>
      <w:divBdr>
        <w:top w:val="none" w:sz="0" w:space="0" w:color="auto"/>
        <w:left w:val="none" w:sz="0" w:space="0" w:color="auto"/>
        <w:bottom w:val="none" w:sz="0" w:space="0" w:color="auto"/>
        <w:right w:val="none" w:sz="0" w:space="0" w:color="auto"/>
      </w:divBdr>
    </w:div>
    <w:div w:id="1129132066">
      <w:bodyDiv w:val="1"/>
      <w:marLeft w:val="0"/>
      <w:marRight w:val="0"/>
      <w:marTop w:val="0"/>
      <w:marBottom w:val="0"/>
      <w:divBdr>
        <w:top w:val="none" w:sz="0" w:space="0" w:color="auto"/>
        <w:left w:val="none" w:sz="0" w:space="0" w:color="auto"/>
        <w:bottom w:val="none" w:sz="0" w:space="0" w:color="auto"/>
        <w:right w:val="none" w:sz="0" w:space="0" w:color="auto"/>
      </w:divBdr>
    </w:div>
    <w:div w:id="1133013370">
      <w:bodyDiv w:val="1"/>
      <w:marLeft w:val="0"/>
      <w:marRight w:val="0"/>
      <w:marTop w:val="0"/>
      <w:marBottom w:val="0"/>
      <w:divBdr>
        <w:top w:val="none" w:sz="0" w:space="0" w:color="auto"/>
        <w:left w:val="none" w:sz="0" w:space="0" w:color="auto"/>
        <w:bottom w:val="none" w:sz="0" w:space="0" w:color="auto"/>
        <w:right w:val="none" w:sz="0" w:space="0" w:color="auto"/>
      </w:divBdr>
    </w:div>
    <w:div w:id="1176385116">
      <w:bodyDiv w:val="1"/>
      <w:marLeft w:val="0"/>
      <w:marRight w:val="0"/>
      <w:marTop w:val="0"/>
      <w:marBottom w:val="0"/>
      <w:divBdr>
        <w:top w:val="none" w:sz="0" w:space="0" w:color="auto"/>
        <w:left w:val="none" w:sz="0" w:space="0" w:color="auto"/>
        <w:bottom w:val="none" w:sz="0" w:space="0" w:color="auto"/>
        <w:right w:val="none" w:sz="0" w:space="0" w:color="auto"/>
      </w:divBdr>
    </w:div>
    <w:div w:id="1179924029">
      <w:bodyDiv w:val="1"/>
      <w:marLeft w:val="0"/>
      <w:marRight w:val="0"/>
      <w:marTop w:val="0"/>
      <w:marBottom w:val="0"/>
      <w:divBdr>
        <w:top w:val="none" w:sz="0" w:space="0" w:color="auto"/>
        <w:left w:val="none" w:sz="0" w:space="0" w:color="auto"/>
        <w:bottom w:val="none" w:sz="0" w:space="0" w:color="auto"/>
        <w:right w:val="none" w:sz="0" w:space="0" w:color="auto"/>
      </w:divBdr>
    </w:div>
    <w:div w:id="1204102966">
      <w:bodyDiv w:val="1"/>
      <w:marLeft w:val="0"/>
      <w:marRight w:val="0"/>
      <w:marTop w:val="0"/>
      <w:marBottom w:val="0"/>
      <w:divBdr>
        <w:top w:val="none" w:sz="0" w:space="0" w:color="auto"/>
        <w:left w:val="none" w:sz="0" w:space="0" w:color="auto"/>
        <w:bottom w:val="none" w:sz="0" w:space="0" w:color="auto"/>
        <w:right w:val="none" w:sz="0" w:space="0" w:color="auto"/>
      </w:divBdr>
    </w:div>
    <w:div w:id="1224874277">
      <w:bodyDiv w:val="1"/>
      <w:marLeft w:val="0"/>
      <w:marRight w:val="0"/>
      <w:marTop w:val="0"/>
      <w:marBottom w:val="0"/>
      <w:divBdr>
        <w:top w:val="none" w:sz="0" w:space="0" w:color="auto"/>
        <w:left w:val="none" w:sz="0" w:space="0" w:color="auto"/>
        <w:bottom w:val="none" w:sz="0" w:space="0" w:color="auto"/>
        <w:right w:val="none" w:sz="0" w:space="0" w:color="auto"/>
      </w:divBdr>
    </w:div>
    <w:div w:id="1229537465">
      <w:bodyDiv w:val="1"/>
      <w:marLeft w:val="0"/>
      <w:marRight w:val="0"/>
      <w:marTop w:val="0"/>
      <w:marBottom w:val="0"/>
      <w:divBdr>
        <w:top w:val="none" w:sz="0" w:space="0" w:color="auto"/>
        <w:left w:val="none" w:sz="0" w:space="0" w:color="auto"/>
        <w:bottom w:val="none" w:sz="0" w:space="0" w:color="auto"/>
        <w:right w:val="none" w:sz="0" w:space="0" w:color="auto"/>
      </w:divBdr>
    </w:div>
    <w:div w:id="1241718547">
      <w:bodyDiv w:val="1"/>
      <w:marLeft w:val="0"/>
      <w:marRight w:val="0"/>
      <w:marTop w:val="0"/>
      <w:marBottom w:val="0"/>
      <w:divBdr>
        <w:top w:val="none" w:sz="0" w:space="0" w:color="auto"/>
        <w:left w:val="none" w:sz="0" w:space="0" w:color="auto"/>
        <w:bottom w:val="none" w:sz="0" w:space="0" w:color="auto"/>
        <w:right w:val="none" w:sz="0" w:space="0" w:color="auto"/>
      </w:divBdr>
    </w:div>
    <w:div w:id="1284800151">
      <w:bodyDiv w:val="1"/>
      <w:marLeft w:val="0"/>
      <w:marRight w:val="0"/>
      <w:marTop w:val="0"/>
      <w:marBottom w:val="0"/>
      <w:divBdr>
        <w:top w:val="none" w:sz="0" w:space="0" w:color="auto"/>
        <w:left w:val="none" w:sz="0" w:space="0" w:color="auto"/>
        <w:bottom w:val="none" w:sz="0" w:space="0" w:color="auto"/>
        <w:right w:val="none" w:sz="0" w:space="0" w:color="auto"/>
      </w:divBdr>
    </w:div>
    <w:div w:id="1345399099">
      <w:bodyDiv w:val="1"/>
      <w:marLeft w:val="0"/>
      <w:marRight w:val="0"/>
      <w:marTop w:val="0"/>
      <w:marBottom w:val="0"/>
      <w:divBdr>
        <w:top w:val="none" w:sz="0" w:space="0" w:color="auto"/>
        <w:left w:val="none" w:sz="0" w:space="0" w:color="auto"/>
        <w:bottom w:val="none" w:sz="0" w:space="0" w:color="auto"/>
        <w:right w:val="none" w:sz="0" w:space="0" w:color="auto"/>
      </w:divBdr>
    </w:div>
    <w:div w:id="1346521035">
      <w:bodyDiv w:val="1"/>
      <w:marLeft w:val="0"/>
      <w:marRight w:val="0"/>
      <w:marTop w:val="0"/>
      <w:marBottom w:val="0"/>
      <w:divBdr>
        <w:top w:val="none" w:sz="0" w:space="0" w:color="auto"/>
        <w:left w:val="none" w:sz="0" w:space="0" w:color="auto"/>
        <w:bottom w:val="none" w:sz="0" w:space="0" w:color="auto"/>
        <w:right w:val="none" w:sz="0" w:space="0" w:color="auto"/>
      </w:divBdr>
    </w:div>
    <w:div w:id="1453937324">
      <w:bodyDiv w:val="1"/>
      <w:marLeft w:val="0"/>
      <w:marRight w:val="0"/>
      <w:marTop w:val="0"/>
      <w:marBottom w:val="0"/>
      <w:divBdr>
        <w:top w:val="none" w:sz="0" w:space="0" w:color="auto"/>
        <w:left w:val="none" w:sz="0" w:space="0" w:color="auto"/>
        <w:bottom w:val="none" w:sz="0" w:space="0" w:color="auto"/>
        <w:right w:val="none" w:sz="0" w:space="0" w:color="auto"/>
      </w:divBdr>
    </w:div>
    <w:div w:id="1459489425">
      <w:bodyDiv w:val="1"/>
      <w:marLeft w:val="0"/>
      <w:marRight w:val="0"/>
      <w:marTop w:val="0"/>
      <w:marBottom w:val="0"/>
      <w:divBdr>
        <w:top w:val="none" w:sz="0" w:space="0" w:color="auto"/>
        <w:left w:val="none" w:sz="0" w:space="0" w:color="auto"/>
        <w:bottom w:val="none" w:sz="0" w:space="0" w:color="auto"/>
        <w:right w:val="none" w:sz="0" w:space="0" w:color="auto"/>
      </w:divBdr>
    </w:div>
    <w:div w:id="1469855040">
      <w:bodyDiv w:val="1"/>
      <w:marLeft w:val="0"/>
      <w:marRight w:val="0"/>
      <w:marTop w:val="0"/>
      <w:marBottom w:val="0"/>
      <w:divBdr>
        <w:top w:val="none" w:sz="0" w:space="0" w:color="auto"/>
        <w:left w:val="none" w:sz="0" w:space="0" w:color="auto"/>
        <w:bottom w:val="none" w:sz="0" w:space="0" w:color="auto"/>
        <w:right w:val="none" w:sz="0" w:space="0" w:color="auto"/>
      </w:divBdr>
    </w:div>
    <w:div w:id="1475640907">
      <w:bodyDiv w:val="1"/>
      <w:marLeft w:val="0"/>
      <w:marRight w:val="0"/>
      <w:marTop w:val="0"/>
      <w:marBottom w:val="0"/>
      <w:divBdr>
        <w:top w:val="none" w:sz="0" w:space="0" w:color="auto"/>
        <w:left w:val="none" w:sz="0" w:space="0" w:color="auto"/>
        <w:bottom w:val="none" w:sz="0" w:space="0" w:color="auto"/>
        <w:right w:val="none" w:sz="0" w:space="0" w:color="auto"/>
      </w:divBdr>
    </w:div>
    <w:div w:id="1487820582">
      <w:bodyDiv w:val="1"/>
      <w:marLeft w:val="0"/>
      <w:marRight w:val="0"/>
      <w:marTop w:val="0"/>
      <w:marBottom w:val="0"/>
      <w:divBdr>
        <w:top w:val="none" w:sz="0" w:space="0" w:color="auto"/>
        <w:left w:val="none" w:sz="0" w:space="0" w:color="auto"/>
        <w:bottom w:val="none" w:sz="0" w:space="0" w:color="auto"/>
        <w:right w:val="none" w:sz="0" w:space="0" w:color="auto"/>
      </w:divBdr>
    </w:div>
    <w:div w:id="1496145683">
      <w:bodyDiv w:val="1"/>
      <w:marLeft w:val="0"/>
      <w:marRight w:val="0"/>
      <w:marTop w:val="0"/>
      <w:marBottom w:val="0"/>
      <w:divBdr>
        <w:top w:val="none" w:sz="0" w:space="0" w:color="auto"/>
        <w:left w:val="none" w:sz="0" w:space="0" w:color="auto"/>
        <w:bottom w:val="none" w:sz="0" w:space="0" w:color="auto"/>
        <w:right w:val="none" w:sz="0" w:space="0" w:color="auto"/>
      </w:divBdr>
    </w:div>
    <w:div w:id="1496723566">
      <w:bodyDiv w:val="1"/>
      <w:marLeft w:val="0"/>
      <w:marRight w:val="0"/>
      <w:marTop w:val="0"/>
      <w:marBottom w:val="0"/>
      <w:divBdr>
        <w:top w:val="none" w:sz="0" w:space="0" w:color="auto"/>
        <w:left w:val="none" w:sz="0" w:space="0" w:color="auto"/>
        <w:bottom w:val="none" w:sz="0" w:space="0" w:color="auto"/>
        <w:right w:val="none" w:sz="0" w:space="0" w:color="auto"/>
      </w:divBdr>
    </w:div>
    <w:div w:id="1513184452">
      <w:bodyDiv w:val="1"/>
      <w:marLeft w:val="0"/>
      <w:marRight w:val="0"/>
      <w:marTop w:val="0"/>
      <w:marBottom w:val="0"/>
      <w:divBdr>
        <w:top w:val="none" w:sz="0" w:space="0" w:color="auto"/>
        <w:left w:val="none" w:sz="0" w:space="0" w:color="auto"/>
        <w:bottom w:val="none" w:sz="0" w:space="0" w:color="auto"/>
        <w:right w:val="none" w:sz="0" w:space="0" w:color="auto"/>
      </w:divBdr>
    </w:div>
    <w:div w:id="1582524065">
      <w:bodyDiv w:val="1"/>
      <w:marLeft w:val="0"/>
      <w:marRight w:val="0"/>
      <w:marTop w:val="0"/>
      <w:marBottom w:val="0"/>
      <w:divBdr>
        <w:top w:val="none" w:sz="0" w:space="0" w:color="auto"/>
        <w:left w:val="none" w:sz="0" w:space="0" w:color="auto"/>
        <w:bottom w:val="none" w:sz="0" w:space="0" w:color="auto"/>
        <w:right w:val="none" w:sz="0" w:space="0" w:color="auto"/>
      </w:divBdr>
    </w:div>
    <w:div w:id="1596212378">
      <w:bodyDiv w:val="1"/>
      <w:marLeft w:val="0"/>
      <w:marRight w:val="0"/>
      <w:marTop w:val="0"/>
      <w:marBottom w:val="0"/>
      <w:divBdr>
        <w:top w:val="none" w:sz="0" w:space="0" w:color="auto"/>
        <w:left w:val="none" w:sz="0" w:space="0" w:color="auto"/>
        <w:bottom w:val="none" w:sz="0" w:space="0" w:color="auto"/>
        <w:right w:val="none" w:sz="0" w:space="0" w:color="auto"/>
      </w:divBdr>
    </w:div>
    <w:div w:id="1607227989">
      <w:bodyDiv w:val="1"/>
      <w:marLeft w:val="0"/>
      <w:marRight w:val="0"/>
      <w:marTop w:val="0"/>
      <w:marBottom w:val="0"/>
      <w:divBdr>
        <w:top w:val="none" w:sz="0" w:space="0" w:color="auto"/>
        <w:left w:val="none" w:sz="0" w:space="0" w:color="auto"/>
        <w:bottom w:val="none" w:sz="0" w:space="0" w:color="auto"/>
        <w:right w:val="none" w:sz="0" w:space="0" w:color="auto"/>
      </w:divBdr>
    </w:div>
    <w:div w:id="1637101870">
      <w:bodyDiv w:val="1"/>
      <w:marLeft w:val="0"/>
      <w:marRight w:val="0"/>
      <w:marTop w:val="0"/>
      <w:marBottom w:val="0"/>
      <w:divBdr>
        <w:top w:val="none" w:sz="0" w:space="0" w:color="auto"/>
        <w:left w:val="none" w:sz="0" w:space="0" w:color="auto"/>
        <w:bottom w:val="none" w:sz="0" w:space="0" w:color="auto"/>
        <w:right w:val="none" w:sz="0" w:space="0" w:color="auto"/>
      </w:divBdr>
    </w:div>
    <w:div w:id="1712533881">
      <w:bodyDiv w:val="1"/>
      <w:marLeft w:val="0"/>
      <w:marRight w:val="0"/>
      <w:marTop w:val="0"/>
      <w:marBottom w:val="0"/>
      <w:divBdr>
        <w:top w:val="none" w:sz="0" w:space="0" w:color="auto"/>
        <w:left w:val="none" w:sz="0" w:space="0" w:color="auto"/>
        <w:bottom w:val="none" w:sz="0" w:space="0" w:color="auto"/>
        <w:right w:val="none" w:sz="0" w:space="0" w:color="auto"/>
      </w:divBdr>
    </w:div>
    <w:div w:id="1717855745">
      <w:bodyDiv w:val="1"/>
      <w:marLeft w:val="0"/>
      <w:marRight w:val="0"/>
      <w:marTop w:val="0"/>
      <w:marBottom w:val="0"/>
      <w:divBdr>
        <w:top w:val="none" w:sz="0" w:space="0" w:color="auto"/>
        <w:left w:val="none" w:sz="0" w:space="0" w:color="auto"/>
        <w:bottom w:val="none" w:sz="0" w:space="0" w:color="auto"/>
        <w:right w:val="none" w:sz="0" w:space="0" w:color="auto"/>
      </w:divBdr>
    </w:div>
    <w:div w:id="1718041266">
      <w:bodyDiv w:val="1"/>
      <w:marLeft w:val="0"/>
      <w:marRight w:val="0"/>
      <w:marTop w:val="0"/>
      <w:marBottom w:val="0"/>
      <w:divBdr>
        <w:top w:val="none" w:sz="0" w:space="0" w:color="auto"/>
        <w:left w:val="none" w:sz="0" w:space="0" w:color="auto"/>
        <w:bottom w:val="none" w:sz="0" w:space="0" w:color="auto"/>
        <w:right w:val="none" w:sz="0" w:space="0" w:color="auto"/>
      </w:divBdr>
    </w:div>
    <w:div w:id="1759207786">
      <w:bodyDiv w:val="1"/>
      <w:marLeft w:val="0"/>
      <w:marRight w:val="0"/>
      <w:marTop w:val="0"/>
      <w:marBottom w:val="0"/>
      <w:divBdr>
        <w:top w:val="none" w:sz="0" w:space="0" w:color="auto"/>
        <w:left w:val="none" w:sz="0" w:space="0" w:color="auto"/>
        <w:bottom w:val="none" w:sz="0" w:space="0" w:color="auto"/>
        <w:right w:val="none" w:sz="0" w:space="0" w:color="auto"/>
      </w:divBdr>
    </w:div>
    <w:div w:id="1784567786">
      <w:bodyDiv w:val="1"/>
      <w:marLeft w:val="0"/>
      <w:marRight w:val="0"/>
      <w:marTop w:val="0"/>
      <w:marBottom w:val="0"/>
      <w:divBdr>
        <w:top w:val="none" w:sz="0" w:space="0" w:color="auto"/>
        <w:left w:val="none" w:sz="0" w:space="0" w:color="auto"/>
        <w:bottom w:val="none" w:sz="0" w:space="0" w:color="auto"/>
        <w:right w:val="none" w:sz="0" w:space="0" w:color="auto"/>
      </w:divBdr>
    </w:div>
    <w:div w:id="1796362635">
      <w:bodyDiv w:val="1"/>
      <w:marLeft w:val="0"/>
      <w:marRight w:val="0"/>
      <w:marTop w:val="0"/>
      <w:marBottom w:val="0"/>
      <w:divBdr>
        <w:top w:val="none" w:sz="0" w:space="0" w:color="auto"/>
        <w:left w:val="none" w:sz="0" w:space="0" w:color="auto"/>
        <w:bottom w:val="none" w:sz="0" w:space="0" w:color="auto"/>
        <w:right w:val="none" w:sz="0" w:space="0" w:color="auto"/>
      </w:divBdr>
    </w:div>
    <w:div w:id="1813869736">
      <w:bodyDiv w:val="1"/>
      <w:marLeft w:val="0"/>
      <w:marRight w:val="0"/>
      <w:marTop w:val="0"/>
      <w:marBottom w:val="0"/>
      <w:divBdr>
        <w:top w:val="none" w:sz="0" w:space="0" w:color="auto"/>
        <w:left w:val="none" w:sz="0" w:space="0" w:color="auto"/>
        <w:bottom w:val="none" w:sz="0" w:space="0" w:color="auto"/>
        <w:right w:val="none" w:sz="0" w:space="0" w:color="auto"/>
      </w:divBdr>
    </w:div>
    <w:div w:id="1868325525">
      <w:bodyDiv w:val="1"/>
      <w:marLeft w:val="0"/>
      <w:marRight w:val="0"/>
      <w:marTop w:val="0"/>
      <w:marBottom w:val="0"/>
      <w:divBdr>
        <w:top w:val="none" w:sz="0" w:space="0" w:color="auto"/>
        <w:left w:val="none" w:sz="0" w:space="0" w:color="auto"/>
        <w:bottom w:val="none" w:sz="0" w:space="0" w:color="auto"/>
        <w:right w:val="none" w:sz="0" w:space="0" w:color="auto"/>
      </w:divBdr>
    </w:div>
    <w:div w:id="1889880306">
      <w:bodyDiv w:val="1"/>
      <w:marLeft w:val="0"/>
      <w:marRight w:val="0"/>
      <w:marTop w:val="0"/>
      <w:marBottom w:val="0"/>
      <w:divBdr>
        <w:top w:val="none" w:sz="0" w:space="0" w:color="auto"/>
        <w:left w:val="none" w:sz="0" w:space="0" w:color="auto"/>
        <w:bottom w:val="none" w:sz="0" w:space="0" w:color="auto"/>
        <w:right w:val="none" w:sz="0" w:space="0" w:color="auto"/>
      </w:divBdr>
    </w:div>
    <w:div w:id="1907378941">
      <w:bodyDiv w:val="1"/>
      <w:marLeft w:val="0"/>
      <w:marRight w:val="0"/>
      <w:marTop w:val="0"/>
      <w:marBottom w:val="0"/>
      <w:divBdr>
        <w:top w:val="none" w:sz="0" w:space="0" w:color="auto"/>
        <w:left w:val="none" w:sz="0" w:space="0" w:color="auto"/>
        <w:bottom w:val="none" w:sz="0" w:space="0" w:color="auto"/>
        <w:right w:val="none" w:sz="0" w:space="0" w:color="auto"/>
      </w:divBdr>
    </w:div>
    <w:div w:id="1911957496">
      <w:bodyDiv w:val="1"/>
      <w:marLeft w:val="0"/>
      <w:marRight w:val="0"/>
      <w:marTop w:val="0"/>
      <w:marBottom w:val="0"/>
      <w:divBdr>
        <w:top w:val="none" w:sz="0" w:space="0" w:color="auto"/>
        <w:left w:val="none" w:sz="0" w:space="0" w:color="auto"/>
        <w:bottom w:val="none" w:sz="0" w:space="0" w:color="auto"/>
        <w:right w:val="none" w:sz="0" w:space="0" w:color="auto"/>
      </w:divBdr>
    </w:div>
    <w:div w:id="1949434576">
      <w:bodyDiv w:val="1"/>
      <w:marLeft w:val="0"/>
      <w:marRight w:val="0"/>
      <w:marTop w:val="0"/>
      <w:marBottom w:val="0"/>
      <w:divBdr>
        <w:top w:val="none" w:sz="0" w:space="0" w:color="auto"/>
        <w:left w:val="none" w:sz="0" w:space="0" w:color="auto"/>
        <w:bottom w:val="none" w:sz="0" w:space="0" w:color="auto"/>
        <w:right w:val="none" w:sz="0" w:space="0" w:color="auto"/>
      </w:divBdr>
    </w:div>
    <w:div w:id="1952348409">
      <w:bodyDiv w:val="1"/>
      <w:marLeft w:val="0"/>
      <w:marRight w:val="0"/>
      <w:marTop w:val="0"/>
      <w:marBottom w:val="0"/>
      <w:divBdr>
        <w:top w:val="none" w:sz="0" w:space="0" w:color="auto"/>
        <w:left w:val="none" w:sz="0" w:space="0" w:color="auto"/>
        <w:bottom w:val="none" w:sz="0" w:space="0" w:color="auto"/>
        <w:right w:val="none" w:sz="0" w:space="0" w:color="auto"/>
      </w:divBdr>
    </w:div>
    <w:div w:id="1982541365">
      <w:bodyDiv w:val="1"/>
      <w:marLeft w:val="0"/>
      <w:marRight w:val="0"/>
      <w:marTop w:val="0"/>
      <w:marBottom w:val="0"/>
      <w:divBdr>
        <w:top w:val="none" w:sz="0" w:space="0" w:color="auto"/>
        <w:left w:val="none" w:sz="0" w:space="0" w:color="auto"/>
        <w:bottom w:val="none" w:sz="0" w:space="0" w:color="auto"/>
        <w:right w:val="none" w:sz="0" w:space="0" w:color="auto"/>
      </w:divBdr>
    </w:div>
    <w:div w:id="2033679238">
      <w:bodyDiv w:val="1"/>
      <w:marLeft w:val="0"/>
      <w:marRight w:val="0"/>
      <w:marTop w:val="0"/>
      <w:marBottom w:val="0"/>
      <w:divBdr>
        <w:top w:val="none" w:sz="0" w:space="0" w:color="auto"/>
        <w:left w:val="none" w:sz="0" w:space="0" w:color="auto"/>
        <w:bottom w:val="none" w:sz="0" w:space="0" w:color="auto"/>
        <w:right w:val="none" w:sz="0" w:space="0" w:color="auto"/>
      </w:divBdr>
    </w:div>
    <w:div w:id="2046982008">
      <w:bodyDiv w:val="1"/>
      <w:marLeft w:val="0"/>
      <w:marRight w:val="0"/>
      <w:marTop w:val="0"/>
      <w:marBottom w:val="0"/>
      <w:divBdr>
        <w:top w:val="none" w:sz="0" w:space="0" w:color="auto"/>
        <w:left w:val="none" w:sz="0" w:space="0" w:color="auto"/>
        <w:bottom w:val="none" w:sz="0" w:space="0" w:color="auto"/>
        <w:right w:val="none" w:sz="0" w:space="0" w:color="auto"/>
      </w:divBdr>
    </w:div>
    <w:div w:id="2069257799">
      <w:bodyDiv w:val="1"/>
      <w:marLeft w:val="0"/>
      <w:marRight w:val="0"/>
      <w:marTop w:val="0"/>
      <w:marBottom w:val="0"/>
      <w:divBdr>
        <w:top w:val="none" w:sz="0" w:space="0" w:color="auto"/>
        <w:left w:val="none" w:sz="0" w:space="0" w:color="auto"/>
        <w:bottom w:val="none" w:sz="0" w:space="0" w:color="auto"/>
        <w:right w:val="none" w:sz="0" w:space="0" w:color="auto"/>
      </w:divBdr>
    </w:div>
    <w:div w:id="2095856925">
      <w:bodyDiv w:val="1"/>
      <w:marLeft w:val="0"/>
      <w:marRight w:val="0"/>
      <w:marTop w:val="0"/>
      <w:marBottom w:val="0"/>
      <w:divBdr>
        <w:top w:val="none" w:sz="0" w:space="0" w:color="auto"/>
        <w:left w:val="none" w:sz="0" w:space="0" w:color="auto"/>
        <w:bottom w:val="none" w:sz="0" w:space="0" w:color="auto"/>
        <w:right w:val="none" w:sz="0" w:space="0" w:color="auto"/>
      </w:divBdr>
    </w:div>
    <w:div w:id="209585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Publications/General/SEM%20REMIT%20Reporting%20Workshop%20QA.docx" TargetMode="Externa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acer-remit.eu/portal/home"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1671</MMTID>
    <ModID xmlns="bd8dd43f-48f8-46ce-9b8d-78f402b7750b">713</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DDDEF8D-6C6D-44E6-9D96-3C48E835BC4B}"/>
</file>

<file path=customXml/itemProps2.xml><?xml version="1.0" encoding="utf-8"?>
<ds:datastoreItem xmlns:ds="http://schemas.openxmlformats.org/officeDocument/2006/customXml" ds:itemID="{A8B8CF21-17A1-4F3B-89F7-80222C07D05C}"/>
</file>

<file path=customXml/itemProps3.xml><?xml version="1.0" encoding="utf-8"?>
<ds:datastoreItem xmlns:ds="http://schemas.openxmlformats.org/officeDocument/2006/customXml" ds:itemID="{A3D2F34E-1E38-4D47-AF9A-816B88F9B100}"/>
</file>

<file path=customXml/itemProps4.xml><?xml version="1.0" encoding="utf-8"?>
<ds:datastoreItem xmlns:ds="http://schemas.openxmlformats.org/officeDocument/2006/customXml" ds:itemID="{2F0538BF-65F8-425C-88FD-A9BEA021D5D3}"/>
</file>

<file path=docProps/app.xml><?xml version="1.0" encoding="utf-8"?>
<Properties xmlns="http://schemas.openxmlformats.org/officeDocument/2006/extended-properties" xmlns:vt="http://schemas.openxmlformats.org/officeDocument/2006/docPropsVTypes">
  <Template>Normal</Template>
  <TotalTime>1</TotalTime>
  <Pages>8</Pages>
  <Words>2132</Words>
  <Characters>12159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SONI Ltd</Company>
  <LinksUpToDate>false</LinksUpToDate>
  <CharactersWithSpaces>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REMIT Participant Feedback</dc:title>
  <dc:subject/>
  <dc:creator>Leigh Williamson</dc:creator>
  <cp:keywords/>
  <dc:description/>
  <cp:lastModifiedBy>eblair</cp:lastModifiedBy>
  <cp:revision>2</cp:revision>
  <dcterms:created xsi:type="dcterms:W3CDTF">2015-07-24T14:09:00Z</dcterms:created>
  <dcterms:modified xsi:type="dcterms:W3CDTF">2015-07-24T14:09:00Z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Other</vt:lpwstr>
  </property>
  <property fmtid="{D5CDD505-2E9C-101B-9397-08002B2CF9AE}" pid="6" name="Copy to Website">
    <vt:lpwstr>true</vt:lpwstr>
  </property>
  <property fmtid="{D5CDD505-2E9C-101B-9397-08002B2CF9AE}" pid="7" name="Mod ID">
    <vt:lpwstr>1051</vt:lpwstr>
  </property>
  <property fmtid="{D5CDD505-2E9C-101B-9397-08002B2CF9AE}" pid="8" name="Year of Modification Proposal">
    <vt:lpwstr>2015</vt:lpwstr>
  </property>
  <property fmtid="{D5CDD505-2E9C-101B-9397-08002B2CF9AE}" pid="10" name="_CopySource">
    <vt:lpwstr>REMIT Participant feedback_Mods Meeting 62.docx</vt:lpwstr>
  </property>
  <property fmtid="{D5CDD505-2E9C-101B-9397-08002B2CF9AE}" pid="11" name="Order">
    <vt:r8>364000</vt:r8>
  </property>
</Properties>
</file>