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86" w:rsidRDefault="00613586"/>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613586">
        <w:tc>
          <w:tcPr>
            <w:tcW w:w="9243" w:type="dxa"/>
            <w:gridSpan w:val="6"/>
            <w:shd w:val="clear" w:color="auto" w:fill="548DD4"/>
            <w:vAlign w:val="center"/>
          </w:tcPr>
          <w:p w:rsidR="004C53E7" w:rsidRPr="004C53E7" w:rsidRDefault="004C53E7" w:rsidP="00613586">
            <w:pPr>
              <w:jc w:val="center"/>
              <w:rPr>
                <w:rFonts w:ascii="Calibri" w:hAnsi="Calibri" w:cs="Arial"/>
                <w:lang w:val="en-IE"/>
              </w:rPr>
            </w:pPr>
          </w:p>
          <w:p w:rsidR="004C53E7" w:rsidRPr="00980122" w:rsidRDefault="004C53E7" w:rsidP="00613586">
            <w:pPr>
              <w:jc w:val="center"/>
              <w:rPr>
                <w:rFonts w:ascii="Calibri" w:hAnsi="Calibri" w:cs="Arial"/>
                <w:color w:val="FFFFFF" w:themeColor="background1"/>
                <w:lang w:val="en-IE"/>
              </w:rPr>
            </w:pPr>
            <w:r w:rsidRPr="00980122">
              <w:rPr>
                <w:rFonts w:ascii="Calibri" w:hAnsi="Calibri" w:cs="Arial"/>
                <w:b/>
                <w:color w:val="FFFFFF" w:themeColor="background1"/>
                <w:lang w:val="en-IE"/>
              </w:rPr>
              <w:t>MODIFICATION PROPOSAL FORM</w:t>
            </w:r>
          </w:p>
          <w:p w:rsidR="004C53E7" w:rsidRPr="004C53E7" w:rsidRDefault="004C53E7" w:rsidP="00613586">
            <w:pPr>
              <w:jc w:val="center"/>
              <w:rPr>
                <w:rFonts w:ascii="Calibri" w:hAnsi="Calibri" w:cs="Arial"/>
                <w:lang w:val="en-IE"/>
              </w:rPr>
            </w:pPr>
          </w:p>
        </w:tc>
      </w:tr>
      <w:tr w:rsidR="004C53E7" w:rsidRPr="004C53E7" w:rsidTr="00613586">
        <w:tc>
          <w:tcPr>
            <w:tcW w:w="2088" w:type="dxa"/>
            <w:vAlign w:val="center"/>
          </w:tcPr>
          <w:p w:rsidR="004C53E7" w:rsidRPr="004C53E7" w:rsidRDefault="004C53E7" w:rsidP="00613586">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613586">
            <w:pPr>
              <w:jc w:val="center"/>
              <w:rPr>
                <w:rFonts w:ascii="Arial" w:hAnsi="Arial" w:cs="Arial"/>
                <w:sz w:val="18"/>
                <w:szCs w:val="18"/>
                <w:lang w:val="en-IE"/>
              </w:rPr>
            </w:pPr>
          </w:p>
        </w:tc>
        <w:tc>
          <w:tcPr>
            <w:tcW w:w="2533" w:type="dxa"/>
            <w:gridSpan w:val="2"/>
            <w:vAlign w:val="center"/>
          </w:tcPr>
          <w:p w:rsidR="004C53E7" w:rsidRPr="004C53E7" w:rsidRDefault="004C53E7" w:rsidP="00613586">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613586">
            <w:pPr>
              <w:jc w:val="center"/>
              <w:rPr>
                <w:rFonts w:ascii="Calibri" w:hAnsi="Calibri" w:cs="Arial"/>
                <w:lang w:val="en-IE"/>
              </w:rPr>
            </w:pPr>
          </w:p>
        </w:tc>
        <w:tc>
          <w:tcPr>
            <w:tcW w:w="2311" w:type="dxa"/>
            <w:gridSpan w:val="2"/>
            <w:vAlign w:val="center"/>
          </w:tcPr>
          <w:p w:rsidR="004C53E7" w:rsidRPr="004C53E7" w:rsidRDefault="004C53E7" w:rsidP="00613586">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613586">
            <w:pPr>
              <w:jc w:val="center"/>
              <w:rPr>
                <w:rFonts w:ascii="Calibri" w:hAnsi="Calibri" w:cs="Arial"/>
                <w:lang w:val="en-IE"/>
              </w:rPr>
            </w:pPr>
          </w:p>
        </w:tc>
        <w:tc>
          <w:tcPr>
            <w:tcW w:w="2311" w:type="dxa"/>
            <w:vAlign w:val="center"/>
          </w:tcPr>
          <w:p w:rsidR="004C53E7" w:rsidRPr="004C53E7" w:rsidRDefault="004C53E7" w:rsidP="00613586">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215712">
            <w:pPr>
              <w:rPr>
                <w:rFonts w:ascii="Calibri" w:hAnsi="Calibri" w:cs="Arial"/>
                <w:lang w:val="en-IE"/>
              </w:rPr>
            </w:pPr>
          </w:p>
        </w:tc>
      </w:tr>
      <w:tr w:rsidR="004C53E7" w:rsidRPr="007D54DA" w:rsidTr="00693AA7">
        <w:tc>
          <w:tcPr>
            <w:tcW w:w="2088" w:type="dxa"/>
            <w:vAlign w:val="center"/>
          </w:tcPr>
          <w:p w:rsidR="004C53E7" w:rsidRPr="007D54DA" w:rsidRDefault="00613586" w:rsidP="00693AA7">
            <w:pPr>
              <w:jc w:val="center"/>
              <w:rPr>
                <w:rFonts w:ascii="Calibri" w:hAnsi="Calibri" w:cs="Arial"/>
                <w:lang w:val="en-IE"/>
              </w:rPr>
            </w:pPr>
            <w:r w:rsidRPr="007D54DA">
              <w:rPr>
                <w:rFonts w:ascii="Calibri" w:hAnsi="Calibri" w:cs="Arial"/>
                <w:lang w:val="en-IE"/>
              </w:rPr>
              <w:t>Regulatory Authorities</w:t>
            </w:r>
          </w:p>
        </w:tc>
        <w:tc>
          <w:tcPr>
            <w:tcW w:w="2533" w:type="dxa"/>
            <w:gridSpan w:val="2"/>
            <w:vAlign w:val="center"/>
          </w:tcPr>
          <w:p w:rsidR="004C53E7" w:rsidRPr="007D54DA" w:rsidRDefault="00215712" w:rsidP="00693AA7">
            <w:pPr>
              <w:jc w:val="center"/>
              <w:rPr>
                <w:rFonts w:ascii="Calibri" w:hAnsi="Calibri" w:cs="Arial"/>
                <w:lang w:val="en-IE"/>
              </w:rPr>
            </w:pPr>
            <w:r>
              <w:rPr>
                <w:rFonts w:ascii="Calibri" w:hAnsi="Calibri" w:cs="Arial"/>
                <w:lang w:val="en-IE"/>
              </w:rPr>
              <w:t>22 November 2011</w:t>
            </w:r>
          </w:p>
        </w:tc>
        <w:tc>
          <w:tcPr>
            <w:tcW w:w="2311" w:type="dxa"/>
            <w:gridSpan w:val="2"/>
            <w:vAlign w:val="center"/>
          </w:tcPr>
          <w:p w:rsidR="004C53E7" w:rsidRPr="007D54DA" w:rsidRDefault="004C53E7" w:rsidP="007D54DA">
            <w:pPr>
              <w:jc w:val="center"/>
              <w:rPr>
                <w:rFonts w:ascii="Calibri" w:hAnsi="Calibri" w:cs="Arial"/>
                <w:lang w:val="en-IE"/>
              </w:rPr>
            </w:pPr>
            <w:r w:rsidRPr="007D54DA">
              <w:rPr>
                <w:rFonts w:ascii="Calibri" w:hAnsi="Calibri" w:cs="Arial"/>
                <w:lang w:val="en-IE"/>
              </w:rPr>
              <w:t>Standard</w:t>
            </w:r>
          </w:p>
        </w:tc>
        <w:tc>
          <w:tcPr>
            <w:tcW w:w="2311" w:type="dxa"/>
            <w:vAlign w:val="center"/>
          </w:tcPr>
          <w:p w:rsidR="004C53E7" w:rsidRPr="007D54DA" w:rsidRDefault="00215712" w:rsidP="00693AA7">
            <w:pPr>
              <w:jc w:val="center"/>
              <w:rPr>
                <w:rFonts w:ascii="Calibri" w:hAnsi="Calibri" w:cs="Arial"/>
                <w:lang w:val="en-IE"/>
              </w:rPr>
            </w:pPr>
            <w:r>
              <w:rPr>
                <w:rFonts w:ascii="Calibri" w:hAnsi="Calibri" w:cs="Arial"/>
                <w:lang w:val="en-IE"/>
              </w:rPr>
              <w:t>Mod_34_11</w:t>
            </w:r>
          </w:p>
        </w:tc>
      </w:tr>
      <w:tr w:rsidR="004C53E7" w:rsidRPr="004C53E7" w:rsidTr="00613586">
        <w:trPr>
          <w:trHeight w:val="467"/>
        </w:trPr>
        <w:tc>
          <w:tcPr>
            <w:tcW w:w="9243" w:type="dxa"/>
            <w:gridSpan w:val="6"/>
            <w:shd w:val="clear" w:color="auto" w:fill="C6D9F1"/>
            <w:vAlign w:val="center"/>
          </w:tcPr>
          <w:p w:rsidR="004C53E7" w:rsidRPr="004C53E7" w:rsidRDefault="004C53E7" w:rsidP="00613586">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613586">
        <w:tc>
          <w:tcPr>
            <w:tcW w:w="2943" w:type="dxa"/>
            <w:gridSpan w:val="2"/>
            <w:vAlign w:val="center"/>
          </w:tcPr>
          <w:p w:rsidR="004C53E7" w:rsidRPr="004C53E7" w:rsidRDefault="004C53E7" w:rsidP="00613586">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613586">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613586">
            <w:pPr>
              <w:jc w:val="center"/>
              <w:rPr>
                <w:rFonts w:ascii="Calibri" w:hAnsi="Calibri" w:cs="Arial"/>
                <w:lang w:val="en-IE"/>
              </w:rPr>
            </w:pPr>
            <w:r w:rsidRPr="004C53E7">
              <w:rPr>
                <w:rFonts w:ascii="Calibri" w:hAnsi="Calibri" w:cs="Arial"/>
                <w:b/>
                <w:bCs/>
                <w:lang w:val="en-IE"/>
              </w:rPr>
              <w:t>Email address</w:t>
            </w:r>
          </w:p>
        </w:tc>
      </w:tr>
      <w:tr w:rsidR="004C53E7" w:rsidRPr="007D54DA" w:rsidTr="00693AA7">
        <w:tc>
          <w:tcPr>
            <w:tcW w:w="2943" w:type="dxa"/>
            <w:gridSpan w:val="2"/>
            <w:vAlign w:val="center"/>
          </w:tcPr>
          <w:p w:rsidR="00FC1B3B" w:rsidRPr="007D54DA" w:rsidRDefault="006A4916" w:rsidP="009D2108">
            <w:pPr>
              <w:jc w:val="center"/>
              <w:rPr>
                <w:rFonts w:ascii="Calibri" w:hAnsi="Calibri" w:cs="Arial"/>
                <w:lang w:val="en-IE"/>
              </w:rPr>
            </w:pPr>
            <w:r>
              <w:rPr>
                <w:rFonts w:ascii="Calibri" w:hAnsi="Calibri" w:cs="Arial"/>
                <w:lang w:val="en-IE"/>
              </w:rPr>
              <w:t>Regulatory Authorities</w:t>
            </w:r>
          </w:p>
        </w:tc>
        <w:tc>
          <w:tcPr>
            <w:tcW w:w="2925" w:type="dxa"/>
            <w:gridSpan w:val="2"/>
            <w:vAlign w:val="center"/>
          </w:tcPr>
          <w:p w:rsidR="00FC1B3B" w:rsidRPr="007D54DA" w:rsidRDefault="00613586" w:rsidP="009D2108">
            <w:pPr>
              <w:jc w:val="center"/>
              <w:rPr>
                <w:rFonts w:ascii="Calibri" w:hAnsi="Calibri" w:cs="Arial"/>
                <w:lang w:val="en-IE"/>
              </w:rPr>
            </w:pPr>
            <w:r w:rsidRPr="007D54DA">
              <w:rPr>
                <w:rFonts w:ascii="Calibri" w:hAnsi="Calibri" w:cs="Arial"/>
                <w:lang w:val="en-IE"/>
              </w:rPr>
              <w:t>01 4000800</w:t>
            </w:r>
          </w:p>
        </w:tc>
        <w:tc>
          <w:tcPr>
            <w:tcW w:w="3375" w:type="dxa"/>
            <w:gridSpan w:val="2"/>
            <w:vAlign w:val="center"/>
          </w:tcPr>
          <w:p w:rsidR="00FC1B3B" w:rsidRPr="007D54DA" w:rsidRDefault="006A4916" w:rsidP="009D2108">
            <w:pPr>
              <w:jc w:val="center"/>
              <w:rPr>
                <w:rFonts w:ascii="Calibri" w:hAnsi="Calibri" w:cs="Arial"/>
                <w:lang w:val="en-IE"/>
              </w:rPr>
            </w:pPr>
            <w:r>
              <w:rPr>
                <w:rFonts w:ascii="Calibri" w:hAnsi="Calibri" w:cs="Arial"/>
                <w:lang w:val="en-IE"/>
              </w:rPr>
              <w:t>srooney</w:t>
            </w:r>
            <w:r w:rsidR="00613586" w:rsidRPr="007D54DA">
              <w:rPr>
                <w:rFonts w:ascii="Calibri" w:hAnsi="Calibri" w:cs="Arial"/>
                <w:lang w:val="en-IE"/>
              </w:rPr>
              <w:t>@cer.ie</w:t>
            </w:r>
          </w:p>
        </w:tc>
      </w:tr>
      <w:tr w:rsidR="004C53E7" w:rsidRPr="004C53E7" w:rsidTr="00613586">
        <w:trPr>
          <w:trHeight w:val="327"/>
        </w:trPr>
        <w:tc>
          <w:tcPr>
            <w:tcW w:w="9243" w:type="dxa"/>
            <w:gridSpan w:val="6"/>
            <w:shd w:val="clear" w:color="auto" w:fill="C6D9F1"/>
            <w:vAlign w:val="center"/>
          </w:tcPr>
          <w:p w:rsidR="004C53E7" w:rsidRPr="004C53E7" w:rsidRDefault="004C53E7" w:rsidP="00613586">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883532" w:rsidRDefault="00B10DC2" w:rsidP="00CF0B5E">
            <w:pPr>
              <w:jc w:val="center"/>
              <w:rPr>
                <w:rFonts w:ascii="Calibri" w:hAnsi="Calibri" w:cs="Arial"/>
                <w:bCs/>
                <w:color w:val="0070C0"/>
                <w:lang w:val="en-IE"/>
              </w:rPr>
            </w:pPr>
            <w:r w:rsidRPr="00CF0B5E">
              <w:rPr>
                <w:rFonts w:ascii="Calibri" w:hAnsi="Calibri" w:cs="Arial"/>
                <w:lang w:val="en-IE"/>
              </w:rPr>
              <w:t xml:space="preserve">Transition to </w:t>
            </w:r>
            <w:r w:rsidR="000A1F3E" w:rsidRPr="00CF0B5E">
              <w:rPr>
                <w:rFonts w:ascii="Calibri" w:hAnsi="Calibri" w:cs="Arial"/>
                <w:lang w:val="en-IE"/>
              </w:rPr>
              <w:t>SEM Intra-Day Trading</w:t>
            </w:r>
          </w:p>
        </w:tc>
      </w:tr>
      <w:tr w:rsidR="004C53E7" w:rsidRPr="004C53E7" w:rsidTr="00613586">
        <w:tc>
          <w:tcPr>
            <w:tcW w:w="2943" w:type="dxa"/>
            <w:gridSpan w:val="2"/>
            <w:shd w:val="clear" w:color="auto" w:fill="C6D9F1"/>
            <w:vAlign w:val="center"/>
          </w:tcPr>
          <w:p w:rsidR="004C53E7" w:rsidRPr="004C53E7" w:rsidRDefault="004C53E7" w:rsidP="00613586">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613586">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613586">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613586">
            <w:pPr>
              <w:jc w:val="center"/>
              <w:rPr>
                <w:rStyle w:val="IntenseEmphasis"/>
                <w:lang w:val="en-IE"/>
              </w:rPr>
            </w:pPr>
            <w:r w:rsidRPr="004C53E7">
              <w:rPr>
                <w:rFonts w:ascii="Calibri" w:hAnsi="Calibri" w:cs="Arial"/>
                <w:b/>
                <w:lang w:val="en-IE"/>
              </w:rPr>
              <w:t>Version number of T&amp;SC or AP used in Drafting</w:t>
            </w:r>
          </w:p>
        </w:tc>
      </w:tr>
      <w:tr w:rsidR="004C53E7" w:rsidRPr="007D54DA" w:rsidTr="00693AA7">
        <w:tc>
          <w:tcPr>
            <w:tcW w:w="2943" w:type="dxa"/>
            <w:gridSpan w:val="2"/>
            <w:shd w:val="clear" w:color="auto" w:fill="FFFFFF"/>
            <w:vAlign w:val="center"/>
          </w:tcPr>
          <w:p w:rsidR="004C53E7" w:rsidRDefault="004C53E7" w:rsidP="00693AA7">
            <w:pPr>
              <w:jc w:val="center"/>
              <w:rPr>
                <w:rFonts w:ascii="Calibri" w:hAnsi="Calibri" w:cs="Arial"/>
                <w:lang w:val="en-IE"/>
              </w:rPr>
            </w:pPr>
            <w:r w:rsidRPr="007D54DA">
              <w:rPr>
                <w:rFonts w:ascii="Calibri" w:hAnsi="Calibri" w:cs="Arial"/>
                <w:lang w:val="en-IE"/>
              </w:rPr>
              <w:t>T&amp;SC</w:t>
            </w:r>
          </w:p>
          <w:p w:rsidR="004C53E7" w:rsidRPr="007D54DA" w:rsidDel="00476388" w:rsidRDefault="004C53E7" w:rsidP="00AB24EC">
            <w:pPr>
              <w:rPr>
                <w:rFonts w:ascii="Calibri" w:hAnsi="Calibri" w:cs="Arial"/>
                <w:lang w:val="en-IE"/>
              </w:rPr>
            </w:pPr>
          </w:p>
        </w:tc>
        <w:tc>
          <w:tcPr>
            <w:tcW w:w="2925" w:type="dxa"/>
            <w:gridSpan w:val="2"/>
            <w:vAlign w:val="center"/>
          </w:tcPr>
          <w:p w:rsidR="004C53E7" w:rsidRPr="007D54DA" w:rsidRDefault="00B10DC2" w:rsidP="00693AA7">
            <w:pPr>
              <w:jc w:val="center"/>
              <w:rPr>
                <w:rFonts w:ascii="Calibri" w:hAnsi="Calibri" w:cs="Arial"/>
                <w:lang w:val="en-IE"/>
              </w:rPr>
            </w:pPr>
            <w:r>
              <w:rPr>
                <w:rFonts w:ascii="Calibri" w:hAnsi="Calibri" w:cs="Arial"/>
                <w:lang w:val="en-IE"/>
              </w:rPr>
              <w:t>2.8, new Section 9</w:t>
            </w:r>
          </w:p>
        </w:tc>
        <w:tc>
          <w:tcPr>
            <w:tcW w:w="3375" w:type="dxa"/>
            <w:gridSpan w:val="2"/>
            <w:vAlign w:val="center"/>
          </w:tcPr>
          <w:p w:rsidR="004C53E7" w:rsidRPr="007D54DA" w:rsidRDefault="000A1F3E" w:rsidP="00693AA7">
            <w:pPr>
              <w:jc w:val="center"/>
              <w:rPr>
                <w:rFonts w:ascii="Calibri" w:hAnsi="Calibri" w:cs="Arial"/>
                <w:lang w:val="en-IE"/>
              </w:rPr>
            </w:pPr>
            <w:r w:rsidRPr="007D54DA">
              <w:rPr>
                <w:rFonts w:ascii="Calibri" w:hAnsi="Calibri" w:cs="Arial"/>
                <w:lang w:val="en-IE"/>
              </w:rPr>
              <w:t>10.0</w:t>
            </w:r>
          </w:p>
        </w:tc>
      </w:tr>
      <w:tr w:rsidR="004C53E7" w:rsidRPr="004C53E7" w:rsidTr="00613586">
        <w:trPr>
          <w:trHeight w:val="375"/>
        </w:trPr>
        <w:tc>
          <w:tcPr>
            <w:tcW w:w="9243" w:type="dxa"/>
            <w:gridSpan w:val="6"/>
            <w:shd w:val="clear" w:color="auto" w:fill="C6D9F1"/>
            <w:vAlign w:val="center"/>
          </w:tcPr>
          <w:p w:rsidR="004C53E7" w:rsidRPr="004C53E7" w:rsidRDefault="004C53E7" w:rsidP="00613586">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613586">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613586" w:rsidRDefault="00613586" w:rsidP="00613586">
            <w:pPr>
              <w:rPr>
                <w:rFonts w:ascii="Calibri" w:hAnsi="Calibri" w:cs="Arial"/>
                <w:lang w:val="en-IE"/>
              </w:rPr>
            </w:pPr>
          </w:p>
          <w:p w:rsidR="003A6BB1" w:rsidRDefault="00933C58" w:rsidP="00613586">
            <w:pPr>
              <w:rPr>
                <w:rFonts w:ascii="Calibri" w:hAnsi="Calibri" w:cs="Arial"/>
                <w:lang w:val="en-IE"/>
              </w:rPr>
            </w:pPr>
            <w:r>
              <w:rPr>
                <w:rFonts w:ascii="Calibri" w:hAnsi="Calibri" w:cs="Arial"/>
                <w:lang w:val="en-IE"/>
              </w:rPr>
              <w:t>In order to ensure the smooth transition</w:t>
            </w:r>
            <w:r>
              <w:t xml:space="preserve"> </w:t>
            </w:r>
            <w:r>
              <w:rPr>
                <w:rFonts w:ascii="Calibri" w:hAnsi="Calibri" w:cs="Arial"/>
                <w:lang w:val="en-IE"/>
              </w:rPr>
              <w:t xml:space="preserve">of the Trading and Settlement Code </w:t>
            </w:r>
            <w:r w:rsidR="006108AB">
              <w:rPr>
                <w:rFonts w:ascii="Calibri" w:hAnsi="Calibri" w:cs="Arial"/>
                <w:lang w:val="en-IE"/>
              </w:rPr>
              <w:t xml:space="preserve">in its implementation of </w:t>
            </w:r>
            <w:r>
              <w:rPr>
                <w:rFonts w:ascii="Calibri" w:hAnsi="Calibri" w:cs="Arial"/>
                <w:lang w:val="en-IE"/>
              </w:rPr>
              <w:t>the enduring SEM Intra-Day Trading provisions</w:t>
            </w:r>
            <w:r w:rsidR="003A6BB1">
              <w:rPr>
                <w:rFonts w:ascii="Calibri" w:hAnsi="Calibri" w:cs="Arial"/>
                <w:lang w:val="en-IE"/>
              </w:rPr>
              <w:t xml:space="preserve"> detailed in Mod_18_</w:t>
            </w:r>
            <w:r w:rsidR="00E23443">
              <w:rPr>
                <w:rFonts w:ascii="Calibri" w:hAnsi="Calibri" w:cs="Arial"/>
                <w:lang w:val="en-IE"/>
              </w:rPr>
              <w:t>10_v2</w:t>
            </w:r>
            <w:r>
              <w:rPr>
                <w:rFonts w:ascii="Calibri" w:hAnsi="Calibri" w:cs="Arial"/>
                <w:lang w:val="en-IE"/>
              </w:rPr>
              <w:t xml:space="preserve">, it will be necessary to </w:t>
            </w:r>
            <w:r w:rsidR="006108AB">
              <w:rPr>
                <w:rFonts w:ascii="Calibri" w:hAnsi="Calibri" w:cs="Arial"/>
                <w:lang w:val="en-IE"/>
              </w:rPr>
              <w:t xml:space="preserve">also </w:t>
            </w:r>
            <w:r>
              <w:rPr>
                <w:rFonts w:ascii="Calibri" w:hAnsi="Calibri" w:cs="Arial"/>
                <w:lang w:val="en-IE"/>
              </w:rPr>
              <w:t xml:space="preserve">implement a set of transitional arrangements.  These will comprise those activities which must be performed by the Market Operator prior to and at the start of the IDT Start Date.  </w:t>
            </w:r>
          </w:p>
          <w:p w:rsidR="005E0436" w:rsidRDefault="00933C58" w:rsidP="003A6BB1">
            <w:pPr>
              <w:spacing w:before="120"/>
              <w:rPr>
                <w:rFonts w:ascii="Calibri" w:hAnsi="Calibri" w:cs="Arial"/>
                <w:lang w:val="en-IE"/>
              </w:rPr>
            </w:pPr>
            <w:r>
              <w:rPr>
                <w:rFonts w:ascii="Calibri" w:hAnsi="Calibri" w:cs="Arial"/>
                <w:lang w:val="en-IE"/>
              </w:rPr>
              <w:t>Without these transitional provisions, various enduring provisions will have no starting point</w:t>
            </w:r>
            <w:r w:rsidR="0098414F">
              <w:rPr>
                <w:rFonts w:ascii="Calibri" w:hAnsi="Calibri" w:cs="Arial"/>
                <w:lang w:val="en-IE"/>
              </w:rPr>
              <w:t xml:space="preserve">, </w:t>
            </w:r>
            <w:r w:rsidR="005E0436">
              <w:rPr>
                <w:rFonts w:ascii="Calibri" w:hAnsi="Calibri" w:cs="Arial"/>
                <w:lang w:val="en-IE"/>
              </w:rPr>
              <w:t xml:space="preserve">a number of variables </w:t>
            </w:r>
            <w:r w:rsidR="0098414F">
              <w:rPr>
                <w:rFonts w:ascii="Calibri" w:hAnsi="Calibri" w:cs="Arial"/>
                <w:lang w:val="en-IE"/>
              </w:rPr>
              <w:t>will not be correctly initiated</w:t>
            </w:r>
            <w:r w:rsidR="000E231E">
              <w:rPr>
                <w:rFonts w:ascii="Calibri" w:hAnsi="Calibri" w:cs="Arial"/>
                <w:lang w:val="en-IE"/>
              </w:rPr>
              <w:t>,</w:t>
            </w:r>
            <w:r>
              <w:rPr>
                <w:rFonts w:ascii="Calibri" w:hAnsi="Calibri" w:cs="Arial"/>
                <w:lang w:val="en-IE"/>
              </w:rPr>
              <w:t xml:space="preserve"> and compliance with the enduring Intra-Day Trading provisions will not be possible.</w:t>
            </w:r>
            <w:r w:rsidR="006108AB">
              <w:rPr>
                <w:rFonts w:ascii="Calibri" w:hAnsi="Calibri" w:cs="Arial"/>
                <w:lang w:val="en-IE"/>
              </w:rPr>
              <w:t xml:space="preserve">  These transitional arrangements</w:t>
            </w:r>
            <w:r w:rsidR="003A6BB1">
              <w:rPr>
                <w:rFonts w:ascii="Calibri" w:hAnsi="Calibri" w:cs="Arial"/>
                <w:lang w:val="en-IE"/>
              </w:rPr>
              <w:t xml:space="preserve"> are</w:t>
            </w:r>
            <w:r w:rsidR="006108AB">
              <w:rPr>
                <w:rFonts w:ascii="Calibri" w:hAnsi="Calibri" w:cs="Arial"/>
                <w:lang w:val="en-IE"/>
              </w:rPr>
              <w:t>,</w:t>
            </w:r>
            <w:r w:rsidR="003A6BB1">
              <w:rPr>
                <w:rFonts w:ascii="Calibri" w:hAnsi="Calibri" w:cs="Arial"/>
                <w:lang w:val="en-IE"/>
              </w:rPr>
              <w:t xml:space="preserve"> therefore</w:t>
            </w:r>
            <w:r w:rsidR="006108AB">
              <w:rPr>
                <w:rFonts w:ascii="Calibri" w:hAnsi="Calibri" w:cs="Arial"/>
                <w:lang w:val="en-IE"/>
              </w:rPr>
              <w:t>,</w:t>
            </w:r>
            <w:r w:rsidR="003A6BB1">
              <w:rPr>
                <w:rFonts w:ascii="Calibri" w:hAnsi="Calibri" w:cs="Arial"/>
                <w:lang w:val="en-IE"/>
              </w:rPr>
              <w:t xml:space="preserve"> essential to the successful implementation of the enduring SEM Intra-Day Trading provisions in Mod_18_</w:t>
            </w:r>
            <w:r w:rsidR="00E23443">
              <w:rPr>
                <w:rFonts w:ascii="Calibri" w:hAnsi="Calibri" w:cs="Arial"/>
                <w:lang w:val="en-IE"/>
              </w:rPr>
              <w:t>10_v2</w:t>
            </w:r>
            <w:r w:rsidR="003A6BB1">
              <w:rPr>
                <w:rFonts w:ascii="Calibri" w:hAnsi="Calibri" w:cs="Arial"/>
                <w:lang w:val="en-IE"/>
              </w:rPr>
              <w:t xml:space="preserve">, upon which they are contingent. </w:t>
            </w:r>
          </w:p>
          <w:p w:rsidR="005E0436" w:rsidRDefault="005E0436" w:rsidP="005E0436">
            <w:pPr>
              <w:spacing w:before="120"/>
              <w:rPr>
                <w:rFonts w:ascii="Calibri" w:hAnsi="Calibri" w:cs="Arial"/>
                <w:lang w:val="en-IE"/>
              </w:rPr>
            </w:pPr>
            <w:r>
              <w:rPr>
                <w:rFonts w:ascii="Calibri" w:hAnsi="Calibri" w:cs="Arial"/>
                <w:lang w:val="en-IE"/>
              </w:rPr>
              <w:t>The transitional</w:t>
            </w:r>
            <w:r w:rsidR="00933C58" w:rsidRPr="00933C58">
              <w:rPr>
                <w:rFonts w:ascii="Calibri" w:hAnsi="Calibri" w:cs="Arial"/>
                <w:lang w:val="en-IE"/>
              </w:rPr>
              <w:t xml:space="preserve"> arrangements </w:t>
            </w:r>
            <w:r>
              <w:rPr>
                <w:rFonts w:ascii="Calibri" w:hAnsi="Calibri" w:cs="Arial"/>
                <w:lang w:val="en-IE"/>
              </w:rPr>
              <w:t xml:space="preserve">will </w:t>
            </w:r>
            <w:r w:rsidR="00933C58" w:rsidRPr="00933C58">
              <w:rPr>
                <w:rFonts w:ascii="Calibri" w:hAnsi="Calibri" w:cs="Arial"/>
                <w:lang w:val="en-IE"/>
              </w:rPr>
              <w:t xml:space="preserve">apply </w:t>
            </w:r>
            <w:r>
              <w:rPr>
                <w:rFonts w:ascii="Calibri" w:hAnsi="Calibri" w:cs="Arial"/>
                <w:lang w:val="en-IE"/>
              </w:rPr>
              <w:t xml:space="preserve">only </w:t>
            </w:r>
            <w:r w:rsidR="00933C58" w:rsidRPr="00933C58">
              <w:rPr>
                <w:rFonts w:ascii="Calibri" w:hAnsi="Calibri" w:cs="Arial"/>
                <w:lang w:val="en-IE"/>
              </w:rPr>
              <w:t>for a short period of time</w:t>
            </w:r>
            <w:r>
              <w:rPr>
                <w:rFonts w:ascii="Calibri" w:hAnsi="Calibri" w:cs="Arial"/>
                <w:lang w:val="en-IE"/>
              </w:rPr>
              <w:t xml:space="preserve">.  They are detailed in </w:t>
            </w:r>
            <w:r w:rsidR="00933C58" w:rsidRPr="00933C58">
              <w:rPr>
                <w:rFonts w:ascii="Calibri" w:hAnsi="Calibri" w:cs="Arial"/>
                <w:lang w:val="en-IE"/>
              </w:rPr>
              <w:t>a new Section 9</w:t>
            </w:r>
            <w:r>
              <w:rPr>
                <w:rFonts w:ascii="Calibri" w:hAnsi="Calibri" w:cs="Arial"/>
                <w:lang w:val="en-IE"/>
              </w:rPr>
              <w:t xml:space="preserve"> </w:t>
            </w:r>
            <w:r w:rsidR="0098414F">
              <w:rPr>
                <w:rFonts w:ascii="Calibri" w:hAnsi="Calibri" w:cs="Arial"/>
                <w:lang w:val="en-IE"/>
              </w:rPr>
              <w:t>of</w:t>
            </w:r>
            <w:r>
              <w:rPr>
                <w:rFonts w:ascii="Calibri" w:hAnsi="Calibri" w:cs="Arial"/>
                <w:lang w:val="en-IE"/>
              </w:rPr>
              <w:t xml:space="preserve"> the Code, </w:t>
            </w:r>
            <w:r w:rsidR="00933C58" w:rsidRPr="00933C58">
              <w:rPr>
                <w:rFonts w:ascii="Calibri" w:hAnsi="Calibri" w:cs="Arial"/>
                <w:lang w:val="en-IE"/>
              </w:rPr>
              <w:t xml:space="preserve">which covers the transitional arrangements and associated definitions.  </w:t>
            </w:r>
            <w:r>
              <w:rPr>
                <w:rFonts w:ascii="Calibri" w:hAnsi="Calibri" w:cs="Arial"/>
                <w:lang w:val="en-IE"/>
              </w:rPr>
              <w:t xml:space="preserve">In addition, this Modification includes a </w:t>
            </w:r>
            <w:r w:rsidR="003A6BB1">
              <w:rPr>
                <w:rFonts w:ascii="Calibri" w:hAnsi="Calibri" w:cs="Arial"/>
                <w:lang w:val="en-IE"/>
              </w:rPr>
              <w:t xml:space="preserve">proposed </w:t>
            </w:r>
            <w:r w:rsidR="00F9083A">
              <w:rPr>
                <w:rFonts w:ascii="Calibri" w:hAnsi="Calibri" w:cs="Arial"/>
                <w:lang w:val="en-IE"/>
              </w:rPr>
              <w:t xml:space="preserve">change to Clause </w:t>
            </w:r>
            <w:r>
              <w:rPr>
                <w:rFonts w:ascii="Calibri" w:hAnsi="Calibri" w:cs="Arial"/>
                <w:lang w:val="en-IE"/>
              </w:rPr>
              <w:t xml:space="preserve">2.8 to include Section 9 within </w:t>
            </w:r>
            <w:r w:rsidRPr="005E0436">
              <w:rPr>
                <w:rFonts w:ascii="Calibri" w:hAnsi="Calibri" w:cs="Arial"/>
                <w:lang w:val="en-IE"/>
              </w:rPr>
              <w:t xml:space="preserve">the </w:t>
            </w:r>
            <w:r w:rsidR="003A6BB1">
              <w:rPr>
                <w:rFonts w:ascii="Calibri" w:hAnsi="Calibri" w:cs="Arial"/>
                <w:lang w:val="en-IE"/>
              </w:rPr>
              <w:t xml:space="preserve">existing </w:t>
            </w:r>
            <w:r>
              <w:rPr>
                <w:rFonts w:ascii="Calibri" w:hAnsi="Calibri" w:cs="Arial"/>
                <w:lang w:val="en-IE"/>
              </w:rPr>
              <w:t xml:space="preserve">prioritised </w:t>
            </w:r>
            <w:r w:rsidRPr="005E0436">
              <w:rPr>
                <w:rFonts w:ascii="Calibri" w:hAnsi="Calibri" w:cs="Arial"/>
                <w:lang w:val="en-IE"/>
              </w:rPr>
              <w:t>list of sections</w:t>
            </w:r>
            <w:r>
              <w:rPr>
                <w:rFonts w:ascii="Calibri" w:hAnsi="Calibri" w:cs="Arial"/>
                <w:lang w:val="en-IE"/>
              </w:rPr>
              <w:t xml:space="preserve"> for resolving any inconsistency or conflict.</w:t>
            </w:r>
            <w:r w:rsidRPr="005E0436">
              <w:rPr>
                <w:rFonts w:ascii="Calibri" w:hAnsi="Calibri" w:cs="Arial"/>
                <w:lang w:val="en-IE"/>
              </w:rPr>
              <w:t xml:space="preserve"> </w:t>
            </w:r>
          </w:p>
          <w:p w:rsidR="006108AB" w:rsidRDefault="005E0436" w:rsidP="006108AB">
            <w:pPr>
              <w:spacing w:before="120"/>
              <w:rPr>
                <w:rFonts w:ascii="Calibri" w:hAnsi="Calibri" w:cs="Arial"/>
                <w:lang w:val="en-IE"/>
              </w:rPr>
            </w:pPr>
            <w:r>
              <w:rPr>
                <w:rFonts w:ascii="Calibri" w:hAnsi="Calibri" w:cs="Arial"/>
                <w:lang w:val="en-IE"/>
              </w:rPr>
              <w:t xml:space="preserve">The transitional arrangements </w:t>
            </w:r>
            <w:r w:rsidR="00933C58" w:rsidRPr="00933C58">
              <w:rPr>
                <w:rFonts w:ascii="Calibri" w:hAnsi="Calibri" w:cs="Arial"/>
                <w:lang w:val="en-IE"/>
              </w:rPr>
              <w:t>will come into effect prior to the IDT Start Date</w:t>
            </w:r>
            <w:r>
              <w:rPr>
                <w:rFonts w:ascii="Calibri" w:hAnsi="Calibri" w:cs="Arial"/>
                <w:lang w:val="en-IE"/>
              </w:rPr>
              <w:t xml:space="preserve"> and their approval must be contingent upon approval being given to MOD_18-</w:t>
            </w:r>
            <w:r w:rsidR="00E23443">
              <w:rPr>
                <w:rFonts w:ascii="Calibri" w:hAnsi="Calibri" w:cs="Arial"/>
                <w:lang w:val="en-IE"/>
              </w:rPr>
              <w:t>10_v2</w:t>
            </w:r>
            <w:r w:rsidR="006108AB">
              <w:rPr>
                <w:rFonts w:ascii="Calibri" w:hAnsi="Calibri" w:cs="Arial"/>
                <w:lang w:val="en-IE"/>
              </w:rPr>
              <w:t>, in that the transitional provisions will only be required if SEM Intra-Day Trading is implemented</w:t>
            </w:r>
            <w:r w:rsidR="00F9083A">
              <w:rPr>
                <w:rFonts w:ascii="Calibri" w:hAnsi="Calibri" w:cs="Arial"/>
                <w:lang w:val="en-IE"/>
              </w:rPr>
              <w:t>.</w:t>
            </w:r>
          </w:p>
          <w:p w:rsidR="003D2881" w:rsidRPr="000F5D61" w:rsidRDefault="006108AB" w:rsidP="006108AB">
            <w:pPr>
              <w:spacing w:before="120"/>
              <w:rPr>
                <w:rFonts w:ascii="Calibri" w:hAnsi="Calibri" w:cs="Arial"/>
                <w:lang w:val="en-IE"/>
              </w:rPr>
            </w:pPr>
            <w:r>
              <w:rPr>
                <w:rFonts w:ascii="Calibri" w:hAnsi="Calibri" w:cs="Arial"/>
                <w:lang w:val="en-IE"/>
              </w:rPr>
              <w:t xml:space="preserve">The transitional arrangements </w:t>
            </w:r>
            <w:r w:rsidR="003D2881" w:rsidRPr="003D2881">
              <w:rPr>
                <w:rFonts w:asciiTheme="minorHAnsi" w:hAnsiTheme="minorHAnsi"/>
              </w:rPr>
              <w:t>are summarised as follows:</w:t>
            </w:r>
          </w:p>
          <w:p w:rsidR="003D2881" w:rsidRPr="003D2881" w:rsidRDefault="003D2881" w:rsidP="003D2881">
            <w:pPr>
              <w:rPr>
                <w:rFonts w:asciiTheme="minorHAnsi" w:hAnsiTheme="minorHAnsi"/>
              </w:rPr>
            </w:pPr>
          </w:p>
          <w:p w:rsidR="003D2881" w:rsidRPr="006108AB" w:rsidRDefault="00355384" w:rsidP="006108AB">
            <w:pPr>
              <w:pStyle w:val="ListParagraph"/>
              <w:keepNext/>
              <w:keepLines/>
              <w:pageBreakBefore/>
              <w:numPr>
                <w:ilvl w:val="0"/>
                <w:numId w:val="14"/>
              </w:numPr>
              <w:rPr>
                <w:rFonts w:asciiTheme="minorHAnsi" w:hAnsiTheme="minorHAnsi"/>
                <w:b/>
                <w:u w:val="single"/>
              </w:rPr>
            </w:pPr>
            <w:r>
              <w:rPr>
                <w:rFonts w:asciiTheme="minorHAnsi" w:hAnsiTheme="minorHAnsi"/>
                <w:b/>
                <w:u w:val="single"/>
              </w:rPr>
              <w:t>Transitional Provisions: P</w:t>
            </w:r>
            <w:r w:rsidR="003D2881" w:rsidRPr="006108AB">
              <w:rPr>
                <w:rFonts w:asciiTheme="minorHAnsi" w:hAnsiTheme="minorHAnsi"/>
                <w:b/>
                <w:u w:val="single"/>
              </w:rPr>
              <w:t>rior to the IDT Start Date</w:t>
            </w:r>
          </w:p>
          <w:p w:rsidR="003D2881" w:rsidRPr="003D2881" w:rsidRDefault="003D2881" w:rsidP="003D2881">
            <w:pPr>
              <w:rPr>
                <w:rFonts w:asciiTheme="minorHAnsi" w:hAnsiTheme="minorHAnsi"/>
              </w:rPr>
            </w:pPr>
          </w:p>
          <w:p w:rsidR="003D2881" w:rsidRPr="003D2881" w:rsidRDefault="000F5D61" w:rsidP="003D2881">
            <w:pPr>
              <w:jc w:val="center"/>
              <w:rPr>
                <w:rFonts w:asciiTheme="minorHAnsi" w:hAnsiTheme="minorHAnsi"/>
              </w:rPr>
            </w:pPr>
            <w:r>
              <w:rPr>
                <w:rFonts w:asciiTheme="minorHAnsi" w:hAnsiTheme="minorHAnsi"/>
                <w:noProof/>
                <w:lang w:val="en-US" w:eastAsia="en-US"/>
              </w:rPr>
              <w:lastRenderedPageBreak/>
              <w:drawing>
                <wp:inline distT="0" distB="0" distL="0" distR="0">
                  <wp:extent cx="5729605" cy="3837305"/>
                  <wp:effectExtent l="1905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5729605" cy="3837305"/>
                          </a:xfrm>
                          <a:prstGeom prst="rect">
                            <a:avLst/>
                          </a:prstGeom>
                          <a:noFill/>
                          <a:ln w="9525">
                            <a:noFill/>
                            <a:miter lim="800000"/>
                            <a:headEnd/>
                            <a:tailEnd/>
                          </a:ln>
                        </pic:spPr>
                      </pic:pic>
                    </a:graphicData>
                  </a:graphic>
                </wp:inline>
              </w:drawing>
            </w:r>
          </w:p>
          <w:p w:rsidR="003D2881" w:rsidRPr="003D2881" w:rsidRDefault="003D2881" w:rsidP="003D2881">
            <w:pPr>
              <w:rPr>
                <w:rFonts w:asciiTheme="minorHAnsi" w:hAnsiTheme="minorHAnsi"/>
              </w:rPr>
            </w:pPr>
          </w:p>
          <w:p w:rsidR="003D2881" w:rsidRPr="003D2881" w:rsidRDefault="003D2881" w:rsidP="006108AB">
            <w:pPr>
              <w:numPr>
                <w:ilvl w:val="0"/>
                <w:numId w:val="12"/>
              </w:numPr>
              <w:overflowPunct/>
              <w:autoSpaceDE/>
              <w:autoSpaceDN/>
              <w:adjustRightInd/>
              <w:spacing w:before="60" w:line="276" w:lineRule="auto"/>
              <w:textAlignment w:val="auto"/>
              <w:rPr>
                <w:rFonts w:asciiTheme="minorHAnsi" w:hAnsiTheme="minorHAnsi"/>
              </w:rPr>
            </w:pPr>
            <w:r w:rsidRPr="003D2881">
              <w:rPr>
                <w:rFonts w:asciiTheme="minorHAnsi" w:hAnsiTheme="minorHAnsi"/>
              </w:rPr>
              <w:t xml:space="preserve">For existing Interconnector Users, an additional two Interconnector Units will be deemed to be registered on the IDT Start Date for each existing Interconnector Unit.  </w:t>
            </w:r>
          </w:p>
          <w:p w:rsidR="003D2881" w:rsidRPr="003D2881" w:rsidRDefault="003D2881" w:rsidP="006108AB">
            <w:pPr>
              <w:numPr>
                <w:ilvl w:val="0"/>
                <w:numId w:val="12"/>
              </w:numPr>
              <w:overflowPunct/>
              <w:autoSpaceDE/>
              <w:autoSpaceDN/>
              <w:adjustRightInd/>
              <w:spacing w:before="60" w:line="276" w:lineRule="auto"/>
              <w:textAlignment w:val="auto"/>
              <w:rPr>
                <w:rFonts w:asciiTheme="minorHAnsi" w:hAnsiTheme="minorHAnsi"/>
              </w:rPr>
            </w:pPr>
            <w:r w:rsidRPr="003D2881">
              <w:rPr>
                <w:rFonts w:asciiTheme="minorHAnsi" w:hAnsiTheme="minorHAnsi"/>
              </w:rPr>
              <w:t>These additional two Interconnector Units will enable bidding within EA2 and WD1 Gate Windows from the IDT Start Date, and avoid the need to execute the formal Interconnector Unit registration process.</w:t>
            </w:r>
          </w:p>
          <w:p w:rsidR="003D2881" w:rsidRPr="003D2881" w:rsidRDefault="003D2881" w:rsidP="006108AB">
            <w:pPr>
              <w:numPr>
                <w:ilvl w:val="0"/>
                <w:numId w:val="12"/>
              </w:numPr>
              <w:overflowPunct/>
              <w:autoSpaceDE/>
              <w:autoSpaceDN/>
              <w:adjustRightInd/>
              <w:spacing w:before="60" w:line="276" w:lineRule="auto"/>
              <w:textAlignment w:val="auto"/>
              <w:rPr>
                <w:rFonts w:asciiTheme="minorHAnsi" w:hAnsiTheme="minorHAnsi"/>
              </w:rPr>
            </w:pPr>
            <w:r w:rsidRPr="003D2881">
              <w:rPr>
                <w:rFonts w:asciiTheme="minorHAnsi" w:hAnsiTheme="minorHAnsi"/>
              </w:rPr>
              <w:t>For Interconnector Units, Offered Modified Price Quantity Pairs for Trading Days that are on or prior to the IDT Start Date shall be the same as those that are Accepted.</w:t>
            </w:r>
          </w:p>
          <w:p w:rsidR="003D2881" w:rsidRPr="003D2881" w:rsidRDefault="003D2881" w:rsidP="006108AB">
            <w:pPr>
              <w:numPr>
                <w:ilvl w:val="0"/>
                <w:numId w:val="12"/>
              </w:numPr>
              <w:overflowPunct/>
              <w:autoSpaceDE/>
              <w:autoSpaceDN/>
              <w:adjustRightInd/>
              <w:spacing w:before="60" w:line="276" w:lineRule="auto"/>
              <w:textAlignment w:val="auto"/>
              <w:rPr>
                <w:rFonts w:asciiTheme="minorHAnsi" w:hAnsiTheme="minorHAnsi"/>
              </w:rPr>
            </w:pPr>
            <w:r w:rsidRPr="003D2881">
              <w:rPr>
                <w:rFonts w:asciiTheme="minorHAnsi" w:hAnsiTheme="minorHAnsi"/>
              </w:rPr>
              <w:t>Estimated Capacity Price for Interconnectors (ECPI) is required prior to the IDT Start Date, enabling calculation of Interconnector Unit Capacity Traded Exposure (IUCTE) and Capacity Traded Exposure (CTE) for Participants with registered Interconnector Units.</w:t>
            </w:r>
          </w:p>
          <w:p w:rsidR="003D2881" w:rsidRPr="003D2881" w:rsidRDefault="003D2881" w:rsidP="006108AB">
            <w:pPr>
              <w:numPr>
                <w:ilvl w:val="0"/>
                <w:numId w:val="12"/>
              </w:numPr>
              <w:overflowPunct/>
              <w:autoSpaceDE/>
              <w:autoSpaceDN/>
              <w:adjustRightInd/>
              <w:spacing w:before="60" w:line="276" w:lineRule="auto"/>
              <w:textAlignment w:val="auto"/>
              <w:rPr>
                <w:rFonts w:asciiTheme="minorHAnsi" w:hAnsiTheme="minorHAnsi"/>
              </w:rPr>
            </w:pPr>
            <w:r w:rsidRPr="003D2881">
              <w:rPr>
                <w:rFonts w:asciiTheme="minorHAnsi" w:hAnsiTheme="minorHAnsi"/>
              </w:rPr>
              <w:t>Following the issue of Required Credit Cover reports on the day prior to the IDT Start Date, the Required Credit Cover for each Participant will be calculated using the equation that will apply from the IDT Start Date.  Once calculated, the Required Credit Cover reports will be re-issued to Participants by 21:00 on the day prior to the IDT Start Date.  This will include calculation of the following components:</w:t>
            </w:r>
          </w:p>
          <w:p w:rsidR="003D2881" w:rsidRPr="003D2881" w:rsidRDefault="003D2881" w:rsidP="006108AB">
            <w:pPr>
              <w:numPr>
                <w:ilvl w:val="1"/>
                <w:numId w:val="15"/>
              </w:numPr>
              <w:overflowPunct/>
              <w:autoSpaceDE/>
              <w:autoSpaceDN/>
              <w:adjustRightInd/>
              <w:spacing w:before="60" w:line="276" w:lineRule="auto"/>
              <w:ind w:left="720"/>
              <w:textAlignment w:val="auto"/>
              <w:rPr>
                <w:rFonts w:asciiTheme="minorHAnsi" w:hAnsiTheme="minorHAnsi"/>
              </w:rPr>
            </w:pPr>
            <w:r w:rsidRPr="003D2881">
              <w:rPr>
                <w:rFonts w:asciiTheme="minorHAnsi" w:hAnsiTheme="minorHAnsi"/>
              </w:rPr>
              <w:t xml:space="preserve">Calculation of Traded Modified Price Quantity Pairs, which are temporarily generated to allow traded exposures to be calculated.  </w:t>
            </w:r>
          </w:p>
          <w:p w:rsidR="003D2881" w:rsidRPr="003D2881" w:rsidRDefault="003D2881" w:rsidP="006108AB">
            <w:pPr>
              <w:numPr>
                <w:ilvl w:val="1"/>
                <w:numId w:val="15"/>
              </w:numPr>
              <w:overflowPunct/>
              <w:autoSpaceDE/>
              <w:autoSpaceDN/>
              <w:adjustRightInd/>
              <w:spacing w:before="60" w:line="276" w:lineRule="auto"/>
              <w:ind w:left="720"/>
              <w:textAlignment w:val="auto"/>
              <w:rPr>
                <w:rFonts w:asciiTheme="minorHAnsi" w:hAnsiTheme="minorHAnsi"/>
              </w:rPr>
            </w:pPr>
            <w:r w:rsidRPr="003D2881">
              <w:rPr>
                <w:rFonts w:asciiTheme="minorHAnsi" w:hAnsiTheme="minorHAnsi"/>
              </w:rPr>
              <w:t>Calculation of Interconnector Unit Energy Traded Exposure (IUETE) and Energy Traded Exposure (ETE) for Participants with Interconnector Units will be calculated for all Trading Periods on or prior to the IDT Start Date and where Initial Capacity Settlement has not occurred.</w:t>
            </w:r>
          </w:p>
          <w:p w:rsidR="003D2881" w:rsidRPr="003D2881" w:rsidRDefault="003D2881" w:rsidP="006108AB">
            <w:pPr>
              <w:numPr>
                <w:ilvl w:val="1"/>
                <w:numId w:val="15"/>
              </w:numPr>
              <w:overflowPunct/>
              <w:autoSpaceDE/>
              <w:autoSpaceDN/>
              <w:adjustRightInd/>
              <w:spacing w:before="60" w:line="276" w:lineRule="auto"/>
              <w:ind w:left="720"/>
              <w:textAlignment w:val="auto"/>
              <w:rPr>
                <w:rFonts w:asciiTheme="minorHAnsi" w:hAnsiTheme="minorHAnsi"/>
              </w:rPr>
            </w:pPr>
            <w:r w:rsidRPr="003D2881">
              <w:rPr>
                <w:rFonts w:asciiTheme="minorHAnsi" w:hAnsiTheme="minorHAnsi"/>
              </w:rPr>
              <w:t>Calculation of Interconnector Unit Capacity Traded Exposure (IUCTE) and Capacity Traded Exposure (CTE) for Participants with Interconnector Units will be calculated for all Trading Periods on or prior to the IDT Start Date and where Initial Capacity Settlement has not occurred.</w:t>
            </w:r>
          </w:p>
          <w:p w:rsidR="003D2881" w:rsidRPr="003D2881" w:rsidRDefault="003D2881" w:rsidP="006108AB">
            <w:pPr>
              <w:numPr>
                <w:ilvl w:val="1"/>
                <w:numId w:val="15"/>
              </w:numPr>
              <w:overflowPunct/>
              <w:autoSpaceDE/>
              <w:autoSpaceDN/>
              <w:adjustRightInd/>
              <w:spacing w:before="60" w:line="276" w:lineRule="auto"/>
              <w:ind w:left="720"/>
              <w:textAlignment w:val="auto"/>
              <w:rPr>
                <w:rFonts w:asciiTheme="minorHAnsi" w:hAnsiTheme="minorHAnsi"/>
              </w:rPr>
            </w:pPr>
            <w:r w:rsidRPr="003D2881">
              <w:rPr>
                <w:rFonts w:asciiTheme="minorHAnsi" w:hAnsiTheme="minorHAnsi"/>
              </w:rPr>
              <w:t>Calculation of Interconnector Unit Traded Exposure for each Participant with registered Interconnector Units.</w:t>
            </w:r>
          </w:p>
          <w:p w:rsidR="003D2881" w:rsidRPr="003D2881" w:rsidRDefault="003D2881" w:rsidP="006108AB">
            <w:pPr>
              <w:numPr>
                <w:ilvl w:val="1"/>
                <w:numId w:val="15"/>
              </w:numPr>
              <w:overflowPunct/>
              <w:autoSpaceDE/>
              <w:autoSpaceDN/>
              <w:adjustRightInd/>
              <w:spacing w:before="60" w:line="276" w:lineRule="auto"/>
              <w:ind w:left="720"/>
              <w:textAlignment w:val="auto"/>
              <w:rPr>
                <w:rFonts w:asciiTheme="minorHAnsi" w:hAnsiTheme="minorHAnsi"/>
              </w:rPr>
            </w:pPr>
            <w:r w:rsidRPr="003D2881">
              <w:rPr>
                <w:rFonts w:asciiTheme="minorHAnsi" w:hAnsiTheme="minorHAnsi"/>
              </w:rPr>
              <w:t>Calculation of Available Credit Cover.</w:t>
            </w:r>
          </w:p>
          <w:p w:rsidR="003D2881" w:rsidRPr="003D2881" w:rsidRDefault="003D2881" w:rsidP="003D2881">
            <w:pPr>
              <w:rPr>
                <w:rFonts w:asciiTheme="minorHAnsi" w:hAnsiTheme="minorHAnsi"/>
              </w:rPr>
            </w:pPr>
          </w:p>
          <w:p w:rsidR="003D2881" w:rsidRPr="006108AB" w:rsidRDefault="00355384" w:rsidP="006108AB">
            <w:pPr>
              <w:pStyle w:val="ListParagraph"/>
              <w:keepNext/>
              <w:keepLines/>
              <w:numPr>
                <w:ilvl w:val="0"/>
                <w:numId w:val="14"/>
              </w:numPr>
              <w:rPr>
                <w:rFonts w:asciiTheme="minorHAnsi" w:hAnsiTheme="minorHAnsi"/>
                <w:b/>
                <w:u w:val="single"/>
              </w:rPr>
            </w:pPr>
            <w:r>
              <w:rPr>
                <w:rFonts w:asciiTheme="minorHAnsi" w:hAnsiTheme="minorHAnsi"/>
                <w:b/>
                <w:u w:val="single"/>
              </w:rPr>
              <w:lastRenderedPageBreak/>
              <w:t>Transitional Provisions: O</w:t>
            </w:r>
            <w:r w:rsidR="003D2881" w:rsidRPr="006108AB">
              <w:rPr>
                <w:rFonts w:asciiTheme="minorHAnsi" w:hAnsiTheme="minorHAnsi"/>
                <w:b/>
                <w:u w:val="single"/>
              </w:rPr>
              <w:t>n the IDT Start Date</w:t>
            </w:r>
          </w:p>
          <w:p w:rsidR="003D2881" w:rsidRPr="003D2881" w:rsidRDefault="003D2881" w:rsidP="003D2881">
            <w:pPr>
              <w:rPr>
                <w:rFonts w:asciiTheme="minorHAnsi" w:hAnsiTheme="minorHAnsi"/>
              </w:rPr>
            </w:pPr>
          </w:p>
          <w:p w:rsidR="003D2881" w:rsidRPr="003D2881" w:rsidRDefault="000F5D61" w:rsidP="003D2881">
            <w:pPr>
              <w:jc w:val="center"/>
              <w:rPr>
                <w:rFonts w:asciiTheme="minorHAnsi" w:hAnsiTheme="minorHAnsi"/>
              </w:rPr>
            </w:pPr>
            <w:r>
              <w:rPr>
                <w:rFonts w:asciiTheme="minorHAnsi" w:hAnsiTheme="minorHAnsi"/>
                <w:noProof/>
                <w:lang w:val="en-US" w:eastAsia="en-US"/>
              </w:rPr>
              <w:drawing>
                <wp:inline distT="0" distB="0" distL="0" distR="0">
                  <wp:extent cx="5729605" cy="3677285"/>
                  <wp:effectExtent l="1905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5729605" cy="3677285"/>
                          </a:xfrm>
                          <a:prstGeom prst="rect">
                            <a:avLst/>
                          </a:prstGeom>
                          <a:noFill/>
                          <a:ln w="9525">
                            <a:noFill/>
                            <a:miter lim="800000"/>
                            <a:headEnd/>
                            <a:tailEnd/>
                          </a:ln>
                        </pic:spPr>
                      </pic:pic>
                    </a:graphicData>
                  </a:graphic>
                </wp:inline>
              </w:drawing>
            </w:r>
          </w:p>
          <w:p w:rsidR="003D2881" w:rsidRPr="003D2881" w:rsidRDefault="003D2881" w:rsidP="003D2881">
            <w:pPr>
              <w:rPr>
                <w:rFonts w:asciiTheme="minorHAnsi" w:hAnsiTheme="minorHAnsi"/>
              </w:rPr>
            </w:pPr>
          </w:p>
          <w:p w:rsidR="003D2881" w:rsidRPr="003D2881" w:rsidRDefault="003D2881" w:rsidP="006108AB">
            <w:pPr>
              <w:numPr>
                <w:ilvl w:val="0"/>
                <w:numId w:val="12"/>
              </w:numPr>
              <w:overflowPunct/>
              <w:autoSpaceDE/>
              <w:autoSpaceDN/>
              <w:adjustRightInd/>
              <w:spacing w:before="60" w:line="276" w:lineRule="auto"/>
              <w:textAlignment w:val="auto"/>
              <w:rPr>
                <w:rFonts w:asciiTheme="minorHAnsi" w:hAnsiTheme="minorHAnsi"/>
              </w:rPr>
            </w:pPr>
            <w:r w:rsidRPr="003D2881">
              <w:rPr>
                <w:rFonts w:asciiTheme="minorHAnsi" w:hAnsiTheme="minorHAnsi"/>
              </w:rPr>
              <w:t>Any COD or TOD that is Accepted within the existing Gate Window at the point at which SEM Intra-Day Trading is implemented shall be deemed to be Accepted within the EA1 Gate Window.</w:t>
            </w:r>
          </w:p>
          <w:p w:rsidR="003D2881" w:rsidRPr="003D2881" w:rsidRDefault="003D2881" w:rsidP="006108AB">
            <w:pPr>
              <w:numPr>
                <w:ilvl w:val="0"/>
                <w:numId w:val="12"/>
              </w:numPr>
              <w:overflowPunct/>
              <w:autoSpaceDE/>
              <w:autoSpaceDN/>
              <w:adjustRightInd/>
              <w:spacing w:before="60" w:line="276" w:lineRule="auto"/>
              <w:textAlignment w:val="auto"/>
              <w:rPr>
                <w:rFonts w:asciiTheme="minorHAnsi" w:hAnsiTheme="minorHAnsi"/>
              </w:rPr>
            </w:pPr>
            <w:r w:rsidRPr="003D2881">
              <w:rPr>
                <w:rFonts w:asciiTheme="minorHAnsi" w:hAnsiTheme="minorHAnsi"/>
              </w:rPr>
              <w:t>No COD or TOD will be Accepted for the IDT Start Date in respect of the WD1 Gate Window.</w:t>
            </w:r>
          </w:p>
          <w:p w:rsidR="003D2881" w:rsidRPr="003D2881" w:rsidRDefault="003D2881" w:rsidP="006108AB">
            <w:pPr>
              <w:numPr>
                <w:ilvl w:val="0"/>
                <w:numId w:val="12"/>
              </w:numPr>
              <w:overflowPunct/>
              <w:autoSpaceDE/>
              <w:autoSpaceDN/>
              <w:adjustRightInd/>
              <w:spacing w:before="60" w:line="276" w:lineRule="auto"/>
              <w:textAlignment w:val="auto"/>
              <w:rPr>
                <w:rFonts w:asciiTheme="minorHAnsi" w:hAnsiTheme="minorHAnsi"/>
              </w:rPr>
            </w:pPr>
            <w:r w:rsidRPr="003D2881">
              <w:rPr>
                <w:rFonts w:asciiTheme="minorHAnsi" w:hAnsiTheme="minorHAnsi"/>
              </w:rPr>
              <w:t>MSP Software Run Cancellation shall apply on the IDT Start Date for the WD</w:t>
            </w:r>
            <w:r w:rsidR="000F5D61">
              <w:rPr>
                <w:rFonts w:asciiTheme="minorHAnsi" w:hAnsiTheme="minorHAnsi"/>
              </w:rPr>
              <w:t>1</w:t>
            </w:r>
            <w:r w:rsidRPr="003D2881">
              <w:rPr>
                <w:rFonts w:asciiTheme="minorHAnsi" w:hAnsiTheme="minorHAnsi"/>
              </w:rPr>
              <w:t xml:space="preserve"> MSP Software Run.</w:t>
            </w:r>
          </w:p>
          <w:p w:rsidR="003D2881" w:rsidRPr="003D2881" w:rsidRDefault="003D2881" w:rsidP="006108AB">
            <w:pPr>
              <w:numPr>
                <w:ilvl w:val="0"/>
                <w:numId w:val="12"/>
              </w:numPr>
              <w:overflowPunct/>
              <w:autoSpaceDE/>
              <w:autoSpaceDN/>
              <w:adjustRightInd/>
              <w:spacing w:before="60" w:line="276" w:lineRule="auto"/>
              <w:textAlignment w:val="auto"/>
              <w:rPr>
                <w:rFonts w:asciiTheme="minorHAnsi" w:hAnsiTheme="minorHAnsi"/>
              </w:rPr>
            </w:pPr>
            <w:r w:rsidRPr="003D2881">
              <w:rPr>
                <w:rFonts w:asciiTheme="minorHAnsi" w:hAnsiTheme="minorHAnsi"/>
              </w:rPr>
              <w:t>For each run of the MSP Software that occurs for a Trading Day on or prior to the IDT Start Date, the Trading Window shall comprise the entire Trading Day.</w:t>
            </w:r>
          </w:p>
          <w:p w:rsidR="009F642A" w:rsidRDefault="009F642A" w:rsidP="00613586">
            <w:pPr>
              <w:rPr>
                <w:rFonts w:ascii="Calibri" w:hAnsi="Calibri" w:cs="Arial"/>
                <w:lang w:val="en-IE"/>
              </w:rPr>
            </w:pPr>
          </w:p>
          <w:p w:rsidR="001815B5" w:rsidRPr="004C53E7" w:rsidRDefault="001815B5" w:rsidP="004129C6">
            <w:pPr>
              <w:rPr>
                <w:rFonts w:ascii="Calibri" w:hAnsi="Calibri" w:cs="Arial"/>
                <w:lang w:val="en-IE"/>
              </w:rPr>
            </w:pPr>
          </w:p>
        </w:tc>
      </w:tr>
      <w:tr w:rsidR="004C53E7" w:rsidRPr="004C53E7" w:rsidDel="00404964" w:rsidTr="00613586">
        <w:tc>
          <w:tcPr>
            <w:tcW w:w="9243" w:type="dxa"/>
            <w:gridSpan w:val="6"/>
            <w:shd w:val="clear" w:color="auto" w:fill="C6D9F1"/>
            <w:vAlign w:val="center"/>
          </w:tcPr>
          <w:p w:rsidR="004C53E7" w:rsidRPr="004C53E7" w:rsidRDefault="004C53E7" w:rsidP="00613586">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613586">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9F642A" w:rsidRDefault="009F642A" w:rsidP="004B74E6">
            <w:pPr>
              <w:rPr>
                <w:rFonts w:ascii="Calibri" w:hAnsi="Calibri" w:cs="Arial"/>
                <w:lang w:val="en-IE"/>
              </w:rPr>
            </w:pPr>
          </w:p>
          <w:p w:rsidR="00355384" w:rsidRDefault="00355384" w:rsidP="00355384">
            <w:pPr>
              <w:rPr>
                <w:rFonts w:ascii="Calibri" w:hAnsi="Calibri" w:cs="Arial"/>
                <w:lang w:val="en-IE"/>
              </w:rPr>
            </w:pPr>
            <w:r>
              <w:rPr>
                <w:rFonts w:ascii="Calibri" w:hAnsi="Calibri" w:cs="Arial"/>
                <w:lang w:val="en-IE"/>
              </w:rPr>
              <w:t>The transitional provisions for SEM Intra-Day Trading have been considered and reviewed as part of the Intra-Day Trading Working Group’s development of the main Intra-Day Trading Modification.</w:t>
            </w:r>
            <w:r w:rsidR="00492190">
              <w:rPr>
                <w:rFonts w:ascii="Calibri" w:hAnsi="Calibri" w:cs="Arial"/>
                <w:lang w:val="en-IE"/>
              </w:rPr>
              <w:t xml:space="preserve">  They have also been reviewed by McCann Fitzgerald as part of its legal review.</w:t>
            </w:r>
          </w:p>
          <w:p w:rsidR="00355384" w:rsidRDefault="00355384" w:rsidP="00355384">
            <w:pPr>
              <w:spacing w:before="120"/>
              <w:rPr>
                <w:rFonts w:ascii="Calibri" w:hAnsi="Calibri" w:cs="Arial"/>
                <w:lang w:val="en-IE"/>
              </w:rPr>
            </w:pPr>
            <w:r>
              <w:rPr>
                <w:rFonts w:ascii="Calibri" w:hAnsi="Calibri" w:cs="Arial"/>
                <w:lang w:val="en-IE"/>
              </w:rPr>
              <w:t xml:space="preserve"> The resulting legal drafting is contained with</w:t>
            </w:r>
            <w:r w:rsidR="003833E2">
              <w:rPr>
                <w:rFonts w:ascii="Calibri" w:hAnsi="Calibri" w:cs="Arial"/>
                <w:lang w:val="en-IE"/>
              </w:rPr>
              <w:t>in</w:t>
            </w:r>
            <w:r>
              <w:rPr>
                <w:rFonts w:ascii="Calibri" w:hAnsi="Calibri" w:cs="Arial"/>
                <w:lang w:val="en-IE"/>
              </w:rPr>
              <w:t xml:space="preserve"> the document attached below:</w:t>
            </w:r>
          </w:p>
          <w:p w:rsidR="00355384" w:rsidRDefault="00355384" w:rsidP="00355384">
            <w:pPr>
              <w:rPr>
                <w:rFonts w:ascii="Calibri" w:hAnsi="Calibri" w:cs="Arial"/>
                <w:lang w:val="en-IE"/>
              </w:rPr>
            </w:pPr>
          </w:p>
          <w:tbl>
            <w:tblPr>
              <w:tblStyle w:val="TableGrid"/>
              <w:tblW w:w="0" w:type="auto"/>
              <w:tblLayout w:type="fixed"/>
              <w:tblLook w:val="04A0"/>
            </w:tblPr>
            <w:tblGrid>
              <w:gridCol w:w="4045"/>
            </w:tblGrid>
            <w:tr w:rsidR="00355384" w:rsidTr="00355384">
              <w:tc>
                <w:tcPr>
                  <w:tcW w:w="4045" w:type="dxa"/>
                  <w:shd w:val="clear" w:color="auto" w:fill="D9D9D9" w:themeFill="background1" w:themeFillShade="D9"/>
                </w:tcPr>
                <w:p w:rsidR="00355384" w:rsidRPr="00291F95" w:rsidRDefault="00355384" w:rsidP="00355384">
                  <w:pPr>
                    <w:jc w:val="center"/>
                    <w:rPr>
                      <w:rFonts w:ascii="Calibri" w:hAnsi="Calibri" w:cs="Arial"/>
                      <w:b/>
                      <w:lang w:val="en-IE"/>
                    </w:rPr>
                  </w:pPr>
                  <w:r>
                    <w:rPr>
                      <w:rFonts w:ascii="Calibri" w:hAnsi="Calibri" w:cs="Arial"/>
                      <w:b/>
                      <w:lang w:val="en-IE"/>
                    </w:rPr>
                    <w:t>Transitional Provisions: Legal Drafting</w:t>
                  </w:r>
                </w:p>
              </w:tc>
            </w:tr>
            <w:tr w:rsidR="00355384" w:rsidRPr="00E26814" w:rsidTr="00355384">
              <w:tc>
                <w:tcPr>
                  <w:tcW w:w="4045" w:type="dxa"/>
                  <w:shd w:val="clear" w:color="auto" w:fill="D9D9D9" w:themeFill="background1" w:themeFillShade="D9"/>
                </w:tcPr>
                <w:p w:rsidR="00355384" w:rsidRPr="00E26814" w:rsidRDefault="006223DD" w:rsidP="00355384">
                  <w:pPr>
                    <w:jc w:val="center"/>
                    <w:rPr>
                      <w:rFonts w:ascii="Calibri" w:hAnsi="Calibri" w:cs="Arial"/>
                      <w:b/>
                      <w:i/>
                      <w:lang w:val="en-IE"/>
                    </w:rPr>
                  </w:pPr>
                  <w:r w:rsidRPr="003439ED">
                    <w:rPr>
                      <w:rFonts w:ascii="Calibri" w:hAnsi="Calibri" w:cs="Arial"/>
                      <w:b/>
                      <w:i/>
                      <w:lang w:val="en-IE"/>
                    </w:rPr>
                    <w:object w:dxaOrig="1534"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Word.Document.8" ShapeID="_x0000_i1025" DrawAspect="Icon" ObjectID="_1383548471" r:id="rId12">
                        <o:FieldCodes>\s</o:FieldCodes>
                      </o:OLEObject>
                    </w:object>
                  </w:r>
                </w:p>
              </w:tc>
            </w:tr>
          </w:tbl>
          <w:p w:rsidR="00355384" w:rsidRDefault="00355384" w:rsidP="004B74E6">
            <w:pPr>
              <w:rPr>
                <w:rFonts w:ascii="Calibri" w:hAnsi="Calibri" w:cs="Arial"/>
                <w:lang w:val="en-IE"/>
              </w:rPr>
            </w:pPr>
          </w:p>
          <w:p w:rsidR="00172723" w:rsidRDefault="00172723" w:rsidP="004B74E6">
            <w:pPr>
              <w:rPr>
                <w:rFonts w:ascii="Calibri" w:hAnsi="Calibri" w:cs="Arial"/>
                <w:lang w:val="en-IE"/>
              </w:rPr>
            </w:pPr>
          </w:p>
          <w:p w:rsidR="004B74E6" w:rsidRDefault="00492190" w:rsidP="004B74E6">
            <w:pPr>
              <w:rPr>
                <w:rFonts w:ascii="Calibri" w:hAnsi="Calibri" w:cs="Arial"/>
                <w:lang w:val="en-IE"/>
              </w:rPr>
            </w:pPr>
            <w:r>
              <w:rPr>
                <w:rFonts w:ascii="Calibri" w:hAnsi="Calibri" w:cs="Arial"/>
                <w:lang w:val="en-IE"/>
              </w:rPr>
              <w:t xml:space="preserve">In addition, a </w:t>
            </w:r>
            <w:r w:rsidR="000F5D61">
              <w:rPr>
                <w:rFonts w:ascii="Calibri" w:hAnsi="Calibri" w:cs="Arial"/>
                <w:lang w:val="en-IE"/>
              </w:rPr>
              <w:t>Plain English Document</w:t>
            </w:r>
            <w:r w:rsidR="004B74E6">
              <w:rPr>
                <w:rFonts w:ascii="Calibri" w:hAnsi="Calibri" w:cs="Arial"/>
                <w:lang w:val="en-IE"/>
              </w:rPr>
              <w:t xml:space="preserve"> (</w:t>
            </w:r>
            <w:r w:rsidR="000F5D61">
              <w:rPr>
                <w:rFonts w:ascii="Calibri" w:hAnsi="Calibri" w:cs="Arial"/>
                <w:lang w:val="en-IE"/>
              </w:rPr>
              <w:t>PED</w:t>
            </w:r>
            <w:r w:rsidR="004B74E6">
              <w:rPr>
                <w:rFonts w:ascii="Calibri" w:hAnsi="Calibri" w:cs="Arial"/>
                <w:lang w:val="en-IE"/>
              </w:rPr>
              <w:t xml:space="preserve">) </w:t>
            </w:r>
            <w:r w:rsidR="000F5D61">
              <w:rPr>
                <w:rFonts w:ascii="Calibri" w:hAnsi="Calibri" w:cs="Arial"/>
                <w:lang w:val="en-IE"/>
              </w:rPr>
              <w:t xml:space="preserve">has </w:t>
            </w:r>
            <w:r w:rsidR="004B74E6">
              <w:rPr>
                <w:rFonts w:ascii="Calibri" w:hAnsi="Calibri" w:cs="Arial"/>
                <w:lang w:val="en-IE"/>
              </w:rPr>
              <w:t>been developed</w:t>
            </w:r>
            <w:r>
              <w:rPr>
                <w:rFonts w:ascii="Calibri" w:hAnsi="Calibri" w:cs="Arial"/>
                <w:lang w:val="en-IE"/>
              </w:rPr>
              <w:t>,</w:t>
            </w:r>
            <w:r w:rsidR="005D255D">
              <w:rPr>
                <w:rFonts w:ascii="Calibri" w:hAnsi="Calibri" w:cs="Arial"/>
                <w:lang w:val="en-IE"/>
              </w:rPr>
              <w:t xml:space="preserve"> which summarise</w:t>
            </w:r>
            <w:r w:rsidR="000F5D61">
              <w:rPr>
                <w:rFonts w:ascii="Calibri" w:hAnsi="Calibri" w:cs="Arial"/>
                <w:lang w:val="en-IE"/>
              </w:rPr>
              <w:t>s</w:t>
            </w:r>
            <w:r w:rsidR="005D255D">
              <w:rPr>
                <w:rFonts w:ascii="Calibri" w:hAnsi="Calibri" w:cs="Arial"/>
                <w:lang w:val="en-IE"/>
              </w:rPr>
              <w:t xml:space="preserve"> the </w:t>
            </w:r>
            <w:r w:rsidR="000F5D61">
              <w:rPr>
                <w:rFonts w:ascii="Calibri" w:hAnsi="Calibri" w:cs="Arial"/>
                <w:lang w:val="en-IE"/>
              </w:rPr>
              <w:t xml:space="preserve">proposed </w:t>
            </w:r>
            <w:r w:rsidR="005D255D">
              <w:rPr>
                <w:rFonts w:ascii="Calibri" w:hAnsi="Calibri" w:cs="Arial"/>
                <w:lang w:val="en-IE"/>
              </w:rPr>
              <w:t>changes</w:t>
            </w:r>
            <w:r w:rsidR="000F5D61">
              <w:rPr>
                <w:rFonts w:ascii="Calibri" w:hAnsi="Calibri" w:cs="Arial"/>
                <w:lang w:val="en-IE"/>
              </w:rPr>
              <w:t>.  The PED</w:t>
            </w:r>
            <w:r w:rsidR="005D255D">
              <w:rPr>
                <w:rFonts w:ascii="Calibri" w:hAnsi="Calibri" w:cs="Arial"/>
                <w:lang w:val="en-IE"/>
              </w:rPr>
              <w:t xml:space="preserve"> </w:t>
            </w:r>
            <w:r w:rsidR="000F5D61">
              <w:rPr>
                <w:rFonts w:ascii="Calibri" w:hAnsi="Calibri" w:cs="Arial"/>
                <w:lang w:val="en-IE"/>
              </w:rPr>
              <w:t xml:space="preserve">is </w:t>
            </w:r>
            <w:r>
              <w:rPr>
                <w:rFonts w:ascii="Calibri" w:hAnsi="Calibri" w:cs="Arial"/>
                <w:lang w:val="en-IE"/>
              </w:rPr>
              <w:t>attached below:</w:t>
            </w:r>
          </w:p>
          <w:p w:rsidR="00A2424D" w:rsidRDefault="00A2424D" w:rsidP="004B74E6">
            <w:pPr>
              <w:rPr>
                <w:rFonts w:ascii="Calibri" w:hAnsi="Calibri" w:cs="Arial"/>
                <w:lang w:val="en-IE"/>
              </w:rPr>
            </w:pPr>
          </w:p>
          <w:tbl>
            <w:tblPr>
              <w:tblStyle w:val="TableGrid"/>
              <w:tblW w:w="0" w:type="auto"/>
              <w:tblLayout w:type="fixed"/>
              <w:tblLook w:val="04A0"/>
            </w:tblPr>
            <w:tblGrid>
              <w:gridCol w:w="4045"/>
            </w:tblGrid>
            <w:tr w:rsidR="000F5D61" w:rsidTr="00172723">
              <w:trPr>
                <w:cantSplit/>
              </w:trPr>
              <w:tc>
                <w:tcPr>
                  <w:tcW w:w="4045" w:type="dxa"/>
                  <w:shd w:val="clear" w:color="auto" w:fill="D9D9D9" w:themeFill="background1" w:themeFillShade="D9"/>
                </w:tcPr>
                <w:p w:rsidR="000F5D61" w:rsidRPr="00291F95" w:rsidRDefault="000F5D61" w:rsidP="00291F95">
                  <w:pPr>
                    <w:jc w:val="center"/>
                    <w:rPr>
                      <w:rFonts w:ascii="Calibri" w:hAnsi="Calibri" w:cs="Arial"/>
                      <w:b/>
                      <w:lang w:val="en-IE"/>
                    </w:rPr>
                  </w:pPr>
                  <w:r>
                    <w:rPr>
                      <w:rFonts w:ascii="Calibri" w:hAnsi="Calibri" w:cs="Arial"/>
                      <w:b/>
                      <w:lang w:val="en-IE"/>
                    </w:rPr>
                    <w:lastRenderedPageBreak/>
                    <w:t>Transitional Provisions: PED</w:t>
                  </w:r>
                </w:p>
              </w:tc>
            </w:tr>
            <w:tr w:rsidR="000F5D61" w:rsidRPr="00E26814" w:rsidTr="00172723">
              <w:trPr>
                <w:cantSplit/>
              </w:trPr>
              <w:tc>
                <w:tcPr>
                  <w:tcW w:w="4045" w:type="dxa"/>
                  <w:shd w:val="clear" w:color="auto" w:fill="D9D9D9" w:themeFill="background1" w:themeFillShade="D9"/>
                </w:tcPr>
                <w:p w:rsidR="000F5D61" w:rsidRPr="00E26814" w:rsidRDefault="00172723" w:rsidP="00291F95">
                  <w:pPr>
                    <w:jc w:val="center"/>
                    <w:rPr>
                      <w:rFonts w:ascii="Calibri" w:hAnsi="Calibri" w:cs="Arial"/>
                      <w:b/>
                      <w:i/>
                      <w:lang w:val="en-IE"/>
                    </w:rPr>
                  </w:pPr>
                  <w:r w:rsidRPr="008A00EB">
                    <w:rPr>
                      <w:rFonts w:ascii="Calibri" w:hAnsi="Calibri" w:cs="Arial"/>
                      <w:b/>
                      <w:i/>
                      <w:lang w:val="en-IE"/>
                    </w:rPr>
                    <w:object w:dxaOrig="1534" w:dyaOrig="994">
                      <v:shape id="_x0000_i1026" type="#_x0000_t75" style="width:76.5pt;height:49.5pt" o:ole="">
                        <v:imagedata r:id="rId13" o:title=""/>
                      </v:shape>
                      <o:OLEObject Type="Embed" ProgID="Word.Document.8" ShapeID="_x0000_i1026" DrawAspect="Icon" ObjectID="_1383548472" r:id="rId14">
                        <o:FieldCodes>\s</o:FieldCodes>
                      </o:OLEObject>
                    </w:object>
                  </w:r>
                </w:p>
              </w:tc>
            </w:tr>
          </w:tbl>
          <w:p w:rsidR="00A2424D" w:rsidRDefault="00A2424D" w:rsidP="004B74E6">
            <w:pPr>
              <w:rPr>
                <w:rFonts w:ascii="Calibri" w:hAnsi="Calibri" w:cs="Arial"/>
                <w:lang w:val="en-IE"/>
              </w:rPr>
            </w:pPr>
          </w:p>
          <w:p w:rsidR="004B74E6" w:rsidRPr="004C53E7" w:rsidDel="00404964" w:rsidRDefault="004B74E6" w:rsidP="004B74E6">
            <w:pPr>
              <w:rPr>
                <w:rFonts w:ascii="Calibri" w:hAnsi="Calibri" w:cs="Arial"/>
                <w:lang w:val="en-IE"/>
              </w:rPr>
            </w:pPr>
          </w:p>
        </w:tc>
      </w:tr>
      <w:tr w:rsidR="004C53E7" w:rsidRPr="004C53E7" w:rsidTr="00613586">
        <w:tc>
          <w:tcPr>
            <w:tcW w:w="9243" w:type="dxa"/>
            <w:gridSpan w:val="6"/>
            <w:shd w:val="clear" w:color="auto" w:fill="C6D9F1"/>
            <w:vAlign w:val="center"/>
          </w:tcPr>
          <w:p w:rsidR="004C53E7" w:rsidRPr="004C53E7" w:rsidRDefault="004C53E7" w:rsidP="00613586">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613586">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4C53E7" w:rsidP="00693AA7">
            <w:pPr>
              <w:rPr>
                <w:rFonts w:ascii="Calibri" w:hAnsi="Calibri" w:cs="Arial"/>
                <w:lang w:val="en-IE"/>
              </w:rPr>
            </w:pPr>
          </w:p>
          <w:p w:rsidR="00492190" w:rsidRDefault="00324E8B" w:rsidP="00DD0BA2">
            <w:pPr>
              <w:rPr>
                <w:rFonts w:ascii="Calibri" w:hAnsi="Calibri" w:cs="Arial"/>
                <w:lang w:val="en-IE"/>
              </w:rPr>
            </w:pPr>
            <w:r>
              <w:rPr>
                <w:rFonts w:ascii="Calibri" w:hAnsi="Calibri" w:cs="Arial"/>
                <w:lang w:val="en-IE"/>
              </w:rPr>
              <w:t xml:space="preserve">The transitional provisions included in this Modification Proposal enable the smooth transition of the Trading and Settlement Code to implement the enduring SEM Intra-Day Trading provisions, comprising activities required by the Market Operator which will be performed prior to and at the start of the IDT Start Date.  </w:t>
            </w:r>
          </w:p>
          <w:p w:rsidR="00324E8B" w:rsidRDefault="00324E8B" w:rsidP="00492190">
            <w:pPr>
              <w:spacing w:before="120"/>
              <w:rPr>
                <w:rFonts w:ascii="Calibri" w:hAnsi="Calibri" w:cs="Arial"/>
                <w:lang w:val="en-IE"/>
              </w:rPr>
            </w:pPr>
            <w:r>
              <w:rPr>
                <w:rFonts w:ascii="Calibri" w:hAnsi="Calibri" w:cs="Arial"/>
                <w:lang w:val="en-IE"/>
              </w:rPr>
              <w:t>Without these transitional provisions, various enduring provisions will have no starting point and compliance with the enduring Intra-Day Trading provisions will not be possible.</w:t>
            </w:r>
            <w:r w:rsidR="00F9083A">
              <w:rPr>
                <w:rFonts w:ascii="Calibri" w:hAnsi="Calibri" w:cs="Arial"/>
                <w:lang w:val="en-IE"/>
              </w:rPr>
              <w:t xml:space="preserve">  They are</w:t>
            </w:r>
            <w:r w:rsidR="003833E2">
              <w:rPr>
                <w:rFonts w:ascii="Calibri" w:hAnsi="Calibri" w:cs="Arial"/>
                <w:lang w:val="en-IE"/>
              </w:rPr>
              <w:t>,</w:t>
            </w:r>
            <w:r w:rsidR="00F9083A">
              <w:rPr>
                <w:rFonts w:ascii="Calibri" w:hAnsi="Calibri" w:cs="Arial"/>
                <w:lang w:val="en-IE"/>
              </w:rPr>
              <w:t xml:space="preserve"> therefore</w:t>
            </w:r>
            <w:r w:rsidR="003833E2">
              <w:rPr>
                <w:rFonts w:ascii="Calibri" w:hAnsi="Calibri" w:cs="Arial"/>
                <w:lang w:val="en-IE"/>
              </w:rPr>
              <w:t>,</w:t>
            </w:r>
            <w:r w:rsidR="00F9083A">
              <w:rPr>
                <w:rFonts w:ascii="Calibri" w:hAnsi="Calibri" w:cs="Arial"/>
                <w:lang w:val="en-IE"/>
              </w:rPr>
              <w:t xml:space="preserve"> essential.</w:t>
            </w:r>
          </w:p>
          <w:p w:rsidR="00DD0BA2" w:rsidRPr="004C53E7" w:rsidRDefault="00DD0BA2" w:rsidP="00DD0BA2">
            <w:pPr>
              <w:rPr>
                <w:rFonts w:ascii="Calibri" w:hAnsi="Calibri" w:cs="Arial"/>
                <w:lang w:val="en-IE"/>
              </w:rPr>
            </w:pPr>
          </w:p>
        </w:tc>
      </w:tr>
      <w:tr w:rsidR="004C53E7" w:rsidRPr="004C53E7" w:rsidTr="00613586">
        <w:tc>
          <w:tcPr>
            <w:tcW w:w="9243" w:type="dxa"/>
            <w:gridSpan w:val="6"/>
            <w:shd w:val="clear" w:color="auto" w:fill="C6D9F1"/>
            <w:vAlign w:val="center"/>
          </w:tcPr>
          <w:p w:rsidR="004C53E7" w:rsidRPr="004C53E7" w:rsidRDefault="004C53E7" w:rsidP="00613586">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613586">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9F642A" w:rsidRDefault="009F642A" w:rsidP="004B74E6">
            <w:pPr>
              <w:rPr>
                <w:rFonts w:ascii="Calibri" w:hAnsi="Calibri" w:cs="Arial"/>
                <w:lang w:val="en-IE"/>
              </w:rPr>
            </w:pPr>
          </w:p>
          <w:p w:rsidR="00492190" w:rsidRDefault="004B74E6" w:rsidP="004B74E6">
            <w:pPr>
              <w:rPr>
                <w:rFonts w:ascii="Calibri" w:hAnsi="Calibri" w:cs="Arial"/>
                <w:lang w:val="en-IE"/>
              </w:rPr>
            </w:pPr>
            <w:r w:rsidRPr="004B74E6">
              <w:rPr>
                <w:rFonts w:ascii="Calibri" w:hAnsi="Calibri" w:cs="Arial"/>
                <w:lang w:val="en-IE"/>
              </w:rPr>
              <w:t xml:space="preserve">This Modification </w:t>
            </w:r>
            <w:r w:rsidR="00492190">
              <w:rPr>
                <w:rFonts w:ascii="Calibri" w:hAnsi="Calibri" w:cs="Arial"/>
                <w:lang w:val="en-IE"/>
              </w:rPr>
              <w:t>facilitates the smooth implementation of Intra-Day Trading in the SEM, as detailed in Intra</w:t>
            </w:r>
            <w:r w:rsidR="00C24D09">
              <w:rPr>
                <w:rFonts w:ascii="Calibri" w:hAnsi="Calibri" w:cs="Arial"/>
                <w:lang w:val="en-IE"/>
              </w:rPr>
              <w:t>-Day Trading Modification MOD_18-</w:t>
            </w:r>
            <w:r w:rsidR="00E23443">
              <w:rPr>
                <w:rFonts w:ascii="Calibri" w:hAnsi="Calibri" w:cs="Arial"/>
                <w:lang w:val="en-IE"/>
              </w:rPr>
              <w:t>10_v2</w:t>
            </w:r>
            <w:r w:rsidR="00492190">
              <w:rPr>
                <w:rFonts w:ascii="Calibri" w:hAnsi="Calibri" w:cs="Arial"/>
                <w:lang w:val="en-IE"/>
              </w:rPr>
              <w:t xml:space="preserve">.  </w:t>
            </w:r>
          </w:p>
          <w:p w:rsidR="004B74E6" w:rsidRDefault="00492190" w:rsidP="00492190">
            <w:pPr>
              <w:spacing w:before="120"/>
              <w:rPr>
                <w:rFonts w:ascii="Calibri" w:hAnsi="Calibri" w:cs="Arial"/>
                <w:lang w:val="en-IE"/>
              </w:rPr>
            </w:pPr>
            <w:r>
              <w:rPr>
                <w:rFonts w:ascii="Calibri" w:hAnsi="Calibri" w:cs="Arial"/>
                <w:lang w:val="en-IE"/>
              </w:rPr>
              <w:t xml:space="preserve">As such, </w:t>
            </w:r>
            <w:r w:rsidR="00C24D09">
              <w:rPr>
                <w:rFonts w:ascii="Calibri" w:hAnsi="Calibri" w:cs="Arial"/>
                <w:lang w:val="en-IE"/>
              </w:rPr>
              <w:t>as detailed in MOD_18-</w:t>
            </w:r>
            <w:r w:rsidR="00E23443">
              <w:rPr>
                <w:rFonts w:ascii="Calibri" w:hAnsi="Calibri" w:cs="Arial"/>
                <w:lang w:val="en-IE"/>
              </w:rPr>
              <w:t>10_v2</w:t>
            </w:r>
            <w:r w:rsidR="00C24D09">
              <w:rPr>
                <w:rFonts w:ascii="Calibri" w:hAnsi="Calibri" w:cs="Arial"/>
                <w:lang w:val="en-IE"/>
              </w:rPr>
              <w:t xml:space="preserve">, </w:t>
            </w:r>
            <w:r>
              <w:rPr>
                <w:rFonts w:ascii="Calibri" w:hAnsi="Calibri" w:cs="Arial"/>
                <w:lang w:val="en-IE"/>
              </w:rPr>
              <w:t>it will further</w:t>
            </w:r>
            <w:r w:rsidR="00DD0BA2">
              <w:rPr>
                <w:rFonts w:ascii="Calibri" w:hAnsi="Calibri" w:cs="Arial"/>
                <w:lang w:val="en-IE"/>
              </w:rPr>
              <w:t xml:space="preserve"> </w:t>
            </w:r>
            <w:r w:rsidR="004B74E6" w:rsidRPr="004B74E6">
              <w:rPr>
                <w:rFonts w:ascii="Calibri" w:hAnsi="Calibri" w:cs="Arial"/>
                <w:lang w:val="en-IE"/>
              </w:rPr>
              <w:t>the following Trading and Settlement Code Objectives:</w:t>
            </w:r>
          </w:p>
          <w:p w:rsidR="00D9007C" w:rsidRPr="004B74E6" w:rsidRDefault="00D9007C" w:rsidP="004B74E6">
            <w:pPr>
              <w:rPr>
                <w:rFonts w:ascii="Calibri" w:hAnsi="Calibri" w:cs="Arial"/>
                <w:lang w:val="en-IE"/>
              </w:rPr>
            </w:pPr>
          </w:p>
          <w:p w:rsidR="009F642A" w:rsidRPr="009F642A" w:rsidRDefault="00D9007C" w:rsidP="004B74E6">
            <w:pPr>
              <w:pStyle w:val="ListParagraph"/>
              <w:numPr>
                <w:ilvl w:val="0"/>
                <w:numId w:val="9"/>
              </w:numPr>
              <w:rPr>
                <w:rFonts w:ascii="Calibri" w:hAnsi="Calibri" w:cs="Arial"/>
                <w:lang w:val="en-IE"/>
              </w:rPr>
            </w:pPr>
            <w:r w:rsidRPr="00D9007C">
              <w:rPr>
                <w:rFonts w:ascii="Calibri" w:hAnsi="Calibri" w:cs="Arial"/>
                <w:b/>
                <w:lang w:val="en-IE"/>
              </w:rPr>
              <w:t>Code Objective 3</w:t>
            </w:r>
            <w:r>
              <w:rPr>
                <w:rFonts w:ascii="Calibri" w:hAnsi="Calibri" w:cs="Arial"/>
                <w:b/>
                <w:lang w:val="en-IE"/>
              </w:rPr>
              <w:t xml:space="preserve">: </w:t>
            </w:r>
            <w:r w:rsidR="004B74E6" w:rsidRPr="009F642A">
              <w:rPr>
                <w:rFonts w:ascii="Calibri" w:hAnsi="Calibri" w:cs="Arial"/>
                <w:i/>
                <w:lang w:val="en-IE"/>
              </w:rPr>
              <w:t>“to facilitate the participation of electricity undertakings engaged in the generation</w:t>
            </w:r>
            <w:r>
              <w:rPr>
                <w:rFonts w:ascii="Calibri" w:hAnsi="Calibri" w:cs="Arial"/>
                <w:i/>
                <w:lang w:val="en-IE"/>
              </w:rPr>
              <w:t xml:space="preserve">, supply or sale </w:t>
            </w:r>
            <w:r w:rsidR="004B74E6" w:rsidRPr="009F642A">
              <w:rPr>
                <w:rFonts w:ascii="Calibri" w:hAnsi="Calibri" w:cs="Arial"/>
                <w:i/>
                <w:lang w:val="en-IE"/>
              </w:rPr>
              <w:t>of electricity in the trading arrangements under the Single Electricity Market”</w:t>
            </w:r>
            <w:r w:rsidR="009F642A">
              <w:rPr>
                <w:rFonts w:ascii="Calibri" w:hAnsi="Calibri" w:cs="Arial"/>
                <w:i/>
                <w:lang w:val="en-IE"/>
              </w:rPr>
              <w:t>.</w:t>
            </w:r>
          </w:p>
          <w:p w:rsidR="00D9007C" w:rsidRDefault="00D9007C" w:rsidP="009F642A">
            <w:pPr>
              <w:ind w:left="360"/>
              <w:rPr>
                <w:rFonts w:ascii="Calibri" w:hAnsi="Calibri" w:cs="Arial"/>
                <w:lang w:val="en-IE"/>
              </w:rPr>
            </w:pPr>
          </w:p>
          <w:p w:rsidR="00D9007C" w:rsidRPr="00D9007C" w:rsidRDefault="00D9007C" w:rsidP="004B74E6">
            <w:pPr>
              <w:pStyle w:val="ListParagraph"/>
              <w:numPr>
                <w:ilvl w:val="0"/>
                <w:numId w:val="9"/>
              </w:numPr>
              <w:rPr>
                <w:rFonts w:ascii="Calibri" w:hAnsi="Calibri" w:cs="Arial"/>
                <w:lang w:val="en-IE"/>
              </w:rPr>
            </w:pPr>
            <w:r w:rsidRPr="00D9007C">
              <w:rPr>
                <w:rFonts w:ascii="Calibri" w:hAnsi="Calibri" w:cs="Arial"/>
                <w:b/>
                <w:lang w:val="en-IE"/>
              </w:rPr>
              <w:t>Code Objective 4:</w:t>
            </w:r>
            <w:r>
              <w:rPr>
                <w:rFonts w:ascii="Calibri" w:hAnsi="Calibri" w:cs="Arial"/>
                <w:lang w:val="en-IE"/>
              </w:rPr>
              <w:t xml:space="preserve"> </w:t>
            </w:r>
            <w:r w:rsidR="004B74E6" w:rsidRPr="00D9007C">
              <w:rPr>
                <w:rFonts w:ascii="Calibri" w:hAnsi="Calibri" w:cs="Arial"/>
                <w:i/>
                <w:lang w:val="en-IE"/>
              </w:rPr>
              <w:t>“to promote competition in the single electricity wholesale market on the island of Ireland</w:t>
            </w:r>
            <w:r>
              <w:rPr>
                <w:rFonts w:ascii="Calibri" w:hAnsi="Calibri" w:cs="Arial"/>
                <w:i/>
                <w:lang w:val="en-IE"/>
              </w:rPr>
              <w:t>”.</w:t>
            </w:r>
          </w:p>
          <w:p w:rsidR="00D9007C" w:rsidRDefault="00D9007C" w:rsidP="00D9007C">
            <w:pPr>
              <w:ind w:left="360"/>
              <w:rPr>
                <w:rFonts w:ascii="Calibri" w:hAnsi="Calibri" w:cs="Arial"/>
                <w:lang w:val="en-IE"/>
              </w:rPr>
            </w:pPr>
          </w:p>
          <w:p w:rsidR="00D9007C" w:rsidRDefault="00D9007C" w:rsidP="004B74E6">
            <w:pPr>
              <w:pStyle w:val="ListParagraph"/>
              <w:numPr>
                <w:ilvl w:val="0"/>
                <w:numId w:val="9"/>
              </w:numPr>
              <w:rPr>
                <w:rFonts w:ascii="Calibri" w:hAnsi="Calibri" w:cs="Arial"/>
                <w:lang w:val="en-IE"/>
              </w:rPr>
            </w:pPr>
            <w:r w:rsidRPr="00D9007C">
              <w:rPr>
                <w:rFonts w:ascii="Calibri" w:hAnsi="Calibri" w:cs="Arial"/>
                <w:b/>
                <w:lang w:val="en-IE"/>
              </w:rPr>
              <w:t>Code Objective 7:</w:t>
            </w:r>
            <w:r>
              <w:rPr>
                <w:rFonts w:ascii="Calibri" w:hAnsi="Calibri" w:cs="Arial"/>
                <w:lang w:val="en-IE"/>
              </w:rPr>
              <w:t xml:space="preserve"> </w:t>
            </w:r>
            <w:r w:rsidR="004B74E6" w:rsidRPr="00D9007C">
              <w:rPr>
                <w:rFonts w:ascii="Calibri" w:hAnsi="Calibri" w:cs="Arial"/>
                <w:i/>
                <w:lang w:val="en-IE"/>
              </w:rPr>
              <w:t>“to promote the short-term and long-term interests of consumers of electricity on the island of Ireland with respect to price, quality, reliability, and security of supply of electricity”</w:t>
            </w:r>
            <w:r w:rsidR="004B74E6" w:rsidRPr="004B74E6">
              <w:rPr>
                <w:rFonts w:ascii="Calibri" w:hAnsi="Calibri" w:cs="Arial"/>
                <w:lang w:val="en-IE"/>
              </w:rPr>
              <w:t>.</w:t>
            </w:r>
          </w:p>
          <w:p w:rsidR="004B74E6" w:rsidRPr="004B74E6" w:rsidRDefault="004B74E6" w:rsidP="00492190">
            <w:pPr>
              <w:ind w:left="360"/>
              <w:rPr>
                <w:rFonts w:ascii="Calibri" w:hAnsi="Calibri" w:cs="Arial"/>
                <w:lang w:val="en-IE"/>
              </w:rPr>
            </w:pPr>
          </w:p>
        </w:tc>
      </w:tr>
      <w:tr w:rsidR="004C53E7" w:rsidRPr="004C53E7" w:rsidTr="00613586">
        <w:tc>
          <w:tcPr>
            <w:tcW w:w="9243" w:type="dxa"/>
            <w:gridSpan w:val="6"/>
            <w:shd w:val="clear" w:color="auto" w:fill="C6D9F1"/>
            <w:vAlign w:val="center"/>
          </w:tcPr>
          <w:p w:rsidR="004C53E7" w:rsidRPr="004C53E7" w:rsidRDefault="004C53E7" w:rsidP="00613586">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613586">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926FAA" w:rsidRDefault="00926FAA" w:rsidP="004B74E6">
            <w:pPr>
              <w:rPr>
                <w:rFonts w:ascii="Calibri" w:hAnsi="Calibri" w:cs="Arial"/>
                <w:lang w:val="en-IE"/>
              </w:rPr>
            </w:pPr>
          </w:p>
          <w:p w:rsidR="004B74E6" w:rsidRPr="004B74E6" w:rsidRDefault="0098414F" w:rsidP="004B74E6">
            <w:pPr>
              <w:rPr>
                <w:rFonts w:ascii="Calibri" w:hAnsi="Calibri" w:cs="Arial"/>
                <w:lang w:val="en-IE"/>
              </w:rPr>
            </w:pPr>
            <w:r>
              <w:rPr>
                <w:rFonts w:ascii="Calibri" w:hAnsi="Calibri" w:cs="Arial"/>
                <w:lang w:val="en-IE"/>
              </w:rPr>
              <w:t xml:space="preserve">If </w:t>
            </w:r>
            <w:r w:rsidR="00BC7C94">
              <w:rPr>
                <w:rFonts w:ascii="Calibri" w:hAnsi="Calibri" w:cs="Arial"/>
                <w:lang w:val="en-IE"/>
              </w:rPr>
              <w:t xml:space="preserve">the transitional arrangements detailed in this Modification Proposal were not to be implemented, the smooth implementation of </w:t>
            </w:r>
            <w:r w:rsidR="00DD0BA2">
              <w:rPr>
                <w:rFonts w:ascii="Calibri" w:hAnsi="Calibri" w:cs="Arial"/>
                <w:lang w:val="en-IE"/>
              </w:rPr>
              <w:t xml:space="preserve">SEM Intra-Day Trading </w:t>
            </w:r>
            <w:r w:rsidR="00BC7C94">
              <w:rPr>
                <w:rFonts w:ascii="Calibri" w:hAnsi="Calibri" w:cs="Arial"/>
                <w:lang w:val="en-IE"/>
              </w:rPr>
              <w:t>would be compromised, such that:</w:t>
            </w:r>
          </w:p>
          <w:p w:rsidR="004B74E6" w:rsidRPr="004B74E6" w:rsidRDefault="00BC7C94" w:rsidP="00492190">
            <w:pPr>
              <w:pStyle w:val="ListParagraph"/>
              <w:numPr>
                <w:ilvl w:val="0"/>
                <w:numId w:val="10"/>
              </w:numPr>
              <w:spacing w:before="60"/>
              <w:contextualSpacing w:val="0"/>
              <w:rPr>
                <w:rFonts w:ascii="Calibri" w:hAnsi="Calibri" w:cs="Arial"/>
                <w:lang w:val="en-IE"/>
              </w:rPr>
            </w:pPr>
            <w:r>
              <w:rPr>
                <w:rFonts w:ascii="Calibri" w:hAnsi="Calibri" w:cs="Arial"/>
                <w:lang w:val="en-IE"/>
              </w:rPr>
              <w:t>N</w:t>
            </w:r>
            <w:r w:rsidR="00DD0BA2">
              <w:rPr>
                <w:rFonts w:ascii="Calibri" w:hAnsi="Calibri" w:cs="Arial"/>
                <w:lang w:val="en-IE"/>
              </w:rPr>
              <w:t>ew variables required for SEM Intra-Day Trading</w:t>
            </w:r>
            <w:r>
              <w:rPr>
                <w:rFonts w:ascii="Calibri" w:hAnsi="Calibri" w:cs="Arial"/>
                <w:lang w:val="en-IE"/>
              </w:rPr>
              <w:t xml:space="preserve"> would not be correctly initialised</w:t>
            </w:r>
            <w:r w:rsidR="00DD0BA2">
              <w:rPr>
                <w:rFonts w:ascii="Calibri" w:hAnsi="Calibri" w:cs="Arial"/>
                <w:lang w:val="en-IE"/>
              </w:rPr>
              <w:t>.</w:t>
            </w:r>
          </w:p>
          <w:p w:rsidR="004B74E6" w:rsidRPr="004B74E6" w:rsidRDefault="00BC7C94" w:rsidP="00492190">
            <w:pPr>
              <w:pStyle w:val="ListParagraph"/>
              <w:numPr>
                <w:ilvl w:val="0"/>
                <w:numId w:val="10"/>
              </w:numPr>
              <w:spacing w:before="60"/>
              <w:contextualSpacing w:val="0"/>
              <w:rPr>
                <w:rFonts w:ascii="Calibri" w:hAnsi="Calibri" w:cs="Arial"/>
                <w:lang w:val="en-IE"/>
              </w:rPr>
            </w:pPr>
            <w:r>
              <w:rPr>
                <w:rFonts w:ascii="Calibri" w:hAnsi="Calibri" w:cs="Arial"/>
                <w:lang w:val="en-IE"/>
              </w:rPr>
              <w:t>It would prove necessary to introduce o</w:t>
            </w:r>
            <w:r w:rsidR="00DD0BA2">
              <w:rPr>
                <w:rFonts w:ascii="Calibri" w:hAnsi="Calibri" w:cs="Arial"/>
                <w:lang w:val="en-IE"/>
              </w:rPr>
              <w:t>nerous registration processes to enable continued trading by current Interconnector Users on or after the IDT Start Date.</w:t>
            </w:r>
          </w:p>
          <w:p w:rsidR="004C53E7" w:rsidRPr="00A60BB5" w:rsidRDefault="00A60BB5" w:rsidP="00A60BB5">
            <w:pPr>
              <w:pStyle w:val="ListParagraph"/>
              <w:numPr>
                <w:ilvl w:val="0"/>
                <w:numId w:val="10"/>
              </w:numPr>
              <w:spacing w:before="60"/>
              <w:contextualSpacing w:val="0"/>
              <w:rPr>
                <w:rFonts w:ascii="Calibri" w:hAnsi="Calibri" w:cs="Arial"/>
                <w:lang w:val="en-IE"/>
              </w:rPr>
            </w:pPr>
            <w:r w:rsidRPr="00A60BB5">
              <w:rPr>
                <w:rFonts w:ascii="Calibri" w:hAnsi="Calibri" w:cs="Arial"/>
                <w:lang w:val="en-IE"/>
              </w:rPr>
              <w:t>For an initial period, there would be i</w:t>
            </w:r>
            <w:r w:rsidR="00DD0BA2" w:rsidRPr="00A60BB5">
              <w:rPr>
                <w:rFonts w:ascii="Calibri" w:hAnsi="Calibri" w:cs="Arial"/>
                <w:lang w:val="en-IE"/>
              </w:rPr>
              <w:t xml:space="preserve">nsufficient credit cover in place for all Interconnector Users </w:t>
            </w:r>
            <w:r>
              <w:rPr>
                <w:rFonts w:ascii="Calibri" w:hAnsi="Calibri" w:cs="Arial"/>
                <w:lang w:val="en-IE"/>
              </w:rPr>
              <w:t xml:space="preserve">who were </w:t>
            </w:r>
            <w:r w:rsidR="00DD0BA2" w:rsidRPr="00A60BB5">
              <w:rPr>
                <w:rFonts w:ascii="Calibri" w:hAnsi="Calibri" w:cs="Arial"/>
                <w:lang w:val="en-IE"/>
              </w:rPr>
              <w:t>trading in the SEM prior to the IDT Start Date</w:t>
            </w:r>
            <w:r w:rsidR="00926FAA" w:rsidRPr="00A60BB5">
              <w:rPr>
                <w:rFonts w:ascii="Calibri" w:hAnsi="Calibri" w:cs="Arial"/>
                <w:lang w:val="en-IE"/>
              </w:rPr>
              <w:t>.</w:t>
            </w:r>
          </w:p>
          <w:p w:rsidR="004B74E6" w:rsidRPr="004C53E7" w:rsidRDefault="004B74E6" w:rsidP="004B74E6">
            <w:pPr>
              <w:rPr>
                <w:rFonts w:ascii="Calibri" w:hAnsi="Calibri" w:cs="Arial"/>
                <w:lang w:val="en-IE"/>
              </w:rPr>
            </w:pPr>
          </w:p>
        </w:tc>
      </w:tr>
      <w:tr w:rsidR="004C53E7" w:rsidRPr="004C53E7" w:rsidTr="00613586">
        <w:trPr>
          <w:trHeight w:val="507"/>
        </w:trPr>
        <w:tc>
          <w:tcPr>
            <w:tcW w:w="4621" w:type="dxa"/>
            <w:gridSpan w:val="3"/>
            <w:shd w:val="clear" w:color="auto" w:fill="C6D9F1"/>
            <w:vAlign w:val="center"/>
          </w:tcPr>
          <w:p w:rsidR="004C53E7" w:rsidRPr="004C53E7" w:rsidRDefault="004C53E7" w:rsidP="00613586">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613586">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613586">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613586">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613586">
            <w:pPr>
              <w:jc w:val="center"/>
              <w:rPr>
                <w:rFonts w:ascii="Calibri" w:hAnsi="Calibri" w:cs="Arial"/>
                <w:b/>
                <w:bCs/>
                <w:iCs/>
                <w:lang w:val="en-IE"/>
              </w:rPr>
            </w:pPr>
          </w:p>
        </w:tc>
      </w:tr>
      <w:tr w:rsidR="004C53E7" w:rsidRPr="004C53E7" w:rsidDel="00404964" w:rsidTr="00613586">
        <w:trPr>
          <w:trHeight w:val="507"/>
        </w:trPr>
        <w:tc>
          <w:tcPr>
            <w:tcW w:w="4621" w:type="dxa"/>
            <w:gridSpan w:val="3"/>
            <w:vAlign w:val="center"/>
          </w:tcPr>
          <w:p w:rsidR="004C53E7" w:rsidRPr="004C53E7" w:rsidDel="00404964" w:rsidRDefault="00A60BB5" w:rsidP="00613586">
            <w:pPr>
              <w:rPr>
                <w:rFonts w:ascii="Calibri" w:hAnsi="Calibri" w:cs="Arial"/>
                <w:lang w:val="en-IE"/>
              </w:rPr>
            </w:pPr>
            <w:r>
              <w:rPr>
                <w:rFonts w:ascii="Calibri" w:hAnsi="Calibri" w:cs="Arial"/>
                <w:lang w:val="en-IE"/>
              </w:rPr>
              <w:t xml:space="preserve">The IDT </w:t>
            </w:r>
            <w:r w:rsidR="00613586">
              <w:rPr>
                <w:rFonts w:ascii="Calibri" w:hAnsi="Calibri" w:cs="Arial"/>
                <w:lang w:val="en-IE"/>
              </w:rPr>
              <w:t xml:space="preserve">Working Group has met on numerous occasions to </w:t>
            </w:r>
            <w:r>
              <w:rPr>
                <w:rFonts w:ascii="Calibri" w:hAnsi="Calibri" w:cs="Arial"/>
                <w:lang w:val="en-IE"/>
              </w:rPr>
              <w:t xml:space="preserve">first </w:t>
            </w:r>
            <w:r w:rsidR="00613586">
              <w:rPr>
                <w:rFonts w:ascii="Calibri" w:hAnsi="Calibri" w:cs="Arial"/>
                <w:lang w:val="en-IE"/>
              </w:rPr>
              <w:t>develop the High Level Design</w:t>
            </w:r>
            <w:r>
              <w:rPr>
                <w:rFonts w:ascii="Calibri" w:hAnsi="Calibri" w:cs="Arial"/>
                <w:lang w:val="en-IE"/>
              </w:rPr>
              <w:t>,</w:t>
            </w:r>
            <w:r w:rsidR="00613586">
              <w:rPr>
                <w:rFonts w:ascii="Calibri" w:hAnsi="Calibri" w:cs="Arial"/>
                <w:lang w:val="en-IE"/>
              </w:rPr>
              <w:t xml:space="preserve"> and</w:t>
            </w:r>
            <w:r>
              <w:rPr>
                <w:rFonts w:ascii="Calibri" w:hAnsi="Calibri" w:cs="Arial"/>
                <w:lang w:val="en-IE"/>
              </w:rPr>
              <w:t xml:space="preserve"> subsequently</w:t>
            </w:r>
            <w:r w:rsidR="00613586">
              <w:rPr>
                <w:rFonts w:ascii="Calibri" w:hAnsi="Calibri" w:cs="Arial"/>
                <w:lang w:val="en-IE"/>
              </w:rPr>
              <w:t xml:space="preserve"> the resulting legal drafting</w:t>
            </w:r>
            <w:r w:rsidR="00DD0BA2">
              <w:rPr>
                <w:rFonts w:ascii="Calibri" w:hAnsi="Calibri" w:cs="Arial"/>
                <w:lang w:val="en-IE"/>
              </w:rPr>
              <w:t xml:space="preserve"> of the main IDT provisions and the </w:t>
            </w:r>
            <w:r>
              <w:rPr>
                <w:rFonts w:ascii="Calibri" w:hAnsi="Calibri" w:cs="Arial"/>
                <w:lang w:val="en-IE"/>
              </w:rPr>
              <w:t>associated transitional arrangements specified in this Modification</w:t>
            </w:r>
            <w:r w:rsidR="00613586">
              <w:rPr>
                <w:rFonts w:ascii="Calibri" w:hAnsi="Calibri" w:cs="Arial"/>
                <w:lang w:val="en-IE"/>
              </w:rPr>
              <w:t>.</w:t>
            </w:r>
          </w:p>
        </w:tc>
        <w:tc>
          <w:tcPr>
            <w:tcW w:w="4622" w:type="dxa"/>
            <w:gridSpan w:val="3"/>
          </w:tcPr>
          <w:p w:rsidR="004C53E7" w:rsidRPr="004C53E7" w:rsidDel="00404964" w:rsidRDefault="00DD0BA2" w:rsidP="00A60BB5">
            <w:pPr>
              <w:rPr>
                <w:rFonts w:ascii="Calibri" w:hAnsi="Calibri" w:cs="Arial"/>
                <w:lang w:val="en-IE"/>
              </w:rPr>
            </w:pPr>
            <w:r>
              <w:rPr>
                <w:rFonts w:ascii="Calibri" w:hAnsi="Calibri" w:cs="Arial"/>
                <w:lang w:val="en-IE"/>
              </w:rPr>
              <w:t xml:space="preserve">The transitional </w:t>
            </w:r>
            <w:r w:rsidR="00A60BB5">
              <w:rPr>
                <w:rFonts w:ascii="Calibri" w:hAnsi="Calibri" w:cs="Arial"/>
                <w:lang w:val="en-IE"/>
              </w:rPr>
              <w:t>arrangements</w:t>
            </w:r>
            <w:r>
              <w:rPr>
                <w:rFonts w:ascii="Calibri" w:hAnsi="Calibri" w:cs="Arial"/>
                <w:lang w:val="en-IE"/>
              </w:rPr>
              <w:t xml:space="preserve"> </w:t>
            </w:r>
            <w:r w:rsidR="00324E8B">
              <w:rPr>
                <w:rFonts w:ascii="Calibri" w:hAnsi="Calibri" w:cs="Arial"/>
                <w:lang w:val="en-IE"/>
              </w:rPr>
              <w:t>comprise activities required by the Market Operator prior to the IDT Start Date, as part of the transition to the new arrangements.  As such, there are no additional resources required to implement this Modification.</w:t>
            </w:r>
          </w:p>
        </w:tc>
      </w:tr>
      <w:tr w:rsidR="004C53E7" w:rsidRPr="004C53E7" w:rsidTr="00693AA7">
        <w:tc>
          <w:tcPr>
            <w:tcW w:w="9243" w:type="dxa"/>
            <w:gridSpan w:val="6"/>
            <w:vAlign w:val="center"/>
          </w:tcPr>
          <w:p w:rsidR="004C53E7" w:rsidRPr="004C53E7" w:rsidRDefault="004C53E7" w:rsidP="00693AA7">
            <w:pPr>
              <w:rPr>
                <w:rFonts w:ascii="Calibri" w:hAnsi="Calibri" w:cs="Arial"/>
                <w:lang w:val="en-IE"/>
              </w:rPr>
            </w:pPr>
          </w:p>
        </w:tc>
      </w:tr>
      <w:tr w:rsidR="004C53E7" w:rsidRPr="004C53E7" w:rsidTr="00613586">
        <w:tc>
          <w:tcPr>
            <w:tcW w:w="9243" w:type="dxa"/>
            <w:gridSpan w:val="6"/>
            <w:vAlign w:val="center"/>
          </w:tcPr>
          <w:p w:rsidR="004C53E7" w:rsidRPr="004C53E7" w:rsidRDefault="004C53E7" w:rsidP="00613586">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5" w:history="1">
              <w:r w:rsidRPr="004C53E7">
                <w:rPr>
                  <w:rStyle w:val="Hyperlink"/>
                  <w:rFonts w:ascii="Calibri" w:hAnsi="Calibri" w:cs="Arial"/>
                  <w:b/>
                  <w:bCs/>
                  <w:i/>
                  <w:iCs/>
                  <w:lang w:val="en-IE"/>
                </w:rPr>
                <w:t>modifications@sem-o.com</w:t>
              </w:r>
            </w:hyperlink>
          </w:p>
        </w:tc>
      </w:tr>
    </w:tbl>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w:t>
      </w:r>
      <w:r w:rsidR="00A60BB5">
        <w:rPr>
          <w:rFonts w:ascii="Arial" w:hAnsi="Arial" w:cs="Arial"/>
          <w:b/>
          <w:sz w:val="16"/>
          <w:szCs w:val="16"/>
          <w:lang w:val="en-IE"/>
        </w:rPr>
        <w:t>,</w:t>
      </w:r>
      <w:r w:rsidRPr="004C53E7">
        <w:rPr>
          <w:rFonts w:ascii="Arial" w:hAnsi="Arial" w:cs="Arial"/>
          <w:b/>
          <w:sz w:val="16"/>
          <w:szCs w:val="16"/>
          <w:lang w:val="en-IE"/>
        </w:rPr>
        <w:t xml:space="preserve"> as listed in Appendix D “List of Agreed Procedures”.</w:t>
      </w:r>
    </w:p>
    <w:p w:rsidR="004C53E7" w:rsidRPr="004C53E7" w:rsidRDefault="004C53E7" w:rsidP="00A60BB5">
      <w:pPr>
        <w:spacing w:before="120"/>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A60BB5">
      <w:pPr>
        <w:spacing w:before="120"/>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A60BB5">
      <w:pPr>
        <w:spacing w:before="120"/>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B027EBB"/>
    <w:multiLevelType w:val="hybridMultilevel"/>
    <w:tmpl w:val="40E28BC8"/>
    <w:lvl w:ilvl="0" w:tplc="04090001">
      <w:start w:val="1"/>
      <w:numFmt w:val="bullet"/>
      <w:lvlText w:val=""/>
      <w:lvlJc w:val="left"/>
      <w:pPr>
        <w:ind w:left="360" w:hanging="360"/>
      </w:pPr>
      <w:rPr>
        <w:rFonts w:ascii="Symbol" w:hAnsi="Symbol" w:hint="default"/>
      </w:rPr>
    </w:lvl>
    <w:lvl w:ilvl="1" w:tplc="28385310">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6A4145"/>
    <w:multiLevelType w:val="hybridMultilevel"/>
    <w:tmpl w:val="8DE06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0451ECF"/>
    <w:multiLevelType w:val="hybridMultilevel"/>
    <w:tmpl w:val="1DE2AEF2"/>
    <w:lvl w:ilvl="0" w:tplc="04090001">
      <w:start w:val="1"/>
      <w:numFmt w:val="bullet"/>
      <w:lvlText w:val=""/>
      <w:lvlJc w:val="left"/>
      <w:pPr>
        <w:ind w:left="360" w:hanging="360"/>
      </w:pPr>
      <w:rPr>
        <w:rFonts w:ascii="Symbol" w:hAnsi="Symbol" w:hint="default"/>
      </w:rPr>
    </w:lvl>
    <w:lvl w:ilvl="1" w:tplc="AAF86028">
      <w:numFmt w:val="bullet"/>
      <w:lvlText w:val="•"/>
      <w:lvlJc w:val="left"/>
      <w:pPr>
        <w:ind w:left="1440" w:hanging="720"/>
      </w:pPr>
      <w:rPr>
        <w:rFonts w:ascii="Calibri" w:eastAsia="Times New Roman" w:hAnsi="Calibri"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A46B9C"/>
    <w:multiLevelType w:val="hybridMultilevel"/>
    <w:tmpl w:val="1918F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1316EB"/>
    <w:multiLevelType w:val="hybridMultilevel"/>
    <w:tmpl w:val="7A1E63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7FF6196"/>
    <w:multiLevelType w:val="hybridMultilevel"/>
    <w:tmpl w:val="E2E60C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FA26AB0"/>
    <w:multiLevelType w:val="hybridMultilevel"/>
    <w:tmpl w:val="FE884B90"/>
    <w:lvl w:ilvl="0" w:tplc="B18E1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222B12"/>
    <w:multiLevelType w:val="hybridMultilevel"/>
    <w:tmpl w:val="0C682B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73C042A"/>
    <w:multiLevelType w:val="hybridMultilevel"/>
    <w:tmpl w:val="E2BCD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6922AF0"/>
    <w:multiLevelType w:val="hybridMultilevel"/>
    <w:tmpl w:val="09F2D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8E55653"/>
    <w:multiLevelType w:val="hybridMultilevel"/>
    <w:tmpl w:val="D73EF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6BC4FCB"/>
    <w:multiLevelType w:val="hybridMultilevel"/>
    <w:tmpl w:val="E646D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11"/>
  </w:num>
  <w:num w:numId="6">
    <w:abstractNumId w:val="4"/>
  </w:num>
  <w:num w:numId="7">
    <w:abstractNumId w:val="13"/>
  </w:num>
  <w:num w:numId="8">
    <w:abstractNumId w:val="12"/>
  </w:num>
  <w:num w:numId="9">
    <w:abstractNumId w:val="3"/>
  </w:num>
  <w:num w:numId="10">
    <w:abstractNumId w:val="6"/>
  </w:num>
  <w:num w:numId="11">
    <w:abstractNumId w:val="5"/>
  </w:num>
  <w:num w:numId="12">
    <w:abstractNumId w:val="8"/>
  </w:num>
  <w:num w:numId="13">
    <w:abstractNumId w:val="2"/>
  </w:num>
  <w:num w:numId="14">
    <w:abstractNumId w:val="7"/>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25FD5"/>
    <w:rsid w:val="00054F63"/>
    <w:rsid w:val="00062C4B"/>
    <w:rsid w:val="000A0A2E"/>
    <w:rsid w:val="000A1F3E"/>
    <w:rsid w:val="000E231E"/>
    <w:rsid w:val="000F5D61"/>
    <w:rsid w:val="00106A42"/>
    <w:rsid w:val="00116954"/>
    <w:rsid w:val="00116F2B"/>
    <w:rsid w:val="00172723"/>
    <w:rsid w:val="001815B5"/>
    <w:rsid w:val="00200372"/>
    <w:rsid w:val="002012B7"/>
    <w:rsid w:val="00215712"/>
    <w:rsid w:val="00291F95"/>
    <w:rsid w:val="00324E8B"/>
    <w:rsid w:val="0032781E"/>
    <w:rsid w:val="003439ED"/>
    <w:rsid w:val="003518F6"/>
    <w:rsid w:val="00355384"/>
    <w:rsid w:val="003833E2"/>
    <w:rsid w:val="00396E9C"/>
    <w:rsid w:val="003A6BB1"/>
    <w:rsid w:val="003D2881"/>
    <w:rsid w:val="004129C6"/>
    <w:rsid w:val="00474A8E"/>
    <w:rsid w:val="00492190"/>
    <w:rsid w:val="004A0237"/>
    <w:rsid w:val="004A38DC"/>
    <w:rsid w:val="004B74E6"/>
    <w:rsid w:val="004C53E7"/>
    <w:rsid w:val="004E23BD"/>
    <w:rsid w:val="0052624C"/>
    <w:rsid w:val="005D255D"/>
    <w:rsid w:val="005D345C"/>
    <w:rsid w:val="005E0436"/>
    <w:rsid w:val="005F7E01"/>
    <w:rsid w:val="00601E67"/>
    <w:rsid w:val="006108AB"/>
    <w:rsid w:val="00613586"/>
    <w:rsid w:val="006223DD"/>
    <w:rsid w:val="0063249B"/>
    <w:rsid w:val="00634B87"/>
    <w:rsid w:val="00690E9A"/>
    <w:rsid w:val="00693AA7"/>
    <w:rsid w:val="006A4916"/>
    <w:rsid w:val="006E02C1"/>
    <w:rsid w:val="007D54DA"/>
    <w:rsid w:val="0081044D"/>
    <w:rsid w:val="00883532"/>
    <w:rsid w:val="008A00EB"/>
    <w:rsid w:val="00926FAA"/>
    <w:rsid w:val="00933C58"/>
    <w:rsid w:val="009648AB"/>
    <w:rsid w:val="00973CF6"/>
    <w:rsid w:val="00980122"/>
    <w:rsid w:val="0098414F"/>
    <w:rsid w:val="009A0C29"/>
    <w:rsid w:val="009B7BE1"/>
    <w:rsid w:val="009C75C5"/>
    <w:rsid w:val="009D2108"/>
    <w:rsid w:val="009F642A"/>
    <w:rsid w:val="00A2424D"/>
    <w:rsid w:val="00A60BB5"/>
    <w:rsid w:val="00A70764"/>
    <w:rsid w:val="00AB24EC"/>
    <w:rsid w:val="00B10DC2"/>
    <w:rsid w:val="00B13F0B"/>
    <w:rsid w:val="00B23FA4"/>
    <w:rsid w:val="00B932CC"/>
    <w:rsid w:val="00BC7C94"/>
    <w:rsid w:val="00BF23C9"/>
    <w:rsid w:val="00C1602B"/>
    <w:rsid w:val="00C24D09"/>
    <w:rsid w:val="00C3102E"/>
    <w:rsid w:val="00C42CBC"/>
    <w:rsid w:val="00C6689F"/>
    <w:rsid w:val="00CC4C3F"/>
    <w:rsid w:val="00CD1AA7"/>
    <w:rsid w:val="00CF0B5E"/>
    <w:rsid w:val="00D04740"/>
    <w:rsid w:val="00D1310C"/>
    <w:rsid w:val="00D432E5"/>
    <w:rsid w:val="00D756BA"/>
    <w:rsid w:val="00D83076"/>
    <w:rsid w:val="00D9007C"/>
    <w:rsid w:val="00DD0BA2"/>
    <w:rsid w:val="00E23443"/>
    <w:rsid w:val="00E26814"/>
    <w:rsid w:val="00E27954"/>
    <w:rsid w:val="00E5269B"/>
    <w:rsid w:val="00EC45AF"/>
    <w:rsid w:val="00F317A2"/>
    <w:rsid w:val="00F9083A"/>
    <w:rsid w:val="00FC1B3B"/>
    <w:rsid w:val="00FC32B8"/>
    <w:rsid w:val="00FC4558"/>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613586"/>
    <w:rPr>
      <w:sz w:val="16"/>
      <w:szCs w:val="16"/>
    </w:rPr>
  </w:style>
  <w:style w:type="paragraph" w:styleId="CommentText">
    <w:name w:val="annotation text"/>
    <w:basedOn w:val="Normal"/>
    <w:link w:val="CommentTextChar"/>
    <w:uiPriority w:val="99"/>
    <w:semiHidden/>
    <w:unhideWhenUsed/>
    <w:rsid w:val="00613586"/>
  </w:style>
  <w:style w:type="character" w:customStyle="1" w:styleId="CommentTextChar">
    <w:name w:val="Comment Text Char"/>
    <w:basedOn w:val="DefaultParagraphFont"/>
    <w:link w:val="CommentText"/>
    <w:uiPriority w:val="99"/>
    <w:semiHidden/>
    <w:rsid w:val="00613586"/>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613586"/>
    <w:rPr>
      <w:b/>
      <w:bCs/>
    </w:rPr>
  </w:style>
  <w:style w:type="character" w:customStyle="1" w:styleId="CommentSubjectChar">
    <w:name w:val="Comment Subject Char"/>
    <w:basedOn w:val="CommentTextChar"/>
    <w:link w:val="CommentSubject"/>
    <w:uiPriority w:val="99"/>
    <w:semiHidden/>
    <w:rsid w:val="00613586"/>
    <w:rPr>
      <w:b/>
      <w:bCs/>
    </w:rPr>
  </w:style>
  <w:style w:type="paragraph" w:styleId="BalloonText">
    <w:name w:val="Balloon Text"/>
    <w:basedOn w:val="Normal"/>
    <w:link w:val="BalloonTextChar"/>
    <w:uiPriority w:val="99"/>
    <w:semiHidden/>
    <w:unhideWhenUsed/>
    <w:rsid w:val="00613586"/>
    <w:rPr>
      <w:rFonts w:ascii="Tahoma" w:hAnsi="Tahoma" w:cs="Tahoma"/>
      <w:sz w:val="16"/>
      <w:szCs w:val="16"/>
    </w:rPr>
  </w:style>
  <w:style w:type="character" w:customStyle="1" w:styleId="BalloonTextChar">
    <w:name w:val="Balloon Text Char"/>
    <w:basedOn w:val="DefaultParagraphFont"/>
    <w:link w:val="BalloonText"/>
    <w:uiPriority w:val="99"/>
    <w:semiHidden/>
    <w:rsid w:val="00613586"/>
    <w:rPr>
      <w:rFonts w:ascii="Tahoma" w:eastAsia="Times New Roman" w:hAnsi="Tahoma" w:cs="Tahoma"/>
      <w:sz w:val="16"/>
      <w:szCs w:val="16"/>
      <w:lang w:val="en-AU" w:eastAsia="en-GB"/>
    </w:rPr>
  </w:style>
  <w:style w:type="paragraph" w:styleId="ListParagraph">
    <w:name w:val="List Paragraph"/>
    <w:basedOn w:val="Normal"/>
    <w:uiPriority w:val="34"/>
    <w:qFormat/>
    <w:rsid w:val="00613586"/>
    <w:pPr>
      <w:ind w:left="720"/>
      <w:contextualSpacing/>
    </w:pPr>
  </w:style>
  <w:style w:type="table" w:styleId="TableGrid">
    <w:name w:val="Table Grid"/>
    <w:basedOn w:val="TableNormal"/>
    <w:uiPriority w:val="59"/>
    <w:rsid w:val="00A242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Office_Word_97_-_2003_Document1.doc"/><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yperlink" Target="mailto:modifications@sem-o.com" TargetMode="Externa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oleObject" Target="embeddings/Microsoft_Office_Word_97_-_2003_Document2.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odID xmlns="bd8dd43f-48f8-46ce-9b8d-78f402b7750b">647</ModID>
    <FromMMT xmlns="f69c7b9a-bbed-41f8-b24c-bbeb71979adf">true</FromMMT>
    <MMTID xmlns="f69c7b9a-bbed-41f8-b24c-bbeb71979adf">1262</MMT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CF507B2-FADB-4EA2-9B93-DEDA659EDF17}"/>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BF8580E3-F70D-4D6B-94FD-20145D374E10}"/>
</file>

<file path=docProps/app.xml><?xml version="1.0" encoding="utf-8"?>
<Properties xmlns="http://schemas.openxmlformats.org/officeDocument/2006/extended-properties" xmlns:vt="http://schemas.openxmlformats.org/officeDocument/2006/docPropsVTypes">
  <Template>Normal</Template>
  <TotalTime>1</TotalTime>
  <Pages>5</Pages>
  <Words>1797</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dc:title>
  <dc:subject/>
  <dc:creator>aodonnell</dc:creator>
  <cp:keywords/>
  <dc:description/>
  <cp:lastModifiedBy>sking</cp:lastModifiedBy>
  <cp:revision>2</cp:revision>
  <cp:lastPrinted>2011-11-17T14:11:00Z</cp:lastPrinted>
  <dcterms:created xsi:type="dcterms:W3CDTF">2011-11-23T10:15:00Z</dcterms:created>
  <dcterms:modified xsi:type="dcterms:W3CDTF">2011-11-23T10:15:00Z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to Website">
    <vt:lpwstr>true</vt:lpwstr>
  </property>
  <property fmtid="{D5CDD505-2E9C-101B-9397-08002B2CF9AE}" pid="8" name="Mod ID">
    <vt:lpwstr>985</vt:lpwstr>
  </property>
  <property fmtid="{D5CDD505-2E9C-101B-9397-08002B2CF9AE}" pid="9" name="Year of Modification Proposal">
    <vt:lpwstr>2011</vt:lpwstr>
  </property>
  <property fmtid="{D5CDD505-2E9C-101B-9397-08002B2CF9AE}" pid="10" name="Document Type">
    <vt:lpwstr>Modification Proposal</vt:lpwstr>
  </property>
  <property fmtid="{D5CDD505-2E9C-101B-9397-08002B2CF9AE}" pid="11" name="Copy to Website Date">
    <vt:lpwstr>2011-11-23T10:15:00+00:00</vt:lpwstr>
  </property>
  <property fmtid="{D5CDD505-2E9C-101B-9397-08002B2CF9AE}" pid="12" name="Copy Status">
    <vt:lpwstr>Success!</vt:lpwstr>
  </property>
  <property fmtid="{D5CDD505-2E9C-101B-9397-08002B2CF9AE}" pid="13" name="_CopySource">
    <vt:lpwstr>Mod_34_11.docx</vt:lpwstr>
  </property>
  <property fmtid="{D5CDD505-2E9C-101B-9397-08002B2CF9AE}" pid="14" name="Order">
    <vt:r8>316100</vt:r8>
  </property>
  <property fmtid="{D5CDD505-2E9C-101B-9397-08002B2CF9AE}" pid="15" name="_SharedFileIndex">
    <vt:lpwstr/>
  </property>
</Properties>
</file>