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rsidTr="0013032E">
        <w:tc>
          <w:tcPr>
            <w:tcW w:w="2070" w:type="dxa"/>
            <w:vAlign w:val="center"/>
          </w:tcPr>
          <w:p w:rsidR="004C53E7" w:rsidRPr="004C53E7" w:rsidRDefault="00EA47F7" w:rsidP="00EE2B7C">
            <w:pPr>
              <w:jc w:val="center"/>
              <w:rPr>
                <w:rFonts w:ascii="Calibri" w:hAnsi="Calibri" w:cs="Arial"/>
                <w:b/>
                <w:lang w:val="en-IE"/>
              </w:rPr>
            </w:pPr>
            <w:r>
              <w:rPr>
                <w:rFonts w:ascii="Calibri" w:hAnsi="Calibri" w:cs="Arial"/>
                <w:b/>
                <w:lang w:val="en-IE"/>
              </w:rPr>
              <w:t>Utility Regulator</w:t>
            </w:r>
          </w:p>
        </w:tc>
        <w:tc>
          <w:tcPr>
            <w:tcW w:w="2533" w:type="dxa"/>
            <w:gridSpan w:val="2"/>
            <w:vAlign w:val="center"/>
          </w:tcPr>
          <w:p w:rsidR="004C53E7" w:rsidRPr="004C53E7" w:rsidRDefault="00486B21"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4C53E7" w:rsidRPr="004C53E7" w:rsidRDefault="00063597" w:rsidP="00584447">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486B21" w:rsidP="00EE2B7C">
            <w:pPr>
              <w:jc w:val="center"/>
              <w:rPr>
                <w:rFonts w:ascii="Calibri" w:hAnsi="Calibri" w:cs="Arial"/>
                <w:b/>
                <w:lang w:val="en-IE"/>
              </w:rPr>
            </w:pPr>
            <w:r>
              <w:rPr>
                <w:rFonts w:ascii="Calibri" w:hAnsi="Calibri" w:cs="Arial"/>
                <w:b/>
                <w:lang w:val="en-IE"/>
              </w:rPr>
              <w:t>CMC_10_18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563421"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6C546C" w:rsidP="00355080">
            <w:pPr>
              <w:jc w:val="center"/>
              <w:rPr>
                <w:rFonts w:ascii="Calibri" w:hAnsi="Calibri" w:cs="Arial"/>
                <w:b/>
                <w:lang w:val="en-IE"/>
              </w:rPr>
            </w:pPr>
            <w:hyperlink r:id="rId9" w:history="1">
              <w:r w:rsidR="00355080" w:rsidRPr="00842553">
                <w:rPr>
                  <w:rStyle w:val="Hyperlink"/>
                  <w:rFonts w:ascii="Calibri" w:hAnsi="Calibri" w:cs="Arial"/>
                  <w:b/>
                  <w:lang w:val="en-IE"/>
                </w:rPr>
                <w:t>Kevin.Lenaghan@uregni.gov.uk</w:t>
              </w:r>
            </w:hyperlink>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169DD" w:rsidP="00730238">
            <w:pPr>
              <w:jc w:val="center"/>
              <w:rPr>
                <w:rFonts w:ascii="Calibri" w:hAnsi="Calibri" w:cs="Arial"/>
                <w:b/>
                <w:lang w:val="en-IE"/>
              </w:rPr>
            </w:pPr>
            <w:r>
              <w:rPr>
                <w:rFonts w:ascii="Calibri" w:hAnsi="Calibri" w:cs="Arial"/>
                <w:b/>
                <w:lang w:val="en-IE"/>
              </w:rPr>
              <w:t xml:space="preserve">Proposed Modifications in regards to CMC Paragraph </w:t>
            </w:r>
            <w:r w:rsidR="00E71AFD">
              <w:rPr>
                <w:rFonts w:ascii="Calibri" w:hAnsi="Calibri" w:cs="Arial"/>
                <w:b/>
                <w:lang w:val="en-IE"/>
              </w:rPr>
              <w:t>B.10.4.1</w:t>
            </w:r>
            <w:r>
              <w:rPr>
                <w:rFonts w:ascii="Calibri" w:hAnsi="Calibri" w:cs="Arial"/>
                <w:b/>
                <w:lang w:val="en-IE"/>
              </w:rPr>
              <w:t xml:space="preserve"> – “</w:t>
            </w:r>
            <w:r w:rsidR="00714DC8">
              <w:rPr>
                <w:rFonts w:ascii="Calibri" w:hAnsi="Calibri" w:cs="Arial"/>
                <w:b/>
                <w:lang w:val="en-IE"/>
              </w:rPr>
              <w:t xml:space="preserve">Report on </w:t>
            </w:r>
            <w:r w:rsidR="003B1258">
              <w:rPr>
                <w:rFonts w:ascii="Calibri" w:hAnsi="Calibri" w:cs="Arial"/>
                <w:b/>
                <w:lang w:val="en-IE"/>
              </w:rPr>
              <w:t>Capacity Auction</w:t>
            </w:r>
            <w:r>
              <w:rPr>
                <w:rFonts w:ascii="Calibri" w:hAnsi="Calibri" w:cs="Arial"/>
                <w:b/>
                <w:lang w:val="en-IE"/>
              </w:rPr>
              <w:t>”</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E71AFD" w:rsidP="000069DF">
            <w:pPr>
              <w:jc w:val="center"/>
              <w:rPr>
                <w:rFonts w:ascii="Calibri" w:hAnsi="Calibri" w:cs="Arial"/>
                <w:b/>
                <w:lang w:val="en-IE"/>
              </w:rPr>
            </w:pPr>
            <w:r>
              <w:rPr>
                <w:rFonts w:ascii="Calibri" w:hAnsi="Calibri" w:cs="Arial"/>
                <w:b/>
                <w:lang w:val="en-IE"/>
              </w:rPr>
              <w:t>B.10.4.1</w:t>
            </w:r>
          </w:p>
        </w:tc>
        <w:tc>
          <w:tcPr>
            <w:tcW w:w="3600" w:type="dxa"/>
            <w:gridSpan w:val="2"/>
            <w:vAlign w:val="center"/>
          </w:tcPr>
          <w:p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72182B" w:rsidRPr="00584447" w:rsidRDefault="00FA643F" w:rsidP="00584447">
            <w:pPr>
              <w:pStyle w:val="Default"/>
              <w:rPr>
                <w:sz w:val="22"/>
                <w:szCs w:val="22"/>
              </w:rPr>
            </w:pPr>
            <w:r>
              <w:rPr>
                <w:sz w:val="22"/>
                <w:szCs w:val="22"/>
              </w:rPr>
              <w:t>The reference to F.9.2.1 is incorrect, it should be to F.9.3.1.</w:t>
            </w:r>
          </w:p>
          <w:p w:rsidR="00BC24D9" w:rsidRPr="0013032E" w:rsidRDefault="00BC24D9" w:rsidP="004A7E23">
            <w:pPr>
              <w:rPr>
                <w:rFonts w:ascii="Arial" w:hAnsi="Arial" w:cs="Arial"/>
                <w:bCs/>
                <w:sz w:val="24"/>
                <w:szCs w:val="24"/>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584447" w:rsidRDefault="00061E3E" w:rsidP="00061E3E">
            <w:pPr>
              <w:pStyle w:val="Default"/>
              <w:ind w:left="1440" w:hanging="1440"/>
              <w:rPr>
                <w:sz w:val="22"/>
                <w:szCs w:val="22"/>
              </w:rPr>
            </w:pPr>
            <w:r w:rsidRPr="00061E3E">
              <w:rPr>
                <w:sz w:val="22"/>
                <w:szCs w:val="22"/>
              </w:rPr>
              <w:t>B.10.4.1</w:t>
            </w:r>
            <w:r>
              <w:rPr>
                <w:sz w:val="22"/>
                <w:szCs w:val="22"/>
              </w:rPr>
              <w:t xml:space="preserve">  </w:t>
            </w:r>
            <w:r w:rsidR="00135247">
              <w:rPr>
                <w:sz w:val="22"/>
                <w:szCs w:val="22"/>
              </w:rPr>
              <w:t xml:space="preserve">        </w:t>
            </w:r>
            <w:r w:rsidRPr="00061E3E">
              <w:rPr>
                <w:sz w:val="22"/>
                <w:szCs w:val="22"/>
              </w:rPr>
              <w:t>Within two Working Days after the System Operators have submitted the provisional Capacity Auction Results of a Capacity Auction to the Regulatory Authorities under paragraph F.9.</w:t>
            </w:r>
            <w:r w:rsidR="00135247" w:rsidRPr="00135247">
              <w:rPr>
                <w:color w:val="FF0000"/>
                <w:sz w:val="22"/>
                <w:szCs w:val="22"/>
              </w:rPr>
              <w:t>3</w:t>
            </w:r>
            <w:r w:rsidRPr="00061E3E">
              <w:rPr>
                <w:sz w:val="22"/>
                <w:szCs w:val="22"/>
              </w:rPr>
              <w:t>.1, the Capacity Auction Monitor shall provide a report to the Regulatory Authorities and the System Operators that</w:t>
            </w:r>
            <w:r w:rsidR="00135247">
              <w:rPr>
                <w:sz w:val="22"/>
                <w:szCs w:val="22"/>
              </w:rPr>
              <w:t>…</w:t>
            </w:r>
          </w:p>
          <w:p w:rsidR="00584447" w:rsidRDefault="00584447" w:rsidP="00584447">
            <w:pPr>
              <w:pStyle w:val="Default"/>
              <w:ind w:left="1080"/>
              <w:rPr>
                <w:sz w:val="22"/>
                <w:szCs w:val="22"/>
              </w:rPr>
            </w:pPr>
          </w:p>
          <w:p w:rsidR="00C22D11" w:rsidRPr="00403843" w:rsidDel="00404964" w:rsidRDefault="00C22D11" w:rsidP="004A7E23">
            <w:pPr>
              <w:overflowPunct/>
              <w:autoSpaceDE/>
              <w:autoSpaceDN/>
              <w:adjustRightInd/>
              <w:spacing w:before="120" w:after="120"/>
              <w:jc w:val="both"/>
              <w:textAlignment w:val="auto"/>
              <w:rPr>
                <w:sz w:val="16"/>
                <w:szCs w:val="16"/>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730238" w:rsidRPr="00584447" w:rsidRDefault="00135247" w:rsidP="00584447">
            <w:pPr>
              <w:pStyle w:val="Default"/>
              <w:rPr>
                <w:sz w:val="22"/>
                <w:szCs w:val="22"/>
              </w:rPr>
            </w:pPr>
            <w:r>
              <w:rPr>
                <w:sz w:val="22"/>
                <w:szCs w:val="22"/>
              </w:rPr>
              <w:t xml:space="preserve">The SOs do not submit Capacity Auction Results </w:t>
            </w:r>
            <w:r w:rsidR="00607C31">
              <w:rPr>
                <w:sz w:val="22"/>
                <w:szCs w:val="22"/>
              </w:rPr>
              <w:t xml:space="preserve">to the RAs </w:t>
            </w:r>
            <w:r>
              <w:rPr>
                <w:sz w:val="22"/>
                <w:szCs w:val="22"/>
              </w:rPr>
              <w:t>under F.9.2.1, this is done under F.9.3.1.</w:t>
            </w:r>
          </w:p>
          <w:p w:rsidR="00C22D11" w:rsidRPr="00AB28DB" w:rsidRDefault="00C22D11" w:rsidP="008423F6">
            <w:pPr>
              <w:rPr>
                <w:rFonts w:ascii="Arial" w:hAnsi="Arial" w:cs="Arial"/>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5F53BC" w:rsidRDefault="004169DD" w:rsidP="005F53BC">
            <w:pPr>
              <w:pStyle w:val="Default"/>
            </w:pPr>
            <w:r>
              <w:rPr>
                <w:sz w:val="22"/>
                <w:szCs w:val="22"/>
              </w:rPr>
              <w:t>A.1.2.1 This Code is designed to facilitate achievement of the following objectives (the “</w:t>
            </w:r>
            <w:r w:rsidRPr="004169DD">
              <w:rPr>
                <w:sz w:val="22"/>
                <w:szCs w:val="22"/>
              </w:rPr>
              <w:t>Capacity Market Code Objectives</w:t>
            </w:r>
            <w:r>
              <w:rPr>
                <w:sz w:val="22"/>
                <w:szCs w:val="22"/>
              </w:rPr>
              <w:t xml:space="preserve">”): </w:t>
            </w:r>
          </w:p>
          <w:p w:rsidR="003B1258" w:rsidRDefault="003B1258" w:rsidP="003B1258">
            <w:pPr>
              <w:pStyle w:val="CERLEVEL5"/>
              <w:numPr>
                <w:ilvl w:val="0"/>
                <w:numId w:val="0"/>
              </w:numPr>
            </w:pPr>
            <w:r>
              <w:rPr>
                <w:lang w:val="en-IE"/>
              </w:rPr>
              <w:t xml:space="preserve">(b) </w:t>
            </w:r>
            <w:r w:rsidRPr="003B1258">
              <w:rPr>
                <w:lang w:val="en-IE"/>
              </w:rPr>
              <w:t>to facilitate the efficient, economic and coordinated operation, administration and development of the Capacity Market and the provision of adequate future capacity in a financially secure manner;</w:t>
            </w:r>
            <w:r w:rsidRPr="00761A41">
              <w:t xml:space="preserve"> </w:t>
            </w:r>
          </w:p>
          <w:p w:rsidR="00F76C97" w:rsidRPr="003B1258" w:rsidRDefault="00F76C97" w:rsidP="003B1258">
            <w:pPr>
              <w:pStyle w:val="Default"/>
              <w:rPr>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E72840" w:rsidRDefault="00650489" w:rsidP="008F38E6">
            <w:pPr>
              <w:rPr>
                <w:rFonts w:ascii="Arial" w:hAnsi="Arial" w:cs="Arial"/>
                <w:sz w:val="22"/>
                <w:szCs w:val="22"/>
                <w:lang w:val="en-IE"/>
              </w:rPr>
            </w:pPr>
            <w:r>
              <w:rPr>
                <w:rFonts w:ascii="Arial" w:hAnsi="Arial" w:cs="Arial"/>
                <w:sz w:val="22"/>
                <w:szCs w:val="22"/>
                <w:lang w:val="en-IE"/>
              </w:rPr>
              <w:t xml:space="preserve">Non-implementation of modification proposal </w:t>
            </w:r>
            <w:r w:rsidR="003B1258">
              <w:rPr>
                <w:rFonts w:ascii="Arial" w:hAnsi="Arial" w:cs="Arial"/>
                <w:sz w:val="22"/>
                <w:szCs w:val="22"/>
                <w:lang w:val="en-IE"/>
              </w:rPr>
              <w:t xml:space="preserve">leaves the CMC </w:t>
            </w:r>
            <w:r w:rsidR="006213AF">
              <w:rPr>
                <w:rFonts w:ascii="Arial" w:hAnsi="Arial" w:cs="Arial"/>
                <w:sz w:val="22"/>
                <w:szCs w:val="22"/>
                <w:lang w:val="en-IE"/>
              </w:rPr>
              <w:t>with an erroneous reference</w:t>
            </w:r>
            <w:r>
              <w:rPr>
                <w:rFonts w:ascii="Arial" w:hAnsi="Arial" w:cs="Arial"/>
                <w:sz w:val="22"/>
                <w:szCs w:val="22"/>
                <w:lang w:val="en-IE"/>
              </w:rPr>
              <w:t>.</w:t>
            </w:r>
          </w:p>
          <w:p w:rsidR="00F76C97" w:rsidRPr="003B7AB6" w:rsidRDefault="00F76C97" w:rsidP="008F38E6">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lastRenderedPageBreak/>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rsidTr="0013032E">
        <w:tc>
          <w:tcPr>
            <w:tcW w:w="9450" w:type="dxa"/>
            <w:gridSpan w:val="6"/>
            <w:vAlign w:val="center"/>
          </w:tcPr>
          <w:p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0" w:history="1">
              <w:r w:rsidR="00733092" w:rsidRPr="00F840F9">
                <w:rPr>
                  <w:rStyle w:val="Hyperlink"/>
                  <w:rFonts w:ascii="Calibri" w:hAnsi="Calibri" w:cs="Arial"/>
                  <w:b/>
                  <w:bCs/>
                  <w:i/>
                  <w:iCs/>
                  <w:lang w:val="en-IE"/>
                </w:rPr>
                <w:t>modifications@sem-o.com</w:t>
              </w:r>
            </w:hyperlink>
            <w:r w:rsidR="00733092">
              <w:rPr>
                <w:rFonts w:ascii="Calibri" w:hAnsi="Calibri" w:cs="Arial"/>
                <w:b/>
                <w:bCs/>
                <w:i/>
                <w:iCs/>
                <w:lang w:val="en-IE"/>
              </w:rPr>
              <w:t xml:space="preserve"> </w:t>
            </w:r>
            <w:bookmarkStart w:id="0" w:name="_GoBack"/>
            <w:bookmarkEnd w:id="0"/>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4C53E7"/>
    <w:rsid w:val="00004131"/>
    <w:rsid w:val="000069DF"/>
    <w:rsid w:val="00025FCD"/>
    <w:rsid w:val="00056CDC"/>
    <w:rsid w:val="00061E3E"/>
    <w:rsid w:val="00062790"/>
    <w:rsid w:val="00063597"/>
    <w:rsid w:val="000720C6"/>
    <w:rsid w:val="00072793"/>
    <w:rsid w:val="00076DF3"/>
    <w:rsid w:val="00081256"/>
    <w:rsid w:val="000817DF"/>
    <w:rsid w:val="00082EAE"/>
    <w:rsid w:val="000C6B63"/>
    <w:rsid w:val="000E5490"/>
    <w:rsid w:val="000F6D00"/>
    <w:rsid w:val="000F6EF1"/>
    <w:rsid w:val="00110230"/>
    <w:rsid w:val="0013032E"/>
    <w:rsid w:val="00135247"/>
    <w:rsid w:val="001424CE"/>
    <w:rsid w:val="001532AD"/>
    <w:rsid w:val="00174C7B"/>
    <w:rsid w:val="001967E0"/>
    <w:rsid w:val="001A2C80"/>
    <w:rsid w:val="001B5EE4"/>
    <w:rsid w:val="001D5C1B"/>
    <w:rsid w:val="002012B7"/>
    <w:rsid w:val="0020667F"/>
    <w:rsid w:val="00214CD4"/>
    <w:rsid w:val="002266C3"/>
    <w:rsid w:val="00232F6F"/>
    <w:rsid w:val="002353FD"/>
    <w:rsid w:val="002608C9"/>
    <w:rsid w:val="0026274E"/>
    <w:rsid w:val="00271BC3"/>
    <w:rsid w:val="002758CF"/>
    <w:rsid w:val="00280203"/>
    <w:rsid w:val="002B193D"/>
    <w:rsid w:val="002B7AF4"/>
    <w:rsid w:val="002E0F3E"/>
    <w:rsid w:val="003217E4"/>
    <w:rsid w:val="00351A17"/>
    <w:rsid w:val="00355080"/>
    <w:rsid w:val="00356516"/>
    <w:rsid w:val="00361C16"/>
    <w:rsid w:val="0037296D"/>
    <w:rsid w:val="003A2A7C"/>
    <w:rsid w:val="003A7DB8"/>
    <w:rsid w:val="003B1258"/>
    <w:rsid w:val="003B7AB6"/>
    <w:rsid w:val="003F2803"/>
    <w:rsid w:val="003F58EF"/>
    <w:rsid w:val="00403843"/>
    <w:rsid w:val="004169DD"/>
    <w:rsid w:val="00416C0B"/>
    <w:rsid w:val="00420161"/>
    <w:rsid w:val="00431400"/>
    <w:rsid w:val="00437DF2"/>
    <w:rsid w:val="004665F9"/>
    <w:rsid w:val="00486B21"/>
    <w:rsid w:val="004A38DC"/>
    <w:rsid w:val="004A7E23"/>
    <w:rsid w:val="004C53E7"/>
    <w:rsid w:val="004E4830"/>
    <w:rsid w:val="004E55C1"/>
    <w:rsid w:val="00511F29"/>
    <w:rsid w:val="00563421"/>
    <w:rsid w:val="00573228"/>
    <w:rsid w:val="00584447"/>
    <w:rsid w:val="005B0118"/>
    <w:rsid w:val="005C1FF8"/>
    <w:rsid w:val="005C29F7"/>
    <w:rsid w:val="005F53BC"/>
    <w:rsid w:val="005F5958"/>
    <w:rsid w:val="00607C31"/>
    <w:rsid w:val="006213AF"/>
    <w:rsid w:val="0063249B"/>
    <w:rsid w:val="00650489"/>
    <w:rsid w:val="00676D2F"/>
    <w:rsid w:val="00677D2C"/>
    <w:rsid w:val="00690E9A"/>
    <w:rsid w:val="006A0219"/>
    <w:rsid w:val="006A1D4D"/>
    <w:rsid w:val="006C546C"/>
    <w:rsid w:val="006D7948"/>
    <w:rsid w:val="006E3E44"/>
    <w:rsid w:val="00714DC8"/>
    <w:rsid w:val="0072182B"/>
    <w:rsid w:val="00730238"/>
    <w:rsid w:val="00733092"/>
    <w:rsid w:val="00734A88"/>
    <w:rsid w:val="0076195F"/>
    <w:rsid w:val="00763729"/>
    <w:rsid w:val="00786F27"/>
    <w:rsid w:val="00793BD3"/>
    <w:rsid w:val="0081044D"/>
    <w:rsid w:val="00817BEB"/>
    <w:rsid w:val="008423F6"/>
    <w:rsid w:val="00870EA6"/>
    <w:rsid w:val="008816B1"/>
    <w:rsid w:val="00895697"/>
    <w:rsid w:val="008F1E63"/>
    <w:rsid w:val="008F38E6"/>
    <w:rsid w:val="009342A5"/>
    <w:rsid w:val="0095122C"/>
    <w:rsid w:val="00975043"/>
    <w:rsid w:val="009D610D"/>
    <w:rsid w:val="009D6CC2"/>
    <w:rsid w:val="009E7254"/>
    <w:rsid w:val="009F7750"/>
    <w:rsid w:val="00A07C83"/>
    <w:rsid w:val="00A45A2A"/>
    <w:rsid w:val="00A6375B"/>
    <w:rsid w:val="00AA6274"/>
    <w:rsid w:val="00AB28DB"/>
    <w:rsid w:val="00AC7EA2"/>
    <w:rsid w:val="00AF6789"/>
    <w:rsid w:val="00B008BD"/>
    <w:rsid w:val="00B23BA5"/>
    <w:rsid w:val="00B334BA"/>
    <w:rsid w:val="00B45252"/>
    <w:rsid w:val="00B67EEA"/>
    <w:rsid w:val="00B94C60"/>
    <w:rsid w:val="00BC24D9"/>
    <w:rsid w:val="00BD00A2"/>
    <w:rsid w:val="00BF6E83"/>
    <w:rsid w:val="00C00A34"/>
    <w:rsid w:val="00C20112"/>
    <w:rsid w:val="00C22D11"/>
    <w:rsid w:val="00C54F16"/>
    <w:rsid w:val="00C6689F"/>
    <w:rsid w:val="00C800B7"/>
    <w:rsid w:val="00C829A3"/>
    <w:rsid w:val="00CC4C3F"/>
    <w:rsid w:val="00CD6B5D"/>
    <w:rsid w:val="00CE0A06"/>
    <w:rsid w:val="00CF45E5"/>
    <w:rsid w:val="00D05D5A"/>
    <w:rsid w:val="00D0632D"/>
    <w:rsid w:val="00D1310C"/>
    <w:rsid w:val="00D14542"/>
    <w:rsid w:val="00D26AAD"/>
    <w:rsid w:val="00D609C2"/>
    <w:rsid w:val="00D81099"/>
    <w:rsid w:val="00DA2986"/>
    <w:rsid w:val="00DA68F2"/>
    <w:rsid w:val="00DC18CC"/>
    <w:rsid w:val="00DE2FA8"/>
    <w:rsid w:val="00E04560"/>
    <w:rsid w:val="00E51505"/>
    <w:rsid w:val="00E57007"/>
    <w:rsid w:val="00E61E89"/>
    <w:rsid w:val="00E65042"/>
    <w:rsid w:val="00E71AFD"/>
    <w:rsid w:val="00E71E68"/>
    <w:rsid w:val="00E72840"/>
    <w:rsid w:val="00EA47F7"/>
    <w:rsid w:val="00EC45AF"/>
    <w:rsid w:val="00ED2A8D"/>
    <w:rsid w:val="00EE29DA"/>
    <w:rsid w:val="00EE2B7C"/>
    <w:rsid w:val="00EE6684"/>
    <w:rsid w:val="00F03178"/>
    <w:rsid w:val="00F2139A"/>
    <w:rsid w:val="00F4688B"/>
    <w:rsid w:val="00F52394"/>
    <w:rsid w:val="00F6081E"/>
    <w:rsid w:val="00F708C5"/>
    <w:rsid w:val="00F7547A"/>
    <w:rsid w:val="00F76C97"/>
    <w:rsid w:val="00F77CE0"/>
    <w:rsid w:val="00F94C19"/>
    <w:rsid w:val="00F954C9"/>
    <w:rsid w:val="00FA4316"/>
    <w:rsid w:val="00FA643F"/>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hyperlink" Target="mailto:Kevin.Lenaghan@ureg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odID xmlns="bd8dd43f-48f8-46ce-9b8d-78f402b7750b">646</ModID>
    <FromMMT xmlns="f69c7b9a-bbed-41f8-b24c-bbeb71979adf">true</FromMMT>
    <MMTID xmlns="f69c7b9a-bbed-41f8-b24c-bbeb71979adf">1221</MMTID>
  </documentManagement>
</p:properti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2.xml><?xml version="1.0" encoding="utf-8"?>
<ds:datastoreItem xmlns:ds="http://schemas.openxmlformats.org/officeDocument/2006/customXml" ds:itemID="{BAADFF31-0028-4EC7-930B-06A0E0628EB6}">
  <ds:schemaRefs>
    <ds:schemaRef ds:uri="http://schemas.microsoft.com/office/2006/metadata/properties"/>
    <ds:schemaRef ds:uri="bd8dd43f-48f8-46ce-9b8d-78f402b7750b"/>
    <ds:schemaRef ds:uri="f69c7b9a-bbed-41f8-b24c-bbeb71979adf"/>
  </ds:schemaRefs>
</ds:datastoreItem>
</file>

<file path=customXml/itemProps3.xml><?xml version="1.0" encoding="utf-8"?>
<ds:datastoreItem xmlns:ds="http://schemas.openxmlformats.org/officeDocument/2006/customXml" ds:itemID="{0EC3FC48-EEEA-448B-977A-5F001CF3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58DA8F-E0CE-4B0C-A021-E6C475B3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eblair</cp:lastModifiedBy>
  <cp:revision>2</cp:revision>
  <cp:lastPrinted>2018-11-13T15:23:00Z</cp:lastPrinted>
  <dcterms:created xsi:type="dcterms:W3CDTF">2018-11-13T15:23:00Z</dcterms:created>
  <dcterms:modified xsi:type="dcterms:W3CDTF">2018-11-13T15:23:00Z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ies>
</file>