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C343" w14:textId="77777777"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05257E47" w14:textId="77777777" w:rsidTr="46090BAA">
        <w:tc>
          <w:tcPr>
            <w:tcW w:w="9450" w:type="dxa"/>
            <w:gridSpan w:val="6"/>
            <w:shd w:val="clear" w:color="auto" w:fill="548DD4" w:themeFill="text2" w:themeFillTint="99"/>
            <w:vAlign w:val="center"/>
          </w:tcPr>
          <w:p w14:paraId="4CD4D328" w14:textId="77777777" w:rsidR="004C53E7" w:rsidRPr="004C53E7" w:rsidRDefault="004C53E7" w:rsidP="00EE2B7C">
            <w:pPr>
              <w:jc w:val="center"/>
              <w:rPr>
                <w:rFonts w:ascii="Calibri" w:hAnsi="Calibri" w:cs="Arial"/>
                <w:lang w:val="en-IE"/>
              </w:rPr>
            </w:pPr>
          </w:p>
          <w:p w14:paraId="1BB57C13"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1C65B6E0" w14:textId="77777777" w:rsidR="004C53E7" w:rsidRPr="004C53E7" w:rsidRDefault="004C53E7" w:rsidP="00EE2B7C">
            <w:pPr>
              <w:jc w:val="center"/>
              <w:rPr>
                <w:rFonts w:ascii="Calibri" w:hAnsi="Calibri" w:cs="Arial"/>
                <w:lang w:val="en-IE"/>
              </w:rPr>
            </w:pPr>
          </w:p>
        </w:tc>
      </w:tr>
      <w:tr w:rsidR="004C53E7" w:rsidRPr="004C53E7" w14:paraId="152D5F33" w14:textId="77777777" w:rsidTr="46090BAA">
        <w:tc>
          <w:tcPr>
            <w:tcW w:w="2070" w:type="dxa"/>
            <w:vAlign w:val="center"/>
          </w:tcPr>
          <w:p w14:paraId="0A6A278A"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257B8006"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0DEB2413"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10D3A1BB" w14:textId="77777777" w:rsidR="004C53E7" w:rsidRPr="004C53E7" w:rsidRDefault="004C53E7" w:rsidP="009342A5">
            <w:pPr>
              <w:jc w:val="center"/>
              <w:rPr>
                <w:rFonts w:ascii="Calibri" w:hAnsi="Calibri" w:cs="Arial"/>
                <w:lang w:val="en-IE"/>
              </w:rPr>
            </w:pPr>
            <w:r w:rsidRPr="004C53E7">
              <w:rPr>
                <w:rFonts w:ascii="Calibri" w:hAnsi="Calibri" w:cs="Arial"/>
                <w:i/>
                <w:lang w:val="en-IE"/>
              </w:rPr>
              <w:t>(</w:t>
            </w:r>
            <w:proofErr w:type="gramStart"/>
            <w:r w:rsidRPr="004C53E7">
              <w:rPr>
                <w:rFonts w:ascii="Calibri" w:hAnsi="Calibri" w:cs="Arial"/>
                <w:i/>
                <w:lang w:val="en-IE"/>
              </w:rPr>
              <w:t>assigned</w:t>
            </w:r>
            <w:proofErr w:type="gramEnd"/>
            <w:r w:rsidRPr="004C53E7">
              <w:rPr>
                <w:rFonts w:ascii="Calibri" w:hAnsi="Calibri" w:cs="Arial"/>
                <w:i/>
                <w:lang w:val="en-IE"/>
              </w:rPr>
              <w:t xml:space="preserve">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21F0389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17B78812"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w:t>
            </w:r>
            <w:proofErr w:type="gramStart"/>
            <w:r w:rsidRPr="004C53E7">
              <w:rPr>
                <w:rFonts w:ascii="Calibri" w:hAnsi="Calibri" w:cs="Arial"/>
                <w:bCs/>
                <w:i/>
                <w:lang w:val="en-IE"/>
              </w:rPr>
              <w:t>delete</w:t>
            </w:r>
            <w:proofErr w:type="gramEnd"/>
            <w:r w:rsidRPr="004C53E7">
              <w:rPr>
                <w:rFonts w:ascii="Calibri" w:hAnsi="Calibri" w:cs="Arial"/>
                <w:bCs/>
                <w:i/>
                <w:lang w:val="en-IE"/>
              </w:rPr>
              <w:t xml:space="preserve"> as appropriate)</w:t>
            </w:r>
          </w:p>
        </w:tc>
        <w:tc>
          <w:tcPr>
            <w:tcW w:w="2536" w:type="dxa"/>
            <w:vAlign w:val="center"/>
          </w:tcPr>
          <w:p w14:paraId="76EBC924"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4E906988" w14:textId="77777777" w:rsidR="004C53E7" w:rsidRPr="004C53E7" w:rsidRDefault="004C53E7" w:rsidP="009342A5">
            <w:pPr>
              <w:jc w:val="center"/>
              <w:rPr>
                <w:rFonts w:ascii="Calibri" w:hAnsi="Calibri" w:cs="Arial"/>
                <w:lang w:val="en-IE"/>
              </w:rPr>
            </w:pPr>
            <w:r w:rsidRPr="004C53E7">
              <w:rPr>
                <w:rFonts w:ascii="Calibri" w:hAnsi="Calibri" w:cs="Arial"/>
                <w:i/>
                <w:lang w:val="en-IE"/>
              </w:rPr>
              <w:t>(</w:t>
            </w:r>
            <w:proofErr w:type="gramStart"/>
            <w:r w:rsidRPr="004C53E7">
              <w:rPr>
                <w:rFonts w:ascii="Calibri" w:hAnsi="Calibri" w:cs="Arial"/>
                <w:i/>
                <w:lang w:val="en-IE"/>
              </w:rPr>
              <w:t>assigned</w:t>
            </w:r>
            <w:proofErr w:type="gramEnd"/>
            <w:r w:rsidRPr="004C53E7">
              <w:rPr>
                <w:rFonts w:ascii="Calibri" w:hAnsi="Calibri" w:cs="Arial"/>
                <w:i/>
                <w:lang w:val="en-IE"/>
              </w:rPr>
              <w:t xml:space="preserve">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3F4C6A61" w14:textId="77777777" w:rsidTr="46090BAA">
        <w:tc>
          <w:tcPr>
            <w:tcW w:w="2070" w:type="dxa"/>
            <w:vAlign w:val="center"/>
          </w:tcPr>
          <w:p w14:paraId="08A9E45F" w14:textId="66A2A67E" w:rsidR="004C53E7" w:rsidRPr="004C53E7" w:rsidRDefault="00C172D7" w:rsidP="00EE2B7C">
            <w:pPr>
              <w:jc w:val="center"/>
              <w:rPr>
                <w:rFonts w:ascii="Calibri" w:hAnsi="Calibri" w:cs="Arial"/>
                <w:b/>
                <w:lang w:val="en-IE"/>
              </w:rPr>
            </w:pPr>
            <w:r>
              <w:rPr>
                <w:rFonts w:ascii="Calibri" w:hAnsi="Calibri" w:cs="Arial"/>
                <w:b/>
                <w:lang w:val="en-IE"/>
              </w:rPr>
              <w:t>EPDEL</w:t>
            </w:r>
          </w:p>
        </w:tc>
        <w:tc>
          <w:tcPr>
            <w:tcW w:w="2533" w:type="dxa"/>
            <w:gridSpan w:val="2"/>
            <w:vAlign w:val="center"/>
          </w:tcPr>
          <w:p w14:paraId="78AAD6DE" w14:textId="77777777" w:rsidR="004C53E7" w:rsidRPr="004C53E7" w:rsidRDefault="004C53E7" w:rsidP="00EE2B7C">
            <w:pPr>
              <w:jc w:val="center"/>
              <w:rPr>
                <w:rFonts w:ascii="Calibri" w:hAnsi="Calibri" w:cs="Arial"/>
                <w:b/>
                <w:lang w:val="en-IE"/>
              </w:rPr>
            </w:pPr>
          </w:p>
        </w:tc>
        <w:tc>
          <w:tcPr>
            <w:tcW w:w="2311" w:type="dxa"/>
            <w:gridSpan w:val="2"/>
            <w:vAlign w:val="center"/>
          </w:tcPr>
          <w:p w14:paraId="4D01F1FE" w14:textId="3A3F9E99" w:rsidR="004C53E7" w:rsidRPr="004C53E7" w:rsidRDefault="388E89E0" w:rsidP="46090BAA">
            <w:pPr>
              <w:jc w:val="center"/>
              <w:rPr>
                <w:rFonts w:ascii="Calibri" w:eastAsia="Calibri" w:hAnsi="Calibri" w:cs="Calibri"/>
                <w:lang w:val="en-IE"/>
              </w:rPr>
            </w:pPr>
            <w:r w:rsidRPr="46090BAA">
              <w:rPr>
                <w:rFonts w:ascii="Calibri" w:hAnsi="Calibri" w:cs="Arial"/>
                <w:b/>
                <w:bCs/>
                <w:lang w:val="en-IE"/>
              </w:rPr>
              <w:t>Urgent</w:t>
            </w:r>
          </w:p>
        </w:tc>
        <w:tc>
          <w:tcPr>
            <w:tcW w:w="2536" w:type="dxa"/>
            <w:vAlign w:val="center"/>
          </w:tcPr>
          <w:p w14:paraId="5EAD741D" w14:textId="672A3D0E" w:rsidR="004C53E7" w:rsidRPr="004C53E7" w:rsidRDefault="00001FC9" w:rsidP="00EE2B7C">
            <w:pPr>
              <w:jc w:val="center"/>
              <w:rPr>
                <w:rFonts w:ascii="Calibri" w:hAnsi="Calibri" w:cs="Arial"/>
                <w:b/>
                <w:lang w:val="en-IE"/>
              </w:rPr>
            </w:pPr>
            <w:r>
              <w:rPr>
                <w:rFonts w:ascii="Calibri" w:hAnsi="Calibri" w:cs="Arial"/>
                <w:b/>
                <w:lang w:val="en-IE"/>
              </w:rPr>
              <w:t>CMC_16_23</w:t>
            </w:r>
          </w:p>
        </w:tc>
      </w:tr>
      <w:tr w:rsidR="004C53E7" w:rsidRPr="004C53E7" w14:paraId="3999AF0E" w14:textId="77777777" w:rsidTr="46090BAA">
        <w:trPr>
          <w:trHeight w:val="467"/>
        </w:trPr>
        <w:tc>
          <w:tcPr>
            <w:tcW w:w="9450" w:type="dxa"/>
            <w:gridSpan w:val="6"/>
            <w:shd w:val="clear" w:color="auto" w:fill="C6D9F1" w:themeFill="text2" w:themeFillTint="33"/>
            <w:vAlign w:val="center"/>
          </w:tcPr>
          <w:p w14:paraId="7199F004"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1EF9E0DD" w14:textId="77777777" w:rsidTr="46090BAA">
        <w:tc>
          <w:tcPr>
            <w:tcW w:w="2925" w:type="dxa"/>
            <w:gridSpan w:val="2"/>
            <w:vAlign w:val="center"/>
          </w:tcPr>
          <w:p w14:paraId="57DD919D"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6A281298"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1E5E33E7"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14836C98" w14:textId="77777777" w:rsidTr="46090BAA">
        <w:tc>
          <w:tcPr>
            <w:tcW w:w="2925" w:type="dxa"/>
            <w:gridSpan w:val="2"/>
            <w:vAlign w:val="center"/>
          </w:tcPr>
          <w:p w14:paraId="73343DBF" w14:textId="148AC075" w:rsidR="004C53E7" w:rsidRPr="00C172D7" w:rsidRDefault="00C172D7" w:rsidP="00EE2B7C">
            <w:pPr>
              <w:jc w:val="center"/>
              <w:rPr>
                <w:rFonts w:ascii="Calibri" w:hAnsi="Calibri" w:cs="Arial"/>
                <w:b/>
                <w:lang w:val="en-IE"/>
              </w:rPr>
            </w:pPr>
            <w:r w:rsidRPr="00C172D7">
              <w:rPr>
                <w:rFonts w:ascii="Calibri" w:hAnsi="Calibri" w:cs="Arial"/>
                <w:b/>
                <w:lang w:val="en-IE"/>
              </w:rPr>
              <w:t>Harry Molloy</w:t>
            </w:r>
          </w:p>
        </w:tc>
        <w:tc>
          <w:tcPr>
            <w:tcW w:w="2925" w:type="dxa"/>
            <w:gridSpan w:val="2"/>
            <w:vAlign w:val="center"/>
          </w:tcPr>
          <w:p w14:paraId="3631C2D2" w14:textId="1F9CFE5F" w:rsidR="004C53E7" w:rsidRPr="00C172D7" w:rsidRDefault="00C172D7" w:rsidP="00EE2B7C">
            <w:pPr>
              <w:jc w:val="center"/>
              <w:rPr>
                <w:rFonts w:ascii="Calibri" w:hAnsi="Calibri" w:cs="Arial"/>
                <w:b/>
                <w:lang w:val="en-IE"/>
              </w:rPr>
            </w:pPr>
            <w:r w:rsidRPr="00C172D7">
              <w:rPr>
                <w:rFonts w:ascii="Calibri" w:hAnsi="Calibri" w:cs="Arial"/>
                <w:b/>
                <w:lang w:val="en-IE"/>
              </w:rPr>
              <w:t>0860785534</w:t>
            </w:r>
          </w:p>
        </w:tc>
        <w:tc>
          <w:tcPr>
            <w:tcW w:w="3600" w:type="dxa"/>
            <w:gridSpan w:val="2"/>
            <w:vAlign w:val="center"/>
          </w:tcPr>
          <w:p w14:paraId="2E0BC4A3" w14:textId="74287FD3" w:rsidR="00355080" w:rsidRPr="00C172D7" w:rsidRDefault="00C172D7" w:rsidP="00355080">
            <w:pPr>
              <w:jc w:val="center"/>
              <w:rPr>
                <w:rFonts w:ascii="Calibri" w:hAnsi="Calibri" w:cs="Arial"/>
                <w:b/>
                <w:lang w:val="en-IE"/>
              </w:rPr>
            </w:pPr>
            <w:r w:rsidRPr="00C172D7">
              <w:rPr>
                <w:rFonts w:ascii="Calibri" w:hAnsi="Calibri" w:cs="Arial"/>
                <w:b/>
                <w:lang w:val="en-IE"/>
              </w:rPr>
              <w:t>h.molloy@tynaghenergy.ie</w:t>
            </w:r>
          </w:p>
        </w:tc>
      </w:tr>
      <w:tr w:rsidR="004C53E7" w:rsidRPr="004C53E7" w14:paraId="7545ABF7" w14:textId="77777777" w:rsidTr="46090BAA">
        <w:trPr>
          <w:trHeight w:val="327"/>
        </w:trPr>
        <w:tc>
          <w:tcPr>
            <w:tcW w:w="9450" w:type="dxa"/>
            <w:gridSpan w:val="6"/>
            <w:shd w:val="clear" w:color="auto" w:fill="C6D9F1" w:themeFill="text2" w:themeFillTint="33"/>
            <w:vAlign w:val="center"/>
          </w:tcPr>
          <w:p w14:paraId="10E9D2B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7FAC08FC" w14:textId="77777777" w:rsidTr="46090BAA">
        <w:trPr>
          <w:trHeight w:val="323"/>
        </w:trPr>
        <w:tc>
          <w:tcPr>
            <w:tcW w:w="9450" w:type="dxa"/>
            <w:gridSpan w:val="6"/>
            <w:vAlign w:val="center"/>
          </w:tcPr>
          <w:p w14:paraId="0CE31BBE" w14:textId="54A6513D" w:rsidR="004C53E7" w:rsidRPr="00F2139A" w:rsidRDefault="00C172D7" w:rsidP="00730238">
            <w:pPr>
              <w:jc w:val="center"/>
              <w:rPr>
                <w:rFonts w:ascii="Calibri" w:hAnsi="Calibri" w:cs="Arial"/>
                <w:b/>
                <w:lang w:val="en-IE"/>
              </w:rPr>
            </w:pPr>
            <w:r>
              <w:rPr>
                <w:rFonts w:ascii="Calibri" w:hAnsi="Calibri" w:cs="Arial"/>
                <w:b/>
                <w:lang w:val="en-IE"/>
              </w:rPr>
              <w:t xml:space="preserve">Amendment to Performance Securities for Extended Projects </w:t>
            </w:r>
          </w:p>
        </w:tc>
      </w:tr>
      <w:tr w:rsidR="004C53E7" w:rsidRPr="004C53E7" w14:paraId="3BC57612" w14:textId="77777777" w:rsidTr="46090BAA">
        <w:tc>
          <w:tcPr>
            <w:tcW w:w="2925" w:type="dxa"/>
            <w:gridSpan w:val="2"/>
            <w:shd w:val="clear" w:color="auto" w:fill="C6D9F1" w:themeFill="text2" w:themeFillTint="33"/>
            <w:vAlign w:val="center"/>
          </w:tcPr>
          <w:p w14:paraId="05E197E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 xml:space="preserve">Documents </w:t>
            </w:r>
            <w:proofErr w:type="gramStart"/>
            <w:r w:rsidRPr="004C53E7">
              <w:rPr>
                <w:rFonts w:ascii="Calibri" w:hAnsi="Calibri" w:cs="Arial"/>
                <w:b/>
                <w:bCs/>
                <w:lang w:val="en-IE"/>
              </w:rPr>
              <w:t>affected</w:t>
            </w:r>
            <w:proofErr w:type="gramEnd"/>
          </w:p>
          <w:p w14:paraId="3A8CF8D8"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w:t>
            </w:r>
            <w:proofErr w:type="gramStart"/>
            <w:r w:rsidRPr="004C53E7">
              <w:rPr>
                <w:rFonts w:ascii="Calibri" w:hAnsi="Calibri" w:cs="Arial"/>
                <w:i/>
                <w:lang w:val="en-IE"/>
              </w:rPr>
              <w:t>delete</w:t>
            </w:r>
            <w:proofErr w:type="gramEnd"/>
            <w:r w:rsidRPr="004C53E7">
              <w:rPr>
                <w:rFonts w:ascii="Calibri" w:hAnsi="Calibri" w:cs="Arial"/>
                <w:i/>
                <w:lang w:val="en-IE"/>
              </w:rPr>
              <w:t xml:space="preserve"> as appropriate)</w:t>
            </w:r>
          </w:p>
        </w:tc>
        <w:tc>
          <w:tcPr>
            <w:tcW w:w="2925" w:type="dxa"/>
            <w:gridSpan w:val="2"/>
            <w:shd w:val="clear" w:color="auto" w:fill="C6D9F1" w:themeFill="text2" w:themeFillTint="33"/>
            <w:vAlign w:val="center"/>
          </w:tcPr>
          <w:p w14:paraId="4D334957"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themeFill="text2" w:themeFillTint="33"/>
            <w:vAlign w:val="center"/>
          </w:tcPr>
          <w:p w14:paraId="43916466"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5D9741AB" w14:textId="77777777" w:rsidTr="46090BAA">
        <w:tc>
          <w:tcPr>
            <w:tcW w:w="2925" w:type="dxa"/>
            <w:gridSpan w:val="2"/>
            <w:shd w:val="clear" w:color="auto" w:fill="FFFFFF" w:themeFill="background1"/>
            <w:vAlign w:val="center"/>
          </w:tcPr>
          <w:p w14:paraId="214F624A" w14:textId="58A66A85" w:rsidR="004C53E7" w:rsidRPr="004C53E7" w:rsidDel="00476388" w:rsidRDefault="00950250"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7D7A6AE0" w14:textId="77777777" w:rsidR="004C53E7" w:rsidRPr="004C53E7" w:rsidRDefault="004C53E7" w:rsidP="000069DF">
            <w:pPr>
              <w:jc w:val="center"/>
              <w:rPr>
                <w:rFonts w:ascii="Calibri" w:hAnsi="Calibri" w:cs="Arial"/>
                <w:b/>
                <w:lang w:val="en-IE"/>
              </w:rPr>
            </w:pPr>
          </w:p>
        </w:tc>
        <w:tc>
          <w:tcPr>
            <w:tcW w:w="3600" w:type="dxa"/>
            <w:gridSpan w:val="2"/>
            <w:vAlign w:val="center"/>
          </w:tcPr>
          <w:p w14:paraId="5C6303D7" w14:textId="77777777" w:rsidR="004C53E7" w:rsidRPr="004C53E7" w:rsidRDefault="004C53E7" w:rsidP="00EE2B7C">
            <w:pPr>
              <w:jc w:val="center"/>
              <w:rPr>
                <w:rFonts w:ascii="Calibri" w:hAnsi="Calibri" w:cs="Arial"/>
                <w:b/>
                <w:lang w:val="en-IE"/>
              </w:rPr>
            </w:pPr>
          </w:p>
        </w:tc>
      </w:tr>
      <w:tr w:rsidR="004C53E7" w:rsidRPr="004C53E7" w14:paraId="19F37B3E" w14:textId="77777777" w:rsidTr="46090BAA">
        <w:trPr>
          <w:trHeight w:val="375"/>
        </w:trPr>
        <w:tc>
          <w:tcPr>
            <w:tcW w:w="9450" w:type="dxa"/>
            <w:gridSpan w:val="6"/>
            <w:shd w:val="clear" w:color="auto" w:fill="C6D9F1" w:themeFill="text2" w:themeFillTint="33"/>
            <w:vAlign w:val="center"/>
          </w:tcPr>
          <w:p w14:paraId="0EBF32E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5810DCCD"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w:t>
            </w:r>
            <w:proofErr w:type="gramStart"/>
            <w:r w:rsidRPr="004C53E7">
              <w:rPr>
                <w:rFonts w:ascii="Calibri" w:hAnsi="Calibri"/>
                <w:i/>
                <w:spacing w:val="-3"/>
                <w:lang w:val="en-IE"/>
              </w:rPr>
              <w:t>mandatory</w:t>
            </w:r>
            <w:proofErr w:type="gramEnd"/>
            <w:r w:rsidRPr="004C53E7">
              <w:rPr>
                <w:rFonts w:ascii="Calibri" w:hAnsi="Calibri"/>
                <w:i/>
                <w:spacing w:val="-3"/>
                <w:lang w:val="en-IE"/>
              </w:rPr>
              <w:t xml:space="preserve"> by originator)</w:t>
            </w:r>
          </w:p>
        </w:tc>
      </w:tr>
      <w:tr w:rsidR="004C53E7" w:rsidRPr="004C53E7" w14:paraId="67545AD9" w14:textId="77777777" w:rsidTr="46090BAA">
        <w:trPr>
          <w:trHeight w:val="467"/>
        </w:trPr>
        <w:tc>
          <w:tcPr>
            <w:tcW w:w="9450" w:type="dxa"/>
            <w:gridSpan w:val="6"/>
            <w:vAlign w:val="center"/>
          </w:tcPr>
          <w:p w14:paraId="2CCBBA0A" w14:textId="55F635E5" w:rsidR="00584447" w:rsidRDefault="00950250" w:rsidP="00584447">
            <w:pPr>
              <w:pStyle w:val="Default"/>
              <w:rPr>
                <w:sz w:val="20"/>
                <w:szCs w:val="20"/>
              </w:rPr>
            </w:pPr>
            <w:r w:rsidRPr="46090BAA">
              <w:rPr>
                <w:sz w:val="20"/>
                <w:szCs w:val="20"/>
              </w:rPr>
              <w:t>This modification proposes an amendment to the timelines associated with posting Performance Securities for projects which have received an extension under CMC_15_22</w:t>
            </w:r>
            <w:r w:rsidR="2B0575BD" w:rsidRPr="46090BAA">
              <w:rPr>
                <w:sz w:val="20"/>
                <w:szCs w:val="20"/>
              </w:rPr>
              <w:t xml:space="preserve"> or any other extensions granted under any other delay modifications</w:t>
            </w:r>
            <w:r w:rsidRPr="46090BAA">
              <w:rPr>
                <w:sz w:val="20"/>
                <w:szCs w:val="20"/>
              </w:rPr>
              <w:t xml:space="preserve">. </w:t>
            </w:r>
            <w:r w:rsidR="00C522AB" w:rsidRPr="46090BAA">
              <w:rPr>
                <w:sz w:val="20"/>
                <w:szCs w:val="20"/>
              </w:rPr>
              <w:t xml:space="preserve">Currently, Performance Security posting dates are set based on the beginning of the relevant Capacity Year. </w:t>
            </w:r>
            <w:r w:rsidR="2CA6BC4C" w:rsidRPr="46090BAA">
              <w:rPr>
                <w:sz w:val="20"/>
                <w:szCs w:val="20"/>
              </w:rPr>
              <w:t>Specifically,</w:t>
            </w:r>
            <w:r w:rsidR="000F38F6" w:rsidRPr="46090BAA">
              <w:rPr>
                <w:sz w:val="20"/>
                <w:szCs w:val="20"/>
              </w:rPr>
              <w:t xml:space="preserve"> the highest Performance Security is required to be posted 13 months prior to the beginning of the Capacity Year. </w:t>
            </w:r>
          </w:p>
          <w:p w14:paraId="6BA26578" w14:textId="50066719" w:rsidR="00FA68AC" w:rsidRDefault="00FA68AC" w:rsidP="00584447">
            <w:pPr>
              <w:pStyle w:val="Default"/>
              <w:rPr>
                <w:sz w:val="20"/>
                <w:szCs w:val="20"/>
              </w:rPr>
            </w:pPr>
            <w:r>
              <w:br/>
            </w:r>
            <w:r w:rsidRPr="46090BAA">
              <w:rPr>
                <w:sz w:val="20"/>
                <w:szCs w:val="20"/>
              </w:rPr>
              <w:t xml:space="preserve">CMC_15_22, as approved by the SEMC, enables Participants with New Capacity projects to seek extensions to their capacity contracts under Section J.5.5 and J.5.6 of the Capacity Market Code. </w:t>
            </w:r>
            <w:r w:rsidR="4AB1CF3E" w:rsidRPr="46090BAA">
              <w:rPr>
                <w:sz w:val="20"/>
                <w:szCs w:val="20"/>
              </w:rPr>
              <w:t xml:space="preserve">There are a number of other modifications currently under consideration by the SEMC which propose to seek extensions under the same Sections of the CMC. </w:t>
            </w:r>
            <w:r w:rsidRPr="46090BAA">
              <w:rPr>
                <w:sz w:val="20"/>
                <w:szCs w:val="20"/>
              </w:rPr>
              <w:t xml:space="preserve">Such extensions can be sought where a third-party challenge to a planning determination incurs delays to New Capacity, verifiable by an independent assessor. This mitigates against contract erosion which would impede the economic feasibility of New Capacity projects. </w:t>
            </w:r>
            <w:r w:rsidR="000F38F6" w:rsidRPr="46090BAA">
              <w:rPr>
                <w:sz w:val="20"/>
                <w:szCs w:val="20"/>
              </w:rPr>
              <w:t xml:space="preserve">Extensions under J.5.5 and J.5.6 are reserved for instances where the delay is the result of a third-party action beyond the control of the Participant. </w:t>
            </w:r>
          </w:p>
          <w:p w14:paraId="23DFF6B1" w14:textId="6207BA18" w:rsidR="00FA68AC" w:rsidRDefault="00FA68AC" w:rsidP="00584447">
            <w:pPr>
              <w:pStyle w:val="Default"/>
              <w:rPr>
                <w:sz w:val="20"/>
                <w:szCs w:val="20"/>
              </w:rPr>
            </w:pPr>
          </w:p>
          <w:p w14:paraId="5D7B03BB" w14:textId="75F1DB3E" w:rsidR="00FA68AC" w:rsidRDefault="00FA68AC" w:rsidP="00584447">
            <w:pPr>
              <w:pStyle w:val="Default"/>
              <w:rPr>
                <w:sz w:val="20"/>
                <w:szCs w:val="20"/>
              </w:rPr>
            </w:pPr>
            <w:r>
              <w:rPr>
                <w:sz w:val="20"/>
                <w:szCs w:val="20"/>
              </w:rPr>
              <w:t>New Capacity projects which receive an extension under J.5.5 or J.5.6 will become misaligned with the timings for Performance Security postings</w:t>
            </w:r>
            <w:r w:rsidR="000F38F6">
              <w:rPr>
                <w:sz w:val="20"/>
                <w:szCs w:val="20"/>
              </w:rPr>
              <w:t xml:space="preserve"> (i.e., 13 months prior to expected delivery). This </w:t>
            </w:r>
            <w:r>
              <w:rPr>
                <w:sz w:val="20"/>
                <w:szCs w:val="20"/>
              </w:rPr>
              <w:t xml:space="preserve">increases the </w:t>
            </w:r>
            <w:r w:rsidR="000F38F6">
              <w:rPr>
                <w:sz w:val="20"/>
                <w:szCs w:val="20"/>
              </w:rPr>
              <w:t xml:space="preserve">magnitude of </w:t>
            </w:r>
            <w:r>
              <w:rPr>
                <w:sz w:val="20"/>
                <w:szCs w:val="20"/>
              </w:rPr>
              <w:t>risk associated with termination for these projects</w:t>
            </w:r>
            <w:r w:rsidR="000F38F6">
              <w:rPr>
                <w:sz w:val="20"/>
                <w:szCs w:val="20"/>
              </w:rPr>
              <w:t>, which in turn creates challenges for investment decisions</w:t>
            </w:r>
            <w:r>
              <w:rPr>
                <w:sz w:val="20"/>
                <w:szCs w:val="20"/>
              </w:rPr>
              <w:t>. This risk is compounded by the fact that projects seeking these extensions will be facing a planning challenge and thus will be more exposed to possible termination.</w:t>
            </w:r>
            <w:r w:rsidR="000F38F6">
              <w:rPr>
                <w:sz w:val="20"/>
                <w:szCs w:val="20"/>
              </w:rPr>
              <w:t xml:space="preserve"> For example, if a project is required to post Performance Securities 13 months prior to the Capacity Year, it may be the case that a project is posting full Performance Security before a decision is made with respect to its planning and/or extension request.</w:t>
            </w:r>
            <w:r>
              <w:rPr>
                <w:sz w:val="20"/>
                <w:szCs w:val="20"/>
              </w:rPr>
              <w:t xml:space="preserve"> This will mean greater termination charges for these projects relative to where they are in the capacity delivery process. </w:t>
            </w:r>
          </w:p>
          <w:p w14:paraId="1245700C" w14:textId="0CE8377B" w:rsidR="00FA68AC" w:rsidRDefault="00FA68AC" w:rsidP="00584447">
            <w:pPr>
              <w:pStyle w:val="Default"/>
              <w:rPr>
                <w:sz w:val="20"/>
                <w:szCs w:val="20"/>
              </w:rPr>
            </w:pPr>
          </w:p>
          <w:p w14:paraId="32BBEE84" w14:textId="7288E4B6" w:rsidR="00692E32" w:rsidRPr="0013032E" w:rsidRDefault="00FA68AC" w:rsidP="3FFB2A2D">
            <w:pPr>
              <w:pStyle w:val="Default"/>
              <w:rPr>
                <w:sz w:val="20"/>
                <w:szCs w:val="20"/>
              </w:rPr>
            </w:pPr>
            <w:r w:rsidRPr="46090BAA">
              <w:rPr>
                <w:sz w:val="20"/>
                <w:szCs w:val="20"/>
              </w:rPr>
              <w:t>This modification seeks to amend the dates for Performance Security posting</w:t>
            </w:r>
            <w:r w:rsidR="00632378" w:rsidRPr="46090BAA">
              <w:rPr>
                <w:sz w:val="20"/>
                <w:szCs w:val="20"/>
              </w:rPr>
              <w:t xml:space="preserve">s, to reflect extensions approved by the SEMC under the CMC. </w:t>
            </w:r>
          </w:p>
          <w:p w14:paraId="3FBACD15" w14:textId="607520E1" w:rsidR="00692E32" w:rsidRPr="0013032E" w:rsidRDefault="00692E32" w:rsidP="008A331A">
            <w:pPr>
              <w:pStyle w:val="Default"/>
            </w:pPr>
          </w:p>
          <w:p w14:paraId="1EACD42C" w14:textId="2F4EE2A4" w:rsidR="00692E32" w:rsidRPr="0013032E" w:rsidRDefault="00692E32" w:rsidP="008A331A">
            <w:pPr>
              <w:pStyle w:val="Default"/>
            </w:pPr>
          </w:p>
        </w:tc>
      </w:tr>
      <w:tr w:rsidR="004C53E7" w:rsidRPr="004C53E7" w:rsidDel="00404964" w14:paraId="347897BA" w14:textId="77777777" w:rsidTr="46090BAA">
        <w:tc>
          <w:tcPr>
            <w:tcW w:w="9450" w:type="dxa"/>
            <w:gridSpan w:val="6"/>
            <w:shd w:val="clear" w:color="auto" w:fill="C6D9F1" w:themeFill="text2" w:themeFillTint="33"/>
            <w:vAlign w:val="center"/>
          </w:tcPr>
          <w:p w14:paraId="2A2E1FE2"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14:paraId="4689EDE7"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0AAEC867" w14:textId="77777777" w:rsidTr="46090BAA">
        <w:tc>
          <w:tcPr>
            <w:tcW w:w="9450" w:type="dxa"/>
            <w:gridSpan w:val="6"/>
            <w:vAlign w:val="center"/>
          </w:tcPr>
          <w:p w14:paraId="65AFE706" w14:textId="1AF6B9A3" w:rsidR="00751E25" w:rsidRDefault="00632378" w:rsidP="00632378">
            <w:pPr>
              <w:overflowPunct/>
              <w:autoSpaceDE/>
              <w:autoSpaceDN/>
              <w:adjustRightInd/>
              <w:spacing w:before="120" w:after="120"/>
              <w:jc w:val="both"/>
              <w:textAlignment w:val="auto"/>
              <w:rPr>
                <w:rFonts w:ascii="Arial" w:hAnsi="Arial" w:cs="Arial"/>
              </w:rPr>
            </w:pPr>
            <w:r w:rsidRPr="00632378">
              <w:rPr>
                <w:rFonts w:ascii="Arial" w:hAnsi="Arial" w:cs="Arial"/>
              </w:rPr>
              <w:t xml:space="preserve">This </w:t>
            </w:r>
            <w:r>
              <w:rPr>
                <w:rFonts w:ascii="Arial" w:hAnsi="Arial" w:cs="Arial"/>
              </w:rPr>
              <w:t xml:space="preserve">modification proposes to introduce a new subsection to the CMC under Section J.3.2. </w:t>
            </w:r>
          </w:p>
          <w:p w14:paraId="063C7491" w14:textId="585083B0" w:rsidR="00632378" w:rsidRPr="0099547D" w:rsidRDefault="00632378" w:rsidP="00632378">
            <w:pPr>
              <w:overflowPunct/>
              <w:autoSpaceDE/>
              <w:autoSpaceDN/>
              <w:adjustRightInd/>
              <w:spacing w:before="120" w:after="120"/>
              <w:jc w:val="both"/>
              <w:textAlignment w:val="auto"/>
              <w:rPr>
                <w:rFonts w:ascii="Arial" w:hAnsi="Arial" w:cs="Arial"/>
                <w:sz w:val="8"/>
                <w:szCs w:val="8"/>
              </w:rPr>
            </w:pPr>
          </w:p>
          <w:p w14:paraId="23D8ECCD" w14:textId="056589C2" w:rsidR="00632378" w:rsidRDefault="00632378" w:rsidP="00632378">
            <w:pPr>
              <w:overflowPunct/>
              <w:autoSpaceDE/>
              <w:autoSpaceDN/>
              <w:adjustRightInd/>
              <w:spacing w:before="120" w:after="120"/>
              <w:jc w:val="both"/>
              <w:textAlignment w:val="auto"/>
              <w:rPr>
                <w:rFonts w:ascii="Arial" w:hAnsi="Arial" w:cs="Arial"/>
                <w:b/>
                <w:bCs/>
              </w:rPr>
            </w:pPr>
            <w:r>
              <w:rPr>
                <w:rFonts w:ascii="Arial" w:hAnsi="Arial" w:cs="Arial"/>
                <w:b/>
                <w:bCs/>
              </w:rPr>
              <w:t xml:space="preserve">J.3.2 Obligation to Provide </w:t>
            </w:r>
          </w:p>
          <w:p w14:paraId="15BC22E4" w14:textId="1BB6BBA5" w:rsidR="00632378" w:rsidRDefault="00632378" w:rsidP="00632378">
            <w:pPr>
              <w:overflowPunct/>
              <w:autoSpaceDE/>
              <w:autoSpaceDN/>
              <w:adjustRightInd/>
              <w:spacing w:before="120" w:after="120"/>
              <w:jc w:val="both"/>
              <w:textAlignment w:val="auto"/>
              <w:rPr>
                <w:rFonts w:ascii="Arial" w:hAnsi="Arial" w:cs="Arial"/>
              </w:rPr>
            </w:pPr>
            <w:r>
              <w:rPr>
                <w:rFonts w:ascii="Arial" w:hAnsi="Arial" w:cs="Arial"/>
              </w:rPr>
              <w:t>[…]</w:t>
            </w:r>
          </w:p>
          <w:p w14:paraId="004EA723" w14:textId="6836CEBD" w:rsidR="00692E32" w:rsidRPr="0099547D" w:rsidDel="00404964" w:rsidRDefault="00632378" w:rsidP="46090BAA">
            <w:pPr>
              <w:overflowPunct/>
              <w:autoSpaceDE/>
              <w:autoSpaceDN/>
              <w:adjustRightInd/>
              <w:spacing w:before="120" w:after="120"/>
              <w:jc w:val="both"/>
              <w:textAlignment w:val="auto"/>
              <w:rPr>
                <w:rFonts w:ascii="Arial" w:hAnsi="Arial" w:cs="Arial"/>
                <w:i/>
                <w:iCs/>
                <w:color w:val="FF0000"/>
              </w:rPr>
            </w:pPr>
            <w:r w:rsidRPr="46090BAA">
              <w:rPr>
                <w:rFonts w:ascii="Arial" w:hAnsi="Arial" w:cs="Arial"/>
                <w:i/>
                <w:iCs/>
                <w:color w:val="FF0000"/>
              </w:rPr>
              <w:lastRenderedPageBreak/>
              <w:t>J.3.2.</w:t>
            </w:r>
            <w:r w:rsidR="65D8288C" w:rsidRPr="46090BAA">
              <w:rPr>
                <w:rFonts w:ascii="Arial" w:hAnsi="Arial" w:cs="Arial"/>
                <w:i/>
                <w:iCs/>
                <w:color w:val="FF0000"/>
              </w:rPr>
              <w:t>9</w:t>
            </w:r>
            <w:r w:rsidRPr="46090BAA">
              <w:rPr>
                <w:rFonts w:ascii="Arial" w:hAnsi="Arial" w:cs="Arial"/>
                <w:i/>
                <w:iCs/>
                <w:color w:val="FF0000"/>
              </w:rPr>
              <w:t xml:space="preserve"> Where an extension has been </w:t>
            </w:r>
            <w:r w:rsidR="40CB698E" w:rsidRPr="46090BAA">
              <w:rPr>
                <w:rFonts w:ascii="Arial" w:hAnsi="Arial" w:cs="Arial"/>
                <w:i/>
                <w:iCs/>
                <w:color w:val="FF0000"/>
              </w:rPr>
              <w:t>granted</w:t>
            </w:r>
            <w:r w:rsidR="1C82D05F" w:rsidRPr="46090BAA">
              <w:rPr>
                <w:rFonts w:ascii="Arial" w:hAnsi="Arial" w:cs="Arial"/>
                <w:i/>
                <w:iCs/>
                <w:color w:val="FF0000"/>
              </w:rPr>
              <w:t xml:space="preserve"> to</w:t>
            </w:r>
            <w:r w:rsidR="40CB698E" w:rsidRPr="46090BAA">
              <w:rPr>
                <w:rFonts w:ascii="Arial" w:hAnsi="Arial" w:cs="Arial"/>
                <w:i/>
                <w:iCs/>
                <w:color w:val="FF0000"/>
              </w:rPr>
              <w:t xml:space="preserve"> </w:t>
            </w:r>
            <w:r w:rsidR="10A336C8" w:rsidRPr="46090BAA">
              <w:rPr>
                <w:rFonts w:ascii="Arial" w:hAnsi="Arial" w:cs="Arial"/>
                <w:i/>
                <w:iCs/>
                <w:color w:val="FF0000"/>
              </w:rPr>
              <w:t>A</w:t>
            </w:r>
            <w:r w:rsidRPr="46090BAA">
              <w:rPr>
                <w:rFonts w:ascii="Arial" w:hAnsi="Arial" w:cs="Arial"/>
                <w:i/>
                <w:iCs/>
                <w:color w:val="FF0000"/>
              </w:rPr>
              <w:t>warded New Capacity in accordance with Section</w:t>
            </w:r>
            <w:r w:rsidR="32FF3C3D" w:rsidRPr="46090BAA">
              <w:rPr>
                <w:rFonts w:ascii="Arial" w:hAnsi="Arial" w:cs="Arial"/>
                <w:i/>
                <w:iCs/>
                <w:color w:val="FF0000"/>
              </w:rPr>
              <w:t xml:space="preserve"> J.5.2, Section</w:t>
            </w:r>
            <w:r w:rsidRPr="46090BAA">
              <w:rPr>
                <w:rFonts w:ascii="Arial" w:hAnsi="Arial" w:cs="Arial"/>
                <w:i/>
                <w:iCs/>
                <w:color w:val="FF0000"/>
              </w:rPr>
              <w:t xml:space="preserve"> J.5.5</w:t>
            </w:r>
            <w:r w:rsidR="6258E348" w:rsidRPr="46090BAA">
              <w:rPr>
                <w:rFonts w:ascii="Arial" w:hAnsi="Arial" w:cs="Arial"/>
                <w:i/>
                <w:iCs/>
                <w:color w:val="FF0000"/>
              </w:rPr>
              <w:t>,</w:t>
            </w:r>
            <w:r w:rsidRPr="46090BAA">
              <w:rPr>
                <w:rFonts w:ascii="Arial" w:hAnsi="Arial" w:cs="Arial"/>
                <w:i/>
                <w:iCs/>
                <w:color w:val="FF0000"/>
              </w:rPr>
              <w:t xml:space="preserve"> </w:t>
            </w:r>
            <w:r w:rsidR="6A820A95" w:rsidRPr="46090BAA">
              <w:rPr>
                <w:rFonts w:ascii="Arial" w:hAnsi="Arial" w:cs="Arial"/>
                <w:i/>
                <w:iCs/>
                <w:color w:val="FF0000"/>
              </w:rPr>
              <w:t xml:space="preserve">or </w:t>
            </w:r>
            <w:r w:rsidR="3227F37C" w:rsidRPr="46090BAA">
              <w:rPr>
                <w:rFonts w:ascii="Arial" w:hAnsi="Arial" w:cs="Arial"/>
                <w:i/>
                <w:iCs/>
                <w:color w:val="FF0000"/>
              </w:rPr>
              <w:t>under any other relevant sections of the Code</w:t>
            </w:r>
            <w:r w:rsidRPr="46090BAA">
              <w:rPr>
                <w:rFonts w:ascii="Arial" w:hAnsi="Arial" w:cs="Arial"/>
                <w:i/>
                <w:iCs/>
                <w:color w:val="FF0000"/>
              </w:rPr>
              <w:t xml:space="preserve">, the Performance Security Posting Dates/Events </w:t>
            </w:r>
            <w:r w:rsidR="2BD815C5" w:rsidRPr="46090BAA">
              <w:rPr>
                <w:rFonts w:ascii="Arial" w:hAnsi="Arial" w:cs="Arial"/>
                <w:i/>
                <w:iCs/>
                <w:color w:val="FF0000"/>
              </w:rPr>
              <w:t>applicable to</w:t>
            </w:r>
            <w:r w:rsidRPr="46090BAA">
              <w:rPr>
                <w:rFonts w:ascii="Arial" w:hAnsi="Arial" w:cs="Arial"/>
                <w:i/>
                <w:iCs/>
                <w:color w:val="FF0000"/>
              </w:rPr>
              <w:t xml:space="preserve"> th</w:t>
            </w:r>
            <w:r w:rsidR="44A9D860" w:rsidRPr="46090BAA">
              <w:rPr>
                <w:rFonts w:ascii="Arial" w:hAnsi="Arial" w:cs="Arial"/>
                <w:i/>
                <w:iCs/>
                <w:color w:val="FF0000"/>
              </w:rPr>
              <w:t xml:space="preserve">at </w:t>
            </w:r>
            <w:r w:rsidR="69D6A10F" w:rsidRPr="46090BAA">
              <w:rPr>
                <w:rFonts w:ascii="Arial" w:hAnsi="Arial" w:cs="Arial"/>
                <w:i/>
                <w:iCs/>
                <w:color w:val="FF0000"/>
              </w:rPr>
              <w:t>Awarded New Capacity</w:t>
            </w:r>
            <w:r w:rsidR="6BE0253E" w:rsidRPr="46090BAA">
              <w:rPr>
                <w:rFonts w:ascii="Arial" w:hAnsi="Arial" w:cs="Arial"/>
                <w:i/>
                <w:iCs/>
                <w:color w:val="FF0000"/>
              </w:rPr>
              <w:t xml:space="preserve"> as</w:t>
            </w:r>
            <w:r w:rsidRPr="46090BAA">
              <w:rPr>
                <w:rFonts w:ascii="Arial" w:hAnsi="Arial" w:cs="Arial"/>
                <w:i/>
                <w:iCs/>
                <w:color w:val="FF0000"/>
              </w:rPr>
              <w:t xml:space="preserve"> </w:t>
            </w:r>
            <w:r w:rsidR="1988EF96" w:rsidRPr="46090BAA">
              <w:rPr>
                <w:rFonts w:ascii="Arial" w:hAnsi="Arial" w:cs="Arial"/>
                <w:i/>
                <w:iCs/>
                <w:color w:val="FF0000"/>
              </w:rPr>
              <w:t xml:space="preserve"> determined</w:t>
            </w:r>
            <w:r w:rsidR="084A12D3" w:rsidRPr="46090BAA">
              <w:rPr>
                <w:rFonts w:ascii="Arial" w:hAnsi="Arial" w:cs="Arial"/>
                <w:i/>
                <w:iCs/>
                <w:color w:val="FF0000"/>
              </w:rPr>
              <w:t xml:space="preserve"> in accordance with paragraph J.</w:t>
            </w:r>
            <w:r w:rsidR="61C4D5E5" w:rsidRPr="46090BAA">
              <w:rPr>
                <w:rFonts w:ascii="Arial" w:hAnsi="Arial" w:cs="Arial"/>
                <w:i/>
                <w:iCs/>
                <w:color w:val="FF0000"/>
              </w:rPr>
              <w:t>3.2.2</w:t>
            </w:r>
            <w:r w:rsidRPr="46090BAA">
              <w:rPr>
                <w:rFonts w:ascii="Arial" w:hAnsi="Arial" w:cs="Arial"/>
                <w:i/>
                <w:iCs/>
                <w:color w:val="FF0000"/>
              </w:rPr>
              <w:t xml:space="preserve"> </w:t>
            </w:r>
            <w:r w:rsidR="47CB23D4" w:rsidRPr="46090BAA">
              <w:rPr>
                <w:rFonts w:ascii="Arial" w:hAnsi="Arial" w:cs="Arial"/>
                <w:i/>
                <w:iCs/>
                <w:color w:val="FF0000"/>
              </w:rPr>
              <w:t xml:space="preserve">shall be </w:t>
            </w:r>
            <w:r w:rsidR="70B9516C" w:rsidRPr="46090BAA">
              <w:rPr>
                <w:rFonts w:ascii="Arial" w:hAnsi="Arial" w:cs="Arial"/>
                <w:i/>
                <w:iCs/>
                <w:color w:val="FF0000"/>
              </w:rPr>
              <w:t>extended by</w:t>
            </w:r>
            <w:r w:rsidR="7734BF94" w:rsidRPr="46090BAA">
              <w:rPr>
                <w:rFonts w:ascii="Arial" w:hAnsi="Arial" w:cs="Arial"/>
                <w:i/>
                <w:iCs/>
                <w:color w:val="FF0000"/>
              </w:rPr>
              <w:t xml:space="preserve"> a period equal to the</w:t>
            </w:r>
            <w:r w:rsidRPr="46090BAA">
              <w:rPr>
                <w:rFonts w:ascii="Arial" w:hAnsi="Arial" w:cs="Arial"/>
                <w:i/>
                <w:iCs/>
                <w:color w:val="FF0000"/>
              </w:rPr>
              <w:t xml:space="preserve"> Third Party Extension Period </w:t>
            </w:r>
            <w:r w:rsidR="7FCC08F0" w:rsidRPr="46090BAA">
              <w:rPr>
                <w:rFonts w:ascii="Arial" w:hAnsi="Arial" w:cs="Arial"/>
                <w:i/>
                <w:iCs/>
                <w:color w:val="FF0000"/>
              </w:rPr>
              <w:t>or Inflationary Extension Period</w:t>
            </w:r>
            <w:r w:rsidR="131E7916" w:rsidRPr="46090BAA">
              <w:rPr>
                <w:rFonts w:ascii="Arial" w:hAnsi="Arial" w:cs="Arial"/>
                <w:i/>
                <w:iCs/>
                <w:color w:val="FF0000"/>
              </w:rPr>
              <w:t xml:space="preserve"> granted to </w:t>
            </w:r>
            <w:r w:rsidR="0B7BF311" w:rsidRPr="46090BAA">
              <w:rPr>
                <w:rFonts w:ascii="Arial" w:hAnsi="Arial" w:cs="Arial"/>
                <w:i/>
                <w:iCs/>
                <w:color w:val="FF0000"/>
              </w:rPr>
              <w:t xml:space="preserve">the </w:t>
            </w:r>
            <w:r w:rsidR="131E7916" w:rsidRPr="46090BAA">
              <w:rPr>
                <w:rFonts w:ascii="Arial" w:hAnsi="Arial" w:cs="Arial"/>
                <w:i/>
                <w:iCs/>
                <w:color w:val="FF0000"/>
              </w:rPr>
              <w:t>Awarded New Capacity</w:t>
            </w:r>
            <w:r w:rsidRPr="46090BAA">
              <w:rPr>
                <w:rFonts w:ascii="Arial" w:hAnsi="Arial" w:cs="Arial"/>
                <w:i/>
                <w:iCs/>
                <w:color w:val="FF0000"/>
              </w:rPr>
              <w:t xml:space="preserve">. </w:t>
            </w:r>
          </w:p>
          <w:p w14:paraId="503B4A9C" w14:textId="4E9228D4" w:rsidR="00692E32" w:rsidRPr="0099547D" w:rsidDel="00404964" w:rsidRDefault="00692E32" w:rsidP="46090BAA">
            <w:pPr>
              <w:overflowPunct/>
              <w:autoSpaceDE/>
              <w:autoSpaceDN/>
              <w:adjustRightInd/>
              <w:spacing w:before="120" w:after="120"/>
              <w:jc w:val="both"/>
              <w:textAlignment w:val="auto"/>
              <w:rPr>
                <w:rFonts w:ascii="Arial" w:hAnsi="Arial" w:cs="Arial"/>
                <w:i/>
                <w:iCs/>
                <w:color w:val="FF0000"/>
              </w:rPr>
            </w:pPr>
          </w:p>
          <w:p w14:paraId="42473C54" w14:textId="475E3ABA" w:rsidR="00692E32" w:rsidRPr="0099547D" w:rsidDel="00404964" w:rsidRDefault="5B42A6F4" w:rsidP="46090BAA">
            <w:pPr>
              <w:overflowPunct/>
              <w:autoSpaceDE/>
              <w:autoSpaceDN/>
              <w:adjustRightInd/>
              <w:spacing w:before="120" w:after="120"/>
              <w:jc w:val="both"/>
              <w:textAlignment w:val="auto"/>
              <w:rPr>
                <w:rFonts w:ascii="Arial" w:hAnsi="Arial" w:cs="Arial"/>
              </w:rPr>
            </w:pPr>
            <w:r w:rsidRPr="46090BAA">
              <w:rPr>
                <w:rFonts w:ascii="Arial" w:hAnsi="Arial" w:cs="Arial"/>
              </w:rPr>
              <w:t xml:space="preserve">This drafting would be accompanied by the </w:t>
            </w:r>
            <w:r w:rsidR="25689051" w:rsidRPr="46090BAA">
              <w:rPr>
                <w:rFonts w:ascii="Arial" w:hAnsi="Arial" w:cs="Arial"/>
              </w:rPr>
              <w:t>following</w:t>
            </w:r>
            <w:r w:rsidRPr="46090BAA">
              <w:rPr>
                <w:rFonts w:ascii="Arial" w:hAnsi="Arial" w:cs="Arial"/>
              </w:rPr>
              <w:t xml:space="preserve"> amendment to the CMC glossary: </w:t>
            </w:r>
          </w:p>
          <w:p w14:paraId="3F2A1A6B" w14:textId="460793E4" w:rsidR="00692E32" w:rsidRPr="0099547D" w:rsidDel="00404964" w:rsidRDefault="00692E32" w:rsidP="46090BAA">
            <w:pPr>
              <w:overflowPunct/>
              <w:autoSpaceDE/>
              <w:autoSpaceDN/>
              <w:adjustRightInd/>
              <w:spacing w:before="120" w:after="120"/>
              <w:jc w:val="both"/>
              <w:textAlignment w:val="auto"/>
              <w:rPr>
                <w:rFonts w:ascii="Arial" w:hAnsi="Arial" w:cs="Arial"/>
                <w:color w:val="FF0000"/>
              </w:rPr>
            </w:pPr>
          </w:p>
          <w:p w14:paraId="310AC439" w14:textId="28E0EB82" w:rsidR="00692E32" w:rsidRPr="0099547D" w:rsidDel="00404964" w:rsidRDefault="5B42A6F4" w:rsidP="46090BAA">
            <w:pPr>
              <w:overflowPunct/>
              <w:autoSpaceDE/>
              <w:autoSpaceDN/>
              <w:adjustRightInd/>
              <w:spacing w:before="120" w:after="120"/>
              <w:textAlignment w:val="auto"/>
              <w:rPr>
                <w:rFonts w:ascii="Segoe UI" w:eastAsia="Segoe UI" w:hAnsi="Segoe UI" w:cs="Segoe UI"/>
                <w:b/>
                <w:bCs/>
                <w:i/>
                <w:iCs/>
                <w:color w:val="333333"/>
                <w:sz w:val="18"/>
                <w:szCs w:val="18"/>
              </w:rPr>
            </w:pPr>
            <w:r w:rsidRPr="46090BAA">
              <w:rPr>
                <w:rFonts w:ascii="Segoe UI" w:eastAsia="Segoe UI" w:hAnsi="Segoe UI" w:cs="Segoe UI"/>
                <w:b/>
                <w:bCs/>
                <w:i/>
                <w:iCs/>
                <w:color w:val="333333"/>
                <w:sz w:val="18"/>
                <w:szCs w:val="18"/>
              </w:rPr>
              <w:t>Performance Security Posting Date/ Event</w:t>
            </w:r>
          </w:p>
          <w:p w14:paraId="3FC07FC2" w14:textId="3F43EAF2" w:rsidR="00692E32" w:rsidRDefault="5B42A6F4" w:rsidP="46090BAA">
            <w:pPr>
              <w:overflowPunct/>
              <w:autoSpaceDE/>
              <w:autoSpaceDN/>
              <w:adjustRightInd/>
              <w:spacing w:before="120" w:after="120"/>
              <w:textAlignment w:val="auto"/>
              <w:rPr>
                <w:rFonts w:ascii="Arial" w:eastAsia="Arial" w:hAnsi="Arial" w:cs="Arial"/>
                <w:i/>
                <w:iCs/>
                <w:color w:val="333333"/>
              </w:rPr>
            </w:pPr>
            <w:r w:rsidRPr="46090BAA">
              <w:rPr>
                <w:rFonts w:ascii="Arial" w:eastAsia="Arial" w:hAnsi="Arial" w:cs="Arial"/>
                <w:i/>
                <w:iCs/>
                <w:color w:val="333333"/>
              </w:rPr>
              <w:t xml:space="preserve">means a date or event from which a specified €/MW rate shall be applied to Awarded Capacity in setting Performance Securities. There may be multiple different Performance Security Posting Dates/ Events. The Performance Security Posting Dates/ Events applicable to Awarded Capacity allocated in a Capacity Auction are determined by the Regulatory Authorities and provided to the System Operators </w:t>
            </w:r>
            <w:r w:rsidRPr="46090BAA">
              <w:rPr>
                <w:rFonts w:ascii="Arial" w:eastAsia="Arial" w:hAnsi="Arial" w:cs="Arial"/>
                <w:i/>
                <w:iCs/>
                <w:color w:val="FF0000"/>
                <w:u w:val="single"/>
              </w:rPr>
              <w:t>subject to any extensions under this Code</w:t>
            </w:r>
            <w:r w:rsidRPr="46090BAA">
              <w:rPr>
                <w:rFonts w:ascii="Arial" w:eastAsia="Arial" w:hAnsi="Arial" w:cs="Arial"/>
                <w:i/>
                <w:iCs/>
                <w:color w:val="333333"/>
              </w:rPr>
              <w:t>.</w:t>
            </w:r>
          </w:p>
          <w:p w14:paraId="2B991171" w14:textId="47C21E83" w:rsidR="00001FC9" w:rsidRDefault="00001FC9" w:rsidP="46090BAA">
            <w:pPr>
              <w:overflowPunct/>
              <w:autoSpaceDE/>
              <w:autoSpaceDN/>
              <w:adjustRightInd/>
              <w:spacing w:before="120" w:after="120"/>
              <w:textAlignment w:val="auto"/>
              <w:rPr>
                <w:rFonts w:ascii="Arial" w:eastAsia="Arial" w:hAnsi="Arial" w:cs="Arial"/>
                <w:i/>
                <w:iCs/>
                <w:color w:val="333333"/>
              </w:rPr>
            </w:pPr>
          </w:p>
          <w:p w14:paraId="7D19756E" w14:textId="6EBE4CBB" w:rsidR="00001FC9" w:rsidRDefault="00001FC9" w:rsidP="46090BAA">
            <w:pPr>
              <w:overflowPunct/>
              <w:autoSpaceDE/>
              <w:autoSpaceDN/>
              <w:adjustRightInd/>
              <w:spacing w:before="120" w:after="120"/>
              <w:textAlignment w:val="auto"/>
              <w:rPr>
                <w:rFonts w:ascii="Arial" w:eastAsia="Arial" w:hAnsi="Arial" w:cs="Arial"/>
                <w:i/>
                <w:iCs/>
                <w:color w:val="333333"/>
              </w:rPr>
            </w:pPr>
            <w:r>
              <w:rPr>
                <w:rFonts w:ascii="Arial" w:eastAsia="Arial" w:hAnsi="Arial" w:cs="Arial"/>
                <w:i/>
                <w:iCs/>
                <w:color w:val="333333"/>
              </w:rPr>
              <w:t xml:space="preserve">This modification will also require changes to the Termination Charges of the CMC. </w:t>
            </w:r>
          </w:p>
          <w:p w14:paraId="5257C6C3" w14:textId="77777777" w:rsidR="00001FC9" w:rsidRDefault="00001FC9" w:rsidP="00001FC9">
            <w:pPr>
              <w:spacing w:before="120" w:after="120"/>
              <w:rPr>
                <w:rFonts w:ascii="Arial" w:eastAsia="Arial" w:hAnsi="Arial" w:cs="Arial"/>
                <w:i/>
                <w:iCs/>
                <w:color w:val="333333"/>
                <w:sz w:val="18"/>
                <w:szCs w:val="18"/>
              </w:rPr>
            </w:pPr>
          </w:p>
          <w:p w14:paraId="0C711AFB" w14:textId="77777777" w:rsidR="00001FC9" w:rsidRDefault="00001FC9" w:rsidP="00001FC9">
            <w:pPr>
              <w:rPr>
                <w:rFonts w:ascii="Arial" w:hAnsi="Arial" w:cs="Arial"/>
                <w:b/>
                <w:bCs/>
              </w:rPr>
            </w:pPr>
            <w:r>
              <w:rPr>
                <w:rFonts w:ascii="Arial" w:hAnsi="Arial" w:cs="Arial"/>
                <w:b/>
                <w:bCs/>
              </w:rPr>
              <w:t xml:space="preserve">J.7 Termination Charges </w:t>
            </w:r>
          </w:p>
          <w:p w14:paraId="6A24D77D" w14:textId="77777777" w:rsidR="00001FC9" w:rsidRDefault="00001FC9" w:rsidP="00001FC9">
            <w:pPr>
              <w:rPr>
                <w:rFonts w:ascii="Arial" w:hAnsi="Arial" w:cs="Arial"/>
              </w:rPr>
            </w:pPr>
            <w:r>
              <w:rPr>
                <w:rFonts w:ascii="Arial" w:hAnsi="Arial" w:cs="Arial"/>
              </w:rPr>
              <w:t>[…]</w:t>
            </w:r>
          </w:p>
          <w:p w14:paraId="226BBB1E" w14:textId="77777777" w:rsidR="00001FC9" w:rsidRPr="00E301C5" w:rsidRDefault="00001FC9" w:rsidP="00001FC9">
            <w:pPr>
              <w:pStyle w:val="ListParagraph"/>
              <w:keepNext/>
              <w:numPr>
                <w:ilvl w:val="0"/>
                <w:numId w:val="39"/>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lang w:val="en-US"/>
              </w:rPr>
            </w:pPr>
            <w:bookmarkStart w:id="0" w:name="_Ref461451087"/>
          </w:p>
          <w:p w14:paraId="19F6262C" w14:textId="77777777" w:rsidR="00001FC9" w:rsidRPr="00E301C5" w:rsidRDefault="00001FC9" w:rsidP="00001FC9">
            <w:pPr>
              <w:pStyle w:val="ListParagraph"/>
              <w:keepNext/>
              <w:numPr>
                <w:ilvl w:val="0"/>
                <w:numId w:val="39"/>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lang w:val="en-US"/>
              </w:rPr>
            </w:pPr>
          </w:p>
          <w:p w14:paraId="13232946" w14:textId="77777777" w:rsidR="00001FC9" w:rsidRPr="00E301C5" w:rsidRDefault="00001FC9" w:rsidP="00001FC9">
            <w:pPr>
              <w:pStyle w:val="ListParagraph"/>
              <w:keepNext/>
              <w:numPr>
                <w:ilvl w:val="0"/>
                <w:numId w:val="39"/>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lang w:val="en-US"/>
              </w:rPr>
            </w:pPr>
          </w:p>
          <w:p w14:paraId="46F31A40" w14:textId="77777777" w:rsidR="00001FC9" w:rsidRPr="00E301C5" w:rsidRDefault="00001FC9" w:rsidP="00001FC9">
            <w:pPr>
              <w:pStyle w:val="ListParagraph"/>
              <w:keepNext/>
              <w:numPr>
                <w:ilvl w:val="0"/>
                <w:numId w:val="39"/>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lang w:val="en-US"/>
              </w:rPr>
            </w:pPr>
          </w:p>
          <w:p w14:paraId="7742EF73" w14:textId="77777777" w:rsidR="00001FC9" w:rsidRPr="00E301C5" w:rsidRDefault="00001FC9" w:rsidP="00001FC9">
            <w:pPr>
              <w:pStyle w:val="ListParagraph"/>
              <w:keepNext/>
              <w:numPr>
                <w:ilvl w:val="0"/>
                <w:numId w:val="39"/>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lang w:val="en-US"/>
              </w:rPr>
            </w:pPr>
          </w:p>
          <w:p w14:paraId="5DE905B0" w14:textId="77777777" w:rsidR="00001FC9" w:rsidRPr="00E301C5" w:rsidRDefault="00001FC9" w:rsidP="00001FC9">
            <w:pPr>
              <w:pStyle w:val="ListParagraph"/>
              <w:keepNext/>
              <w:numPr>
                <w:ilvl w:val="0"/>
                <w:numId w:val="39"/>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lang w:val="en-US"/>
              </w:rPr>
            </w:pPr>
          </w:p>
          <w:p w14:paraId="4F8C14F7" w14:textId="77777777" w:rsidR="00001FC9" w:rsidRPr="00E301C5" w:rsidRDefault="00001FC9" w:rsidP="00001FC9">
            <w:pPr>
              <w:pStyle w:val="ListParagraph"/>
              <w:keepNext/>
              <w:numPr>
                <w:ilvl w:val="0"/>
                <w:numId w:val="39"/>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lang w:val="en-US"/>
              </w:rPr>
            </w:pPr>
          </w:p>
          <w:p w14:paraId="4C0D3460" w14:textId="77777777" w:rsidR="00001FC9" w:rsidRPr="00E301C5" w:rsidRDefault="00001FC9" w:rsidP="00001FC9">
            <w:pPr>
              <w:pStyle w:val="ListParagraph"/>
              <w:keepNext/>
              <w:numPr>
                <w:ilvl w:val="0"/>
                <w:numId w:val="39"/>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lang w:val="en-US"/>
              </w:rPr>
            </w:pPr>
          </w:p>
          <w:p w14:paraId="319F2F40" w14:textId="77777777" w:rsidR="00001FC9" w:rsidRPr="00E301C5" w:rsidRDefault="00001FC9" w:rsidP="00001FC9">
            <w:pPr>
              <w:pStyle w:val="ListParagraph"/>
              <w:keepNext/>
              <w:numPr>
                <w:ilvl w:val="0"/>
                <w:numId w:val="39"/>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lang w:val="en-US"/>
              </w:rPr>
            </w:pPr>
          </w:p>
          <w:p w14:paraId="42E48510" w14:textId="77777777" w:rsidR="00001FC9" w:rsidRPr="00E301C5" w:rsidRDefault="00001FC9" w:rsidP="00001FC9">
            <w:pPr>
              <w:pStyle w:val="ListParagraph"/>
              <w:keepNext/>
              <w:numPr>
                <w:ilvl w:val="0"/>
                <w:numId w:val="39"/>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lang w:val="en-US"/>
              </w:rPr>
            </w:pPr>
          </w:p>
          <w:p w14:paraId="53D19658" w14:textId="77777777" w:rsidR="00001FC9" w:rsidRPr="00E301C5" w:rsidRDefault="00001FC9" w:rsidP="00001FC9">
            <w:pPr>
              <w:pStyle w:val="ListParagraph"/>
              <w:keepNext/>
              <w:numPr>
                <w:ilvl w:val="1"/>
                <w:numId w:val="39"/>
              </w:numPr>
              <w:overflowPunct/>
              <w:autoSpaceDE/>
              <w:autoSpaceDN/>
              <w:adjustRightInd/>
              <w:spacing w:before="240" w:after="120"/>
              <w:contextualSpacing w:val="0"/>
              <w:jc w:val="both"/>
              <w:textAlignment w:val="auto"/>
              <w:outlineLvl w:val="1"/>
              <w:rPr>
                <w:rFonts w:ascii="Arial" w:hAnsi="Arial"/>
                <w:b/>
                <w:caps/>
                <w:vanish/>
                <w:sz w:val="24"/>
                <w:lang w:val="en-US"/>
              </w:rPr>
            </w:pPr>
          </w:p>
          <w:p w14:paraId="2A819E83" w14:textId="77777777" w:rsidR="00001FC9" w:rsidRPr="00E301C5" w:rsidRDefault="00001FC9" w:rsidP="00001FC9">
            <w:pPr>
              <w:pStyle w:val="ListParagraph"/>
              <w:keepNext/>
              <w:numPr>
                <w:ilvl w:val="1"/>
                <w:numId w:val="39"/>
              </w:numPr>
              <w:overflowPunct/>
              <w:autoSpaceDE/>
              <w:autoSpaceDN/>
              <w:adjustRightInd/>
              <w:spacing w:before="240" w:after="120"/>
              <w:contextualSpacing w:val="0"/>
              <w:jc w:val="both"/>
              <w:textAlignment w:val="auto"/>
              <w:outlineLvl w:val="1"/>
              <w:rPr>
                <w:rFonts w:ascii="Arial" w:hAnsi="Arial"/>
                <w:b/>
                <w:caps/>
                <w:vanish/>
                <w:sz w:val="24"/>
                <w:lang w:val="en-US"/>
              </w:rPr>
            </w:pPr>
          </w:p>
          <w:p w14:paraId="49AADAAF" w14:textId="77777777" w:rsidR="00001FC9" w:rsidRPr="00E301C5" w:rsidRDefault="00001FC9" w:rsidP="00001FC9">
            <w:pPr>
              <w:pStyle w:val="ListParagraph"/>
              <w:keepNext/>
              <w:numPr>
                <w:ilvl w:val="1"/>
                <w:numId w:val="39"/>
              </w:numPr>
              <w:overflowPunct/>
              <w:autoSpaceDE/>
              <w:autoSpaceDN/>
              <w:adjustRightInd/>
              <w:spacing w:before="240" w:after="120"/>
              <w:contextualSpacing w:val="0"/>
              <w:jc w:val="both"/>
              <w:textAlignment w:val="auto"/>
              <w:outlineLvl w:val="1"/>
              <w:rPr>
                <w:rFonts w:ascii="Arial" w:hAnsi="Arial"/>
                <w:b/>
                <w:caps/>
                <w:vanish/>
                <w:sz w:val="24"/>
                <w:lang w:val="en-US"/>
              </w:rPr>
            </w:pPr>
          </w:p>
          <w:p w14:paraId="3A945646" w14:textId="77777777" w:rsidR="00001FC9" w:rsidRPr="00E301C5" w:rsidRDefault="00001FC9" w:rsidP="00001FC9">
            <w:pPr>
              <w:pStyle w:val="ListParagraph"/>
              <w:keepNext/>
              <w:numPr>
                <w:ilvl w:val="1"/>
                <w:numId w:val="39"/>
              </w:numPr>
              <w:overflowPunct/>
              <w:autoSpaceDE/>
              <w:autoSpaceDN/>
              <w:adjustRightInd/>
              <w:spacing w:before="240" w:after="120"/>
              <w:contextualSpacing w:val="0"/>
              <w:jc w:val="both"/>
              <w:textAlignment w:val="auto"/>
              <w:outlineLvl w:val="1"/>
              <w:rPr>
                <w:rFonts w:ascii="Arial" w:hAnsi="Arial"/>
                <w:b/>
                <w:caps/>
                <w:vanish/>
                <w:sz w:val="24"/>
                <w:lang w:val="en-US"/>
              </w:rPr>
            </w:pPr>
          </w:p>
          <w:p w14:paraId="67BE8814" w14:textId="77777777" w:rsidR="00001FC9" w:rsidRPr="00E301C5" w:rsidRDefault="00001FC9" w:rsidP="00001FC9">
            <w:pPr>
              <w:pStyle w:val="ListParagraph"/>
              <w:keepNext/>
              <w:numPr>
                <w:ilvl w:val="1"/>
                <w:numId w:val="39"/>
              </w:numPr>
              <w:overflowPunct/>
              <w:autoSpaceDE/>
              <w:autoSpaceDN/>
              <w:adjustRightInd/>
              <w:spacing w:before="240" w:after="120"/>
              <w:contextualSpacing w:val="0"/>
              <w:jc w:val="both"/>
              <w:textAlignment w:val="auto"/>
              <w:outlineLvl w:val="1"/>
              <w:rPr>
                <w:rFonts w:ascii="Arial" w:hAnsi="Arial"/>
                <w:b/>
                <w:caps/>
                <w:vanish/>
                <w:sz w:val="24"/>
                <w:lang w:val="en-US"/>
              </w:rPr>
            </w:pPr>
          </w:p>
          <w:p w14:paraId="13776081" w14:textId="77777777" w:rsidR="00001FC9" w:rsidRPr="00E301C5" w:rsidRDefault="00001FC9" w:rsidP="00001FC9">
            <w:pPr>
              <w:pStyle w:val="ListParagraph"/>
              <w:keepNext/>
              <w:numPr>
                <w:ilvl w:val="1"/>
                <w:numId w:val="39"/>
              </w:numPr>
              <w:overflowPunct/>
              <w:autoSpaceDE/>
              <w:autoSpaceDN/>
              <w:adjustRightInd/>
              <w:spacing w:before="240" w:after="120"/>
              <w:contextualSpacing w:val="0"/>
              <w:jc w:val="both"/>
              <w:textAlignment w:val="auto"/>
              <w:outlineLvl w:val="1"/>
              <w:rPr>
                <w:rFonts w:ascii="Arial" w:hAnsi="Arial"/>
                <w:b/>
                <w:caps/>
                <w:vanish/>
                <w:sz w:val="24"/>
                <w:lang w:val="en-US"/>
              </w:rPr>
            </w:pPr>
          </w:p>
          <w:p w14:paraId="65BDE44A" w14:textId="77777777" w:rsidR="00001FC9" w:rsidRPr="00E301C5" w:rsidRDefault="00001FC9" w:rsidP="00001FC9">
            <w:pPr>
              <w:pStyle w:val="ListParagraph"/>
              <w:keepNext/>
              <w:numPr>
                <w:ilvl w:val="1"/>
                <w:numId w:val="39"/>
              </w:numPr>
              <w:overflowPunct/>
              <w:autoSpaceDE/>
              <w:autoSpaceDN/>
              <w:adjustRightInd/>
              <w:spacing w:before="240" w:after="120"/>
              <w:contextualSpacing w:val="0"/>
              <w:jc w:val="both"/>
              <w:textAlignment w:val="auto"/>
              <w:outlineLvl w:val="1"/>
              <w:rPr>
                <w:rFonts w:ascii="Arial" w:hAnsi="Arial"/>
                <w:b/>
                <w:caps/>
                <w:vanish/>
                <w:sz w:val="24"/>
                <w:lang w:val="en-US"/>
              </w:rPr>
            </w:pPr>
          </w:p>
          <w:p w14:paraId="40EBEA43" w14:textId="77777777" w:rsidR="00001FC9" w:rsidRPr="00E301C5" w:rsidRDefault="00001FC9" w:rsidP="00001FC9">
            <w:pPr>
              <w:pStyle w:val="ListParagraph"/>
              <w:keepNext/>
              <w:numPr>
                <w:ilvl w:val="2"/>
                <w:numId w:val="39"/>
              </w:numPr>
              <w:overflowPunct/>
              <w:autoSpaceDE/>
              <w:autoSpaceDN/>
              <w:adjustRightInd/>
              <w:spacing w:before="240" w:after="120"/>
              <w:contextualSpacing w:val="0"/>
              <w:jc w:val="both"/>
              <w:textAlignment w:val="auto"/>
              <w:outlineLvl w:val="2"/>
              <w:rPr>
                <w:rFonts w:ascii="Arial" w:hAnsi="Arial"/>
                <w:b/>
                <w:vanish/>
                <w:lang w:val="en-US"/>
              </w:rPr>
            </w:pPr>
          </w:p>
          <w:p w14:paraId="3586DE16" w14:textId="77777777" w:rsidR="00001FC9" w:rsidRPr="00E301C5" w:rsidRDefault="00001FC9" w:rsidP="00001FC9">
            <w:pPr>
              <w:pStyle w:val="ListParagraph"/>
              <w:numPr>
                <w:ilvl w:val="3"/>
                <w:numId w:val="39"/>
              </w:numPr>
              <w:overflowPunct/>
              <w:autoSpaceDE/>
              <w:autoSpaceDN/>
              <w:adjustRightInd/>
              <w:spacing w:before="120" w:after="120"/>
              <w:contextualSpacing w:val="0"/>
              <w:jc w:val="both"/>
              <w:textAlignment w:val="auto"/>
              <w:rPr>
                <w:rFonts w:ascii="Arial" w:hAnsi="Arial"/>
                <w:vanish/>
                <w:lang w:val="en-US"/>
              </w:rPr>
            </w:pPr>
          </w:p>
          <w:p w14:paraId="1202D25A" w14:textId="77777777" w:rsidR="00001FC9" w:rsidRPr="00E301C5" w:rsidRDefault="00001FC9" w:rsidP="00001FC9">
            <w:pPr>
              <w:pStyle w:val="ListParagraph"/>
              <w:numPr>
                <w:ilvl w:val="3"/>
                <w:numId w:val="39"/>
              </w:numPr>
              <w:overflowPunct/>
              <w:autoSpaceDE/>
              <w:autoSpaceDN/>
              <w:adjustRightInd/>
              <w:spacing w:before="120" w:after="120"/>
              <w:contextualSpacing w:val="0"/>
              <w:jc w:val="both"/>
              <w:textAlignment w:val="auto"/>
              <w:rPr>
                <w:rFonts w:ascii="Arial" w:hAnsi="Arial"/>
                <w:vanish/>
                <w:lang w:val="en-US"/>
              </w:rPr>
            </w:pPr>
          </w:p>
          <w:p w14:paraId="114C90CD" w14:textId="77777777" w:rsidR="00001FC9" w:rsidRPr="00415ADD" w:rsidRDefault="00001FC9" w:rsidP="00001FC9">
            <w:pPr>
              <w:pStyle w:val="CERLEVEL4"/>
            </w:pPr>
            <w:r>
              <w:t>The</w:t>
            </w:r>
            <w:r w:rsidRPr="00415ADD">
              <w:t xml:space="preserve"> amount of the </w:t>
            </w:r>
            <w:r>
              <w:t>T</w:t>
            </w:r>
            <w:r w:rsidRPr="00415ADD">
              <w:t xml:space="preserve">ermination </w:t>
            </w:r>
            <w:r>
              <w:t>Charge</w:t>
            </w:r>
            <w:r w:rsidRPr="00415ADD">
              <w:t xml:space="preserve"> payable </w:t>
            </w:r>
            <w:r>
              <w:t xml:space="preserve">under this section </w:t>
            </w:r>
            <w:r>
              <w:fldChar w:fldCharType="begin"/>
            </w:r>
            <w:r>
              <w:instrText xml:space="preserve"> REF _Ref461449971 \r \h </w:instrText>
            </w:r>
            <w:r>
              <w:fldChar w:fldCharType="separate"/>
            </w:r>
            <w:r>
              <w:rPr>
                <w:b/>
                <w:bCs/>
              </w:rPr>
              <w:t>J.7.</w:t>
            </w:r>
            <w:r>
              <w:fldChar w:fldCharType="end"/>
            </w:r>
            <w:r>
              <w:t xml:space="preserve"> in respect of each Capacity Market Unit shall be </w:t>
            </w:r>
            <w:r w:rsidRPr="00415ADD">
              <w:t>determined in accordance with the formula:</w:t>
            </w:r>
            <w:bookmarkEnd w:id="0"/>
          </w:p>
          <w:p w14:paraId="415BD49A" w14:textId="77777777" w:rsidR="00001FC9" w:rsidRDefault="00001FC9" w:rsidP="00001FC9">
            <w:pPr>
              <w:pStyle w:val="CERLEVEL4"/>
              <w:numPr>
                <w:ilvl w:val="0"/>
                <w:numId w:val="0"/>
              </w:numPr>
              <w:ind w:left="992" w:firstLine="448"/>
              <w:rPr>
                <w:i/>
                <w:lang w:val="en-IE"/>
              </w:rPr>
            </w:pPr>
          </w:p>
          <w:p w14:paraId="7AF7E066" w14:textId="77777777" w:rsidR="00001FC9" w:rsidRPr="00415ADD" w:rsidRDefault="00001FC9" w:rsidP="00001FC9">
            <w:pPr>
              <w:pStyle w:val="CERLEVEL4"/>
              <w:numPr>
                <w:ilvl w:val="0"/>
                <w:numId w:val="0"/>
              </w:numPr>
              <w:ind w:left="992" w:firstLine="448"/>
              <w:rPr>
                <w:i/>
                <w:lang w:val="en-IE"/>
              </w:rPr>
            </w:pPr>
            <w:r w:rsidRPr="00415ADD">
              <w:rPr>
                <w:i/>
                <w:lang w:val="en-IE"/>
              </w:rPr>
              <w:t>T</w:t>
            </w:r>
            <w:r>
              <w:rPr>
                <w:i/>
                <w:lang w:val="en-IE"/>
              </w:rPr>
              <w:t>C</w:t>
            </w:r>
            <w:r w:rsidRPr="00415ADD">
              <w:rPr>
                <w:i/>
                <w:lang w:val="en-IE"/>
              </w:rPr>
              <w:t xml:space="preserve"> = TFR x ACO </w:t>
            </w:r>
          </w:p>
          <w:p w14:paraId="12689BB3" w14:textId="77777777" w:rsidR="00001FC9" w:rsidRDefault="00001FC9" w:rsidP="00001FC9">
            <w:pPr>
              <w:pStyle w:val="CERLEVEL51"/>
            </w:pPr>
          </w:p>
          <w:p w14:paraId="5229D235" w14:textId="77777777" w:rsidR="00001FC9" w:rsidRPr="00415ADD" w:rsidRDefault="00001FC9" w:rsidP="00001FC9">
            <w:pPr>
              <w:pStyle w:val="CERLEVEL51"/>
            </w:pPr>
            <w:r w:rsidRPr="00415ADD">
              <w:t>where:</w:t>
            </w:r>
          </w:p>
          <w:p w14:paraId="29720D3A" w14:textId="77777777" w:rsidR="00001FC9" w:rsidRDefault="00001FC9" w:rsidP="00001FC9">
            <w:pPr>
              <w:pStyle w:val="CERLevel50"/>
              <w:numPr>
                <w:ilvl w:val="4"/>
                <w:numId w:val="39"/>
              </w:numPr>
              <w:ind w:left="1702"/>
            </w:pPr>
            <w:r>
              <w:t>TC is the Termination Charge payable;</w:t>
            </w:r>
          </w:p>
          <w:p w14:paraId="177238F9" w14:textId="77777777" w:rsidR="00001FC9" w:rsidRPr="00415ADD" w:rsidRDefault="00001FC9" w:rsidP="00001FC9">
            <w:pPr>
              <w:pStyle w:val="CERLevel50"/>
              <w:numPr>
                <w:ilvl w:val="4"/>
                <w:numId w:val="39"/>
              </w:numPr>
              <w:ind w:left="1702"/>
            </w:pPr>
            <w:r w:rsidRPr="00415ADD">
              <w:t xml:space="preserve">TFR is the termination fee rate for calculating Termination </w:t>
            </w:r>
            <w:r>
              <w:t>Charges</w:t>
            </w:r>
            <w:r w:rsidRPr="00E9787E">
              <w:t xml:space="preserve"> </w:t>
            </w:r>
            <w:r w:rsidRPr="00415ADD">
              <w:t xml:space="preserve">per MW </w:t>
            </w:r>
            <w:r>
              <w:t xml:space="preserve">applicable at the time the Awarded New Capacity is terminated or adjusted or the Defaulting Participant is Terminated, as </w:t>
            </w:r>
            <w:r w:rsidRPr="00415ADD">
              <w:t xml:space="preserve">determined by the Regulatory </w:t>
            </w:r>
            <w:r w:rsidRPr="00415ADD">
              <w:lastRenderedPageBreak/>
              <w:t xml:space="preserve">Authorities and </w:t>
            </w:r>
            <w:r>
              <w:t>specified</w:t>
            </w:r>
            <w:r w:rsidRPr="00415ADD">
              <w:t xml:space="preserve"> in the </w:t>
            </w:r>
            <w:r>
              <w:t>Initial</w:t>
            </w:r>
            <w:r w:rsidRPr="00415ADD">
              <w:t xml:space="preserve"> Auction Information Pack</w:t>
            </w:r>
            <w:r>
              <w:rPr>
                <w:color w:val="FF0000"/>
              </w:rPr>
              <w:t xml:space="preserve">, with relevant Date / Events used to calculate the applicable </w:t>
            </w:r>
            <w:r w:rsidRPr="00415ADD">
              <w:t>termination fee rate</w:t>
            </w:r>
            <w:r>
              <w:rPr>
                <w:color w:val="FF0000"/>
              </w:rPr>
              <w:t xml:space="preserve"> each extended by a period equal to any extension period granted under this Code including the Third Party Extension Period and Inflationary Period,</w:t>
            </w:r>
            <w:r w:rsidRPr="00415ADD">
              <w:t xml:space="preserve"> for the relevant Capacity Auction </w:t>
            </w:r>
            <w:r>
              <w:t>in which</w:t>
            </w:r>
            <w:r w:rsidRPr="00415ADD">
              <w:t xml:space="preserve"> the </w:t>
            </w:r>
            <w:r>
              <w:t xml:space="preserve">relevant </w:t>
            </w:r>
            <w:r w:rsidRPr="00415ADD">
              <w:t xml:space="preserve">Awarded New Capacity </w:t>
            </w:r>
            <w:r>
              <w:t xml:space="preserve">was allocated (and, for this purpose, where </w:t>
            </w:r>
            <w:r w:rsidRPr="00415ADD">
              <w:t xml:space="preserve">the </w:t>
            </w:r>
            <w:r>
              <w:t xml:space="preserve">Defaulting </w:t>
            </w:r>
            <w:r w:rsidRPr="00415ADD">
              <w:t xml:space="preserve">Participant’s designated </w:t>
            </w:r>
            <w:r>
              <w:t>c</w:t>
            </w:r>
            <w:r w:rsidRPr="00415ADD">
              <w:t>urrency</w:t>
            </w:r>
            <w:r>
              <w:t xml:space="preserve"> is Sterling, </w:t>
            </w:r>
            <w:r w:rsidRPr="00415ADD">
              <w:t>th</w:t>
            </w:r>
            <w:r>
              <w:t>at</w:t>
            </w:r>
            <w:r w:rsidRPr="00415ADD">
              <w:t xml:space="preserve"> </w:t>
            </w:r>
            <w:r>
              <w:t>termination fee rate shall be</w:t>
            </w:r>
            <w:r w:rsidRPr="00717A0A">
              <w:t xml:space="preserve"> </w:t>
            </w:r>
            <w:r>
              <w:t xml:space="preserve">converted to Sterling </w:t>
            </w:r>
            <w:r w:rsidRPr="00415ADD">
              <w:t xml:space="preserve">based on the Annual Capacity Payment Exchange Rate specified in the applicable </w:t>
            </w:r>
            <w:r>
              <w:t xml:space="preserve">Final Auction Information Pack) </w:t>
            </w:r>
            <w:r w:rsidRPr="00415ADD">
              <w:t xml:space="preserve">; and </w:t>
            </w:r>
          </w:p>
          <w:p w14:paraId="14006633" w14:textId="77777777" w:rsidR="00001FC9" w:rsidRPr="0093533F" w:rsidRDefault="00001FC9" w:rsidP="00001FC9">
            <w:pPr>
              <w:pStyle w:val="CERLevel50"/>
              <w:numPr>
                <w:ilvl w:val="4"/>
                <w:numId w:val="39"/>
              </w:numPr>
              <w:ind w:left="1702"/>
              <w:rPr>
                <w:rFonts w:cs="Arial"/>
                <w:b/>
                <w:bCs/>
                <w:sz w:val="20"/>
                <w:szCs w:val="20"/>
              </w:rPr>
            </w:pPr>
            <w:r w:rsidRPr="00415ADD">
              <w:t xml:space="preserve">ACO </w:t>
            </w:r>
            <w:r>
              <w:t xml:space="preserve">(expressed </w:t>
            </w:r>
            <w:r w:rsidRPr="00415ADD">
              <w:t>in MW</w:t>
            </w:r>
            <w:r>
              <w:t>)</w:t>
            </w:r>
            <w:r w:rsidRPr="00415ADD">
              <w:t xml:space="preserve"> is the amount of the </w:t>
            </w:r>
            <w:r>
              <w:t xml:space="preserve">relevant </w:t>
            </w:r>
            <w:r w:rsidRPr="00415ADD">
              <w:t xml:space="preserve">Awarded New Capacity, or, if the </w:t>
            </w:r>
            <w:r>
              <w:t xml:space="preserve">relevant </w:t>
            </w:r>
            <w:r w:rsidRPr="00415ADD">
              <w:t xml:space="preserve">Awarded New Capacity has been reduced, the amount by which it has reduced. </w:t>
            </w:r>
          </w:p>
          <w:p w14:paraId="6E5D7FC7" w14:textId="77777777" w:rsidR="00001FC9" w:rsidRDefault="00001FC9" w:rsidP="00001FC9">
            <w:pPr>
              <w:pStyle w:val="CERLEVEL4"/>
              <w:numPr>
                <w:ilvl w:val="0"/>
                <w:numId w:val="0"/>
              </w:numPr>
              <w:ind w:left="992"/>
              <w:rPr>
                <w:color w:val="FF0000"/>
              </w:rPr>
            </w:pPr>
            <w:r>
              <w:rPr>
                <w:color w:val="FF0000"/>
              </w:rPr>
              <w:t xml:space="preserve">Where a Capacity Market Unit has received multiple extensions under this Code, the extension applied to each of the Date / Events used to calculate the applicable TFR, will be equal to the longest single extension period. </w:t>
            </w:r>
          </w:p>
          <w:p w14:paraId="771A52EC" w14:textId="77777777" w:rsidR="00001FC9" w:rsidRPr="00001FC9" w:rsidDel="00404964" w:rsidRDefault="00001FC9" w:rsidP="46090BAA">
            <w:pPr>
              <w:overflowPunct/>
              <w:autoSpaceDE/>
              <w:autoSpaceDN/>
              <w:adjustRightInd/>
              <w:spacing w:before="120" w:after="120"/>
              <w:textAlignment w:val="auto"/>
              <w:rPr>
                <w:rFonts w:ascii="Arial" w:eastAsia="Arial" w:hAnsi="Arial" w:cs="Arial"/>
                <w:color w:val="333333"/>
              </w:rPr>
            </w:pPr>
          </w:p>
          <w:p w14:paraId="283EC240" w14:textId="3E4E62DB" w:rsidR="00692E32" w:rsidRPr="0099547D" w:rsidDel="00404964" w:rsidRDefault="00692E32" w:rsidP="46090BAA">
            <w:pPr>
              <w:overflowPunct/>
              <w:autoSpaceDE/>
              <w:autoSpaceDN/>
              <w:adjustRightInd/>
              <w:spacing w:before="120" w:after="120"/>
              <w:jc w:val="both"/>
              <w:textAlignment w:val="auto"/>
              <w:rPr>
                <w:rFonts w:ascii="Arial" w:hAnsi="Arial" w:cs="Arial"/>
                <w:color w:val="FF0000"/>
              </w:rPr>
            </w:pPr>
          </w:p>
        </w:tc>
      </w:tr>
      <w:tr w:rsidR="00C22D11" w:rsidRPr="004C53E7" w14:paraId="1431BD52" w14:textId="77777777" w:rsidTr="46090BAA">
        <w:tc>
          <w:tcPr>
            <w:tcW w:w="9450" w:type="dxa"/>
            <w:gridSpan w:val="6"/>
            <w:shd w:val="clear" w:color="auto" w:fill="C6D9F1" w:themeFill="text2" w:themeFillTint="33"/>
            <w:vAlign w:val="center"/>
          </w:tcPr>
          <w:p w14:paraId="6E4ABEE7"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448A998E"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38EEC662" w14:textId="77777777" w:rsidTr="46090BAA">
        <w:tc>
          <w:tcPr>
            <w:tcW w:w="9450" w:type="dxa"/>
            <w:gridSpan w:val="6"/>
            <w:vAlign w:val="center"/>
          </w:tcPr>
          <w:p w14:paraId="0AAED129" w14:textId="415F1C4D" w:rsidR="00DF6BB7" w:rsidRDefault="00716DF7" w:rsidP="00584447">
            <w:pPr>
              <w:pStyle w:val="Default"/>
              <w:rPr>
                <w:sz w:val="20"/>
                <w:szCs w:val="20"/>
              </w:rPr>
            </w:pPr>
            <w:r>
              <w:rPr>
                <w:sz w:val="20"/>
                <w:szCs w:val="20"/>
              </w:rPr>
              <w:t xml:space="preserve">CMC_15_22 allows extensions to projects which incur delays as a result of third-party challenges to planning applications, which are beyond the control of the participant. Such instances would result in these New Capacity projects becoming misaligned with the timing for Performance Security postings. </w:t>
            </w:r>
            <w:r w:rsidR="001042DD">
              <w:rPr>
                <w:sz w:val="20"/>
                <w:szCs w:val="20"/>
              </w:rPr>
              <w:t xml:space="preserve">In effect, projects which receive an extension under CMC_15_22 will be required to commit to provision of Performance Securities at a stage where they are less progressed relative to </w:t>
            </w:r>
            <w:r w:rsidR="000F38F6">
              <w:rPr>
                <w:sz w:val="20"/>
                <w:szCs w:val="20"/>
              </w:rPr>
              <w:t xml:space="preserve">projects which have not been subject to third-party challenge. </w:t>
            </w:r>
          </w:p>
          <w:p w14:paraId="52F5F1C3" w14:textId="77777777" w:rsidR="000F38F6" w:rsidRDefault="000F38F6" w:rsidP="00584447">
            <w:pPr>
              <w:pStyle w:val="Default"/>
              <w:rPr>
                <w:sz w:val="20"/>
                <w:szCs w:val="20"/>
              </w:rPr>
            </w:pPr>
          </w:p>
          <w:p w14:paraId="5338B95F" w14:textId="5C223FF2" w:rsidR="00584447" w:rsidRDefault="001042DD" w:rsidP="00584447">
            <w:pPr>
              <w:pStyle w:val="Default"/>
              <w:rPr>
                <w:sz w:val="20"/>
                <w:szCs w:val="20"/>
              </w:rPr>
            </w:pPr>
            <w:r w:rsidRPr="46090BAA">
              <w:rPr>
                <w:sz w:val="20"/>
                <w:szCs w:val="20"/>
              </w:rPr>
              <w:t xml:space="preserve">This represents a greater risk for these projects. </w:t>
            </w:r>
            <w:r w:rsidR="00DF6BB7" w:rsidRPr="46090BAA">
              <w:rPr>
                <w:sz w:val="20"/>
                <w:szCs w:val="20"/>
              </w:rPr>
              <w:t>Typically, the highest rate of Performance Security posting occurs 13 months out from the expected delivery date. Under CMC_15_22, a project’s expected delivery date is amended. This would mean that a project would need to post the highest Performance Security when it is less developed and at greater risk of termination. This requirement to post a high level of Performance Security, at a point when</w:t>
            </w:r>
            <w:r w:rsidR="00692E32" w:rsidRPr="46090BAA">
              <w:rPr>
                <w:sz w:val="20"/>
                <w:szCs w:val="20"/>
              </w:rPr>
              <w:t xml:space="preserve"> a project is not substantially progressed,</w:t>
            </w:r>
            <w:r w:rsidR="2CE48B92" w:rsidRPr="46090BAA">
              <w:rPr>
                <w:sz w:val="20"/>
                <w:szCs w:val="20"/>
              </w:rPr>
              <w:t xml:space="preserve"> is disproportionate and</w:t>
            </w:r>
            <w:r w:rsidR="00692E32" w:rsidRPr="46090BAA">
              <w:rPr>
                <w:sz w:val="20"/>
                <w:szCs w:val="20"/>
              </w:rPr>
              <w:t xml:space="preserve"> will make it very difficult to secure investment sign-off. </w:t>
            </w:r>
          </w:p>
          <w:p w14:paraId="4923094A" w14:textId="602824C9" w:rsidR="001042DD" w:rsidRDefault="001042DD" w:rsidP="00584447">
            <w:pPr>
              <w:pStyle w:val="Default"/>
              <w:rPr>
                <w:sz w:val="20"/>
                <w:szCs w:val="20"/>
              </w:rPr>
            </w:pPr>
          </w:p>
          <w:p w14:paraId="140B914B" w14:textId="6C56D605" w:rsidR="00C22D11" w:rsidRDefault="001042DD" w:rsidP="00692E32">
            <w:pPr>
              <w:pStyle w:val="Default"/>
              <w:rPr>
                <w:sz w:val="20"/>
                <w:szCs w:val="20"/>
              </w:rPr>
            </w:pPr>
            <w:r w:rsidRPr="46090BAA">
              <w:rPr>
                <w:sz w:val="20"/>
                <w:szCs w:val="20"/>
              </w:rPr>
              <w:t xml:space="preserve">This is problematic as an extension under CMC_15_22 is reserved for instances where the delay is beyond the control of a Participant and has occurred solely due to a challenge from a third-party. It </w:t>
            </w:r>
            <w:r w:rsidR="00DF6BB7" w:rsidRPr="46090BAA">
              <w:rPr>
                <w:sz w:val="20"/>
                <w:szCs w:val="20"/>
              </w:rPr>
              <w:t>would thus seem</w:t>
            </w:r>
            <w:r w:rsidRPr="46090BAA">
              <w:rPr>
                <w:sz w:val="20"/>
                <w:szCs w:val="20"/>
              </w:rPr>
              <w:t xml:space="preserve"> unfair that the consequences of such an extension are </w:t>
            </w:r>
            <w:r w:rsidR="00DF6BB7" w:rsidRPr="46090BAA">
              <w:rPr>
                <w:sz w:val="20"/>
                <w:szCs w:val="20"/>
              </w:rPr>
              <w:t xml:space="preserve">detrimental to a project’s feasibility. </w:t>
            </w:r>
            <w:r w:rsidR="35F31E79" w:rsidRPr="46090BAA">
              <w:rPr>
                <w:sz w:val="20"/>
                <w:szCs w:val="20"/>
              </w:rPr>
              <w:t xml:space="preserve">This appears to be an unintended consequence of CMC_15_22. </w:t>
            </w:r>
          </w:p>
          <w:p w14:paraId="795154B5" w14:textId="77777777" w:rsidR="00692E32" w:rsidRDefault="00692E32" w:rsidP="00692E32">
            <w:pPr>
              <w:pStyle w:val="Default"/>
              <w:rPr>
                <w:sz w:val="20"/>
                <w:szCs w:val="20"/>
              </w:rPr>
            </w:pPr>
          </w:p>
          <w:p w14:paraId="1C2EFF15" w14:textId="35C6C2FB" w:rsidR="00692E32" w:rsidRPr="00692E32" w:rsidRDefault="00692E32" w:rsidP="3FFB2A2D">
            <w:pPr>
              <w:pStyle w:val="Default"/>
              <w:rPr>
                <w:sz w:val="20"/>
                <w:szCs w:val="20"/>
              </w:rPr>
            </w:pPr>
            <w:r w:rsidRPr="3FFB2A2D">
              <w:rPr>
                <w:sz w:val="20"/>
                <w:szCs w:val="20"/>
              </w:rPr>
              <w:t xml:space="preserve">Implementing this modification would ensure consistency with the timing for Performance Security postings for CMC_15_22 projects, relative to their delivery progression. </w:t>
            </w:r>
          </w:p>
          <w:p w14:paraId="422C4F66" w14:textId="1CB12FCC" w:rsidR="00692E32" w:rsidRPr="00692E32" w:rsidRDefault="00692E32" w:rsidP="00692E32">
            <w:pPr>
              <w:pStyle w:val="Default"/>
              <w:rPr>
                <w:sz w:val="20"/>
                <w:szCs w:val="20"/>
              </w:rPr>
            </w:pPr>
          </w:p>
        </w:tc>
      </w:tr>
      <w:tr w:rsidR="00C22D11" w:rsidRPr="004C53E7" w14:paraId="66FC7719" w14:textId="77777777" w:rsidTr="46090BAA">
        <w:tc>
          <w:tcPr>
            <w:tcW w:w="9450" w:type="dxa"/>
            <w:gridSpan w:val="6"/>
            <w:shd w:val="clear" w:color="auto" w:fill="C6D9F1" w:themeFill="text2" w:themeFillTint="33"/>
            <w:vAlign w:val="center"/>
          </w:tcPr>
          <w:p w14:paraId="3B3D7EA2"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412FEF4F"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5F219BB6" w14:textId="77777777" w:rsidTr="46090BAA">
        <w:tc>
          <w:tcPr>
            <w:tcW w:w="9450" w:type="dxa"/>
            <w:gridSpan w:val="6"/>
            <w:vAlign w:val="center"/>
          </w:tcPr>
          <w:p w14:paraId="7E71EC45" w14:textId="77777777" w:rsidR="004169DD" w:rsidRDefault="004169DD" w:rsidP="004169DD">
            <w:pPr>
              <w:pStyle w:val="Default"/>
            </w:pPr>
          </w:p>
          <w:p w14:paraId="7C2313E0" w14:textId="77777777" w:rsidR="00692E32" w:rsidRPr="00415ADD" w:rsidRDefault="00692E32" w:rsidP="00692E32">
            <w:pPr>
              <w:pStyle w:val="CERLEVEL4"/>
              <w:rPr>
                <w:lang w:val="en-IE"/>
              </w:rPr>
            </w:pPr>
            <w:r w:rsidRPr="00415ADD">
              <w:rPr>
                <w:lang w:val="en-IE"/>
              </w:rPr>
              <w:t>This Code is designed to facilitate achievement of the following objectives (the “</w:t>
            </w:r>
            <w:r w:rsidRPr="00415ADD">
              <w:rPr>
                <w:b/>
                <w:lang w:val="en-IE"/>
              </w:rPr>
              <w:t>Capacity Market Code Objectives</w:t>
            </w:r>
            <w:r w:rsidRPr="00415ADD">
              <w:rPr>
                <w:lang w:val="en-IE"/>
              </w:rPr>
              <w:t xml:space="preserve">”): </w:t>
            </w:r>
          </w:p>
          <w:p w14:paraId="6EAE914D" w14:textId="77777777" w:rsidR="00692E32" w:rsidRDefault="00692E32" w:rsidP="00692E32">
            <w:pPr>
              <w:pStyle w:val="CERLEVEL5"/>
              <w:numPr>
                <w:ilvl w:val="4"/>
                <w:numId w:val="41"/>
              </w:numPr>
            </w:pPr>
            <w:r w:rsidRPr="00692E32">
              <w:rPr>
                <w:lang w:val="en-IE"/>
              </w:rPr>
              <w:t xml:space="preserve">to facilitate the efficient, economic and coordinated operation, administration and development of the Capacity Market and the provision of adequate future capacity in a financially secure </w:t>
            </w:r>
            <w:proofErr w:type="gramStart"/>
            <w:r w:rsidRPr="00692E32">
              <w:rPr>
                <w:lang w:val="en-IE"/>
              </w:rPr>
              <w:t>manner;</w:t>
            </w:r>
            <w:proofErr w:type="gramEnd"/>
            <w:r w:rsidRPr="00761A41">
              <w:t xml:space="preserve"> </w:t>
            </w:r>
          </w:p>
          <w:p w14:paraId="3A0937B3" w14:textId="77777777" w:rsidR="00692E32" w:rsidRDefault="00692E32" w:rsidP="00692E32">
            <w:pPr>
              <w:pStyle w:val="CERLEVEL5"/>
              <w:ind w:left="1701"/>
            </w:pPr>
            <w:r w:rsidRPr="00415ADD">
              <w:rPr>
                <w:lang w:val="en-IE"/>
              </w:rPr>
              <w:t xml:space="preserve">to facilitate the participation of undertakings including electricity undertakings engaged or seeking to be engaged in the provision of </w:t>
            </w:r>
            <w:r>
              <w:rPr>
                <w:lang w:val="en-IE"/>
              </w:rPr>
              <w:t>e</w:t>
            </w:r>
            <w:r w:rsidRPr="00415ADD">
              <w:rPr>
                <w:lang w:val="en-IE"/>
              </w:rPr>
              <w:t xml:space="preserve">lectricity </w:t>
            </w:r>
            <w:r>
              <w:rPr>
                <w:lang w:val="en-IE"/>
              </w:rPr>
              <w:t>c</w:t>
            </w:r>
            <w:r w:rsidRPr="00415ADD">
              <w:rPr>
                <w:lang w:val="en-IE"/>
              </w:rPr>
              <w:t>apacity in the Capacity Market;</w:t>
            </w:r>
            <w:r w:rsidRPr="00761A41">
              <w:t xml:space="preserve"> </w:t>
            </w:r>
          </w:p>
          <w:p w14:paraId="0EAAAA44" w14:textId="77777777" w:rsidR="00692E32" w:rsidRDefault="00692E32" w:rsidP="00692E32">
            <w:pPr>
              <w:pStyle w:val="CERLEVEL5"/>
              <w:ind w:left="1701"/>
            </w:pPr>
            <w:r w:rsidRPr="00415ADD">
              <w:rPr>
                <w:lang w:val="en-IE"/>
              </w:rPr>
              <w:lastRenderedPageBreak/>
              <w:t xml:space="preserve">to promote competition in the provision of </w:t>
            </w:r>
            <w:r>
              <w:rPr>
                <w:lang w:val="en-IE"/>
              </w:rPr>
              <w:t>e</w:t>
            </w:r>
            <w:r w:rsidRPr="00415ADD">
              <w:rPr>
                <w:lang w:val="en-IE"/>
              </w:rPr>
              <w:t xml:space="preserve">lectricity </w:t>
            </w:r>
            <w:r>
              <w:rPr>
                <w:lang w:val="en-IE"/>
              </w:rPr>
              <w:t>c</w:t>
            </w:r>
            <w:r w:rsidRPr="00415ADD">
              <w:rPr>
                <w:lang w:val="en-IE"/>
              </w:rPr>
              <w:t>apacity to the SEM;</w:t>
            </w:r>
            <w:r w:rsidRPr="00761A41">
              <w:t xml:space="preserve"> </w:t>
            </w:r>
          </w:p>
          <w:p w14:paraId="4452BD2F" w14:textId="77777777" w:rsidR="00692E32" w:rsidRDefault="00692E32" w:rsidP="00692E32">
            <w:pPr>
              <w:pStyle w:val="CERLEVEL5"/>
              <w:ind w:left="1701"/>
            </w:pPr>
            <w:r w:rsidRPr="00761A41">
              <w:rPr>
                <w:lang w:val="en-IE"/>
              </w:rPr>
              <w:t xml:space="preserve">to provide transparency in the operation of the SEM; </w:t>
            </w:r>
          </w:p>
          <w:p w14:paraId="202BF96D" w14:textId="77777777" w:rsidR="00692E32" w:rsidRDefault="00692E32" w:rsidP="00692E32">
            <w:pPr>
              <w:pStyle w:val="CERLEVEL5"/>
              <w:ind w:left="1701"/>
            </w:pPr>
            <w:r w:rsidRPr="00415ADD">
              <w:rPr>
                <w:lang w:val="en-IE"/>
              </w:rPr>
              <w:t xml:space="preserve">through the development of the Capacity Market, to promote the short-term and long-term interests of consumers of electricity with respect to price, quality, reliability, and security of supply of electricity across the </w:t>
            </w:r>
            <w:r>
              <w:rPr>
                <w:lang w:val="en-IE"/>
              </w:rPr>
              <w:t>I</w:t>
            </w:r>
            <w:r w:rsidRPr="00415ADD">
              <w:rPr>
                <w:lang w:val="en-IE"/>
              </w:rPr>
              <w:t xml:space="preserve">sland of Ireland. </w:t>
            </w:r>
          </w:p>
          <w:p w14:paraId="73820C5F" w14:textId="77777777" w:rsidR="00F76C97" w:rsidRPr="003B1258" w:rsidRDefault="00F76C97" w:rsidP="008A331A">
            <w:pPr>
              <w:pStyle w:val="CERLEVEL5"/>
              <w:numPr>
                <w:ilvl w:val="0"/>
                <w:numId w:val="0"/>
              </w:numPr>
            </w:pPr>
          </w:p>
        </w:tc>
      </w:tr>
      <w:tr w:rsidR="00C22D11" w:rsidRPr="004C53E7" w14:paraId="562C212D" w14:textId="77777777" w:rsidTr="46090BAA">
        <w:tc>
          <w:tcPr>
            <w:tcW w:w="9450" w:type="dxa"/>
            <w:gridSpan w:val="6"/>
            <w:shd w:val="clear" w:color="auto" w:fill="C6D9F1" w:themeFill="text2" w:themeFillTint="33"/>
            <w:vAlign w:val="center"/>
          </w:tcPr>
          <w:p w14:paraId="275F710E"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1380FB0F"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70E6EB46" w14:textId="77777777" w:rsidTr="46090BAA">
        <w:tc>
          <w:tcPr>
            <w:tcW w:w="9450" w:type="dxa"/>
            <w:gridSpan w:val="6"/>
            <w:vAlign w:val="center"/>
          </w:tcPr>
          <w:p w14:paraId="359A060D" w14:textId="7BC54448" w:rsidR="00F76C97" w:rsidRPr="003B7AB6" w:rsidRDefault="00E81264" w:rsidP="3FFB2A2D">
            <w:pPr>
              <w:rPr>
                <w:rFonts w:ascii="Arial" w:hAnsi="Arial" w:cs="Arial"/>
                <w:lang w:val="en-IE"/>
              </w:rPr>
            </w:pPr>
            <w:r w:rsidRPr="3FFB2A2D">
              <w:rPr>
                <w:rFonts w:ascii="Arial" w:hAnsi="Arial" w:cs="Arial"/>
                <w:lang w:val="en-IE"/>
              </w:rPr>
              <w:t xml:space="preserve">Failure to implement this modification will result in undue risk exposure for New Capacity projects which have received a no-fault extension under CMC_15_22. This is detrimental to Security of Supply and unfair on projects which have been delayed as a result of unsuccessful third-party challenges. </w:t>
            </w:r>
            <w:r w:rsidR="002A4F5B" w:rsidRPr="3FFB2A2D">
              <w:rPr>
                <w:rFonts w:ascii="Arial" w:hAnsi="Arial" w:cs="Arial"/>
                <w:lang w:val="en-IE"/>
              </w:rPr>
              <w:t xml:space="preserve">This risk exposure may ultimately result in projects being unable to secure investment which is an impediment to Security of Supply and consumer good. </w:t>
            </w:r>
          </w:p>
        </w:tc>
      </w:tr>
      <w:tr w:rsidR="009342A5" w:rsidRPr="004C53E7" w14:paraId="225676CB" w14:textId="77777777" w:rsidTr="46090BAA">
        <w:trPr>
          <w:trHeight w:val="507"/>
        </w:trPr>
        <w:tc>
          <w:tcPr>
            <w:tcW w:w="9450" w:type="dxa"/>
            <w:gridSpan w:val="6"/>
            <w:shd w:val="clear" w:color="auto" w:fill="C6D9F1" w:themeFill="text2" w:themeFillTint="33"/>
            <w:vAlign w:val="center"/>
          </w:tcPr>
          <w:p w14:paraId="65DCD25D"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637F3664"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362EFBCF" w14:textId="77777777" w:rsidTr="46090BAA">
        <w:trPr>
          <w:trHeight w:val="507"/>
        </w:trPr>
        <w:tc>
          <w:tcPr>
            <w:tcW w:w="9450" w:type="dxa"/>
            <w:gridSpan w:val="6"/>
            <w:vAlign w:val="center"/>
          </w:tcPr>
          <w:p w14:paraId="6A1802C4" w14:textId="77777777" w:rsidR="00C00A34" w:rsidRPr="004C53E7" w:rsidDel="00404964" w:rsidRDefault="00C00A34" w:rsidP="00C829A3">
            <w:pPr>
              <w:pStyle w:val="Default"/>
              <w:rPr>
                <w:rFonts w:ascii="Calibri" w:hAnsi="Calibri"/>
                <w:lang w:val="en-IE"/>
              </w:rPr>
            </w:pPr>
          </w:p>
        </w:tc>
      </w:tr>
      <w:tr w:rsidR="00C22D11" w:rsidRPr="004C53E7" w14:paraId="7C83E4B7" w14:textId="77777777" w:rsidTr="46090BAA">
        <w:tc>
          <w:tcPr>
            <w:tcW w:w="9450" w:type="dxa"/>
            <w:gridSpan w:val="6"/>
            <w:vAlign w:val="center"/>
          </w:tcPr>
          <w:p w14:paraId="437F0F89" w14:textId="77777777" w:rsidR="00C22D11" w:rsidRPr="004C53E7" w:rsidRDefault="00C22D11" w:rsidP="008A331A">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9" w:history="1">
              <w:r w:rsidR="008A331A" w:rsidRPr="006475CC">
                <w:rPr>
                  <w:rStyle w:val="Hyperlink"/>
                  <w:rFonts w:ascii="Calibri" w:hAnsi="Calibri" w:cs="Arial"/>
                  <w:b/>
                  <w:bCs/>
                  <w:i/>
                  <w:iCs/>
                  <w:lang w:val="en-IE"/>
                </w:rPr>
                <w:t>CapacityModifications@sem-o.com</w:t>
              </w:r>
            </w:hyperlink>
            <w:r w:rsidR="008A331A">
              <w:rPr>
                <w:rFonts w:ascii="Calibri" w:hAnsi="Calibri" w:cs="Arial"/>
                <w:b/>
                <w:bCs/>
                <w:i/>
                <w:iCs/>
                <w:lang w:val="en-IE"/>
              </w:rPr>
              <w:t xml:space="preserve"> </w:t>
            </w:r>
            <w:r w:rsidR="00733092">
              <w:rPr>
                <w:rFonts w:ascii="Calibri" w:hAnsi="Calibri" w:cs="Arial"/>
                <w:b/>
                <w:bCs/>
                <w:i/>
                <w:iCs/>
                <w:lang w:val="en-IE"/>
              </w:rPr>
              <w:t xml:space="preserve"> </w:t>
            </w:r>
          </w:p>
        </w:tc>
      </w:tr>
    </w:tbl>
    <w:p w14:paraId="6AEA3A89"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36D495ED"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14887E31"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535DD027" w14:textId="77777777" w:rsidR="008A331A" w:rsidRDefault="008A331A" w:rsidP="008A331A">
      <w:pPr>
        <w:overflowPunct/>
        <w:autoSpaceDE/>
        <w:adjustRightInd/>
        <w:spacing w:after="200" w:line="276" w:lineRule="auto"/>
        <w:rPr>
          <w:rFonts w:ascii="Arial" w:hAnsi="Arial" w:cs="Arial"/>
          <w:b/>
          <w:sz w:val="16"/>
          <w:szCs w:val="16"/>
          <w:lang w:val="en-US" w:eastAsia="en-US"/>
        </w:rPr>
      </w:pPr>
    </w:p>
    <w:p w14:paraId="51074467" w14:textId="77777777" w:rsidR="008A331A" w:rsidRDefault="008A331A" w:rsidP="008A331A">
      <w:pPr>
        <w:jc w:val="center"/>
        <w:rPr>
          <w:rFonts w:ascii="Calibri" w:hAnsi="Calibri" w:cs="Arial"/>
          <w:b/>
        </w:rPr>
      </w:pPr>
      <w:r>
        <w:rPr>
          <w:rFonts w:ascii="Calibri" w:hAnsi="Calibri" w:cs="Arial"/>
          <w:b/>
        </w:rPr>
        <w:t>Notes on completing Modification Proposal Form:</w:t>
      </w:r>
    </w:p>
    <w:p w14:paraId="1ED81443" w14:textId="77777777" w:rsidR="008A331A" w:rsidRDefault="008A331A" w:rsidP="008A331A">
      <w:pPr>
        <w:jc w:val="center"/>
        <w:rPr>
          <w:rFonts w:ascii="Calibri" w:hAnsi="Calibri" w:cs="Arial"/>
          <w:b/>
        </w:rPr>
      </w:pPr>
    </w:p>
    <w:p w14:paraId="628E16F2" w14:textId="77777777" w:rsidR="008A331A" w:rsidRDefault="008A331A" w:rsidP="008A331A">
      <w:pPr>
        <w:pStyle w:val="Body1"/>
        <w:numPr>
          <w:ilvl w:val="0"/>
          <w:numId w:val="1"/>
        </w:numPr>
        <w:jc w:val="both"/>
        <w:textAlignment w:val="auto"/>
        <w:rPr>
          <w:rFonts w:ascii="Arial" w:hAnsi="Arial" w:cs="Arial"/>
          <w:b/>
          <w:sz w:val="16"/>
          <w:szCs w:val="16"/>
          <w:lang w:val="en-US" w:eastAsia="en-US"/>
        </w:rPr>
      </w:pPr>
      <w:r>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00131C22"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14:paraId="782AEC23"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21B1E5DE"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IE"/>
        </w:rPr>
        <w:t xml:space="preserve">For the purposes of this </w:t>
      </w:r>
      <w:r>
        <w:rPr>
          <w:rFonts w:ascii="Arial" w:hAnsi="Arial" w:cs="Arial"/>
          <w:b/>
          <w:sz w:val="16"/>
          <w:szCs w:val="16"/>
          <w:lang w:val="en-US" w:eastAsia="en-US"/>
        </w:rPr>
        <w:t>Modification Proposal Form</w:t>
      </w:r>
      <w:r>
        <w:rPr>
          <w:rFonts w:ascii="Arial" w:hAnsi="Arial" w:cs="Arial"/>
          <w:b/>
          <w:sz w:val="16"/>
          <w:szCs w:val="16"/>
          <w:lang w:val="en-IE"/>
        </w:rPr>
        <w:t>, the following terms shall have the following meanings:</w:t>
      </w:r>
    </w:p>
    <w:p w14:paraId="40CC2D2C" w14:textId="77777777" w:rsidR="008A331A" w:rsidRDefault="008A331A" w:rsidP="008A331A">
      <w:pPr>
        <w:jc w:val="both"/>
        <w:rPr>
          <w:rFonts w:ascii="Arial" w:hAnsi="Arial" w:cs="Arial"/>
          <w:b/>
          <w:sz w:val="16"/>
          <w:szCs w:val="16"/>
          <w:lang w:val="en-IE"/>
        </w:rPr>
      </w:pPr>
    </w:p>
    <w:p w14:paraId="73EDBB4F" w14:textId="77777777" w:rsidR="008A331A" w:rsidRDefault="008A331A" w:rsidP="008A331A">
      <w:pPr>
        <w:ind w:left="2880" w:hanging="2160"/>
        <w:jc w:val="both"/>
        <w:rPr>
          <w:rFonts w:ascii="Arial" w:hAnsi="Arial" w:cs="Arial"/>
          <w:b/>
          <w:sz w:val="16"/>
          <w:szCs w:val="16"/>
          <w:lang w:val="en-IE"/>
        </w:rPr>
      </w:pPr>
      <w:r>
        <w:rPr>
          <w:rFonts w:ascii="Arial" w:hAnsi="Arial" w:cs="Arial"/>
          <w:b/>
          <w:sz w:val="16"/>
          <w:szCs w:val="16"/>
          <w:lang w:val="en-IE"/>
        </w:rPr>
        <w:t xml:space="preserve">CMC / </w:t>
      </w:r>
      <w:proofErr w:type="gramStart"/>
      <w:r>
        <w:rPr>
          <w:rFonts w:ascii="Arial" w:hAnsi="Arial" w:cs="Arial"/>
          <w:b/>
          <w:sz w:val="16"/>
          <w:szCs w:val="16"/>
          <w:lang w:val="en-IE"/>
        </w:rPr>
        <w:t>Code:</w:t>
      </w:r>
      <w:proofErr w:type="gramEnd"/>
      <w:r>
        <w:rPr>
          <w:rFonts w:ascii="Arial" w:hAnsi="Arial" w:cs="Arial"/>
          <w:b/>
          <w:sz w:val="16"/>
          <w:szCs w:val="16"/>
          <w:lang w:val="en-IE"/>
        </w:rPr>
        <w:tab/>
        <w:t>means the Capacity Market Code for the Single Electricity Market</w:t>
      </w:r>
    </w:p>
    <w:p w14:paraId="0237CD19"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Modification Proposal:</w:t>
      </w:r>
      <w:r>
        <w:rPr>
          <w:rFonts w:ascii="Arial" w:hAnsi="Arial" w:cs="Arial"/>
          <w:b/>
          <w:sz w:val="16"/>
          <w:szCs w:val="16"/>
          <w:lang w:val="en-IE"/>
        </w:rPr>
        <w:tab/>
        <w:t xml:space="preserve">means the proposal to modify the Code as set out in the attached </w:t>
      </w:r>
      <w:proofErr w:type="gramStart"/>
      <w:r>
        <w:rPr>
          <w:rFonts w:ascii="Arial" w:hAnsi="Arial" w:cs="Arial"/>
          <w:b/>
          <w:sz w:val="16"/>
          <w:szCs w:val="16"/>
          <w:lang w:val="en-IE"/>
        </w:rPr>
        <w:t>form</w:t>
      </w:r>
      <w:proofErr w:type="gramEnd"/>
    </w:p>
    <w:p w14:paraId="31C3F440"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Derivative Work:</w:t>
      </w:r>
      <w:r>
        <w:rPr>
          <w:rFonts w:ascii="Arial" w:hAnsi="Arial" w:cs="Arial"/>
          <w:b/>
          <w:sz w:val="16"/>
          <w:szCs w:val="16"/>
          <w:lang w:val="en-IE"/>
        </w:rPr>
        <w:tab/>
        <w:t xml:space="preserve">means any text or work which incorporates </w:t>
      </w:r>
      <w:r>
        <w:rPr>
          <w:rFonts w:ascii="Arial" w:hAnsi="Arial" w:cs="Arial"/>
          <w:b/>
          <w:sz w:val="16"/>
          <w:szCs w:val="16"/>
        </w:rPr>
        <w:t xml:space="preserve">or contains all or part of the Modification Proposal or any adaptation, abridgement, </w:t>
      </w:r>
      <w:proofErr w:type="gramStart"/>
      <w:r>
        <w:rPr>
          <w:rFonts w:ascii="Arial" w:hAnsi="Arial" w:cs="Arial"/>
          <w:b/>
          <w:sz w:val="16"/>
          <w:szCs w:val="16"/>
        </w:rPr>
        <w:t>expansion</w:t>
      </w:r>
      <w:proofErr w:type="gramEnd"/>
      <w:r>
        <w:rPr>
          <w:rFonts w:ascii="Arial" w:hAnsi="Arial" w:cs="Arial"/>
          <w:b/>
          <w:sz w:val="16"/>
          <w:szCs w:val="16"/>
        </w:rPr>
        <w:t xml:space="preserve"> or other modification</w:t>
      </w:r>
      <w:r>
        <w:rPr>
          <w:rFonts w:ascii="Arial" w:hAnsi="Arial" w:cs="Arial"/>
          <w:b/>
          <w:sz w:val="16"/>
          <w:szCs w:val="16"/>
          <w:lang w:val="en-IE"/>
        </w:rPr>
        <w:t xml:space="preserve"> of the Modification Proposal</w:t>
      </w:r>
    </w:p>
    <w:p w14:paraId="457E0F9F" w14:textId="77777777" w:rsidR="008A331A" w:rsidRDefault="008A331A" w:rsidP="008A331A">
      <w:pPr>
        <w:jc w:val="both"/>
        <w:rPr>
          <w:rFonts w:ascii="Arial" w:hAnsi="Arial" w:cs="Arial"/>
          <w:b/>
          <w:sz w:val="16"/>
          <w:szCs w:val="16"/>
          <w:lang w:val="en-IE"/>
        </w:rPr>
      </w:pPr>
    </w:p>
    <w:p w14:paraId="102A2579"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 xml:space="preserve">The terms “System Operators” and “Regulatory Authorities” shall have the meanings assigned to those terms in the Code.  </w:t>
      </w:r>
    </w:p>
    <w:p w14:paraId="3BEC5D36" w14:textId="77777777" w:rsidR="008A331A" w:rsidRDefault="008A331A" w:rsidP="008A331A">
      <w:pPr>
        <w:tabs>
          <w:tab w:val="left" w:pos="360"/>
        </w:tabs>
        <w:ind w:left="720"/>
        <w:jc w:val="both"/>
        <w:rPr>
          <w:rFonts w:ascii="Arial" w:hAnsi="Arial" w:cs="Arial"/>
          <w:b/>
          <w:sz w:val="16"/>
          <w:szCs w:val="16"/>
          <w:lang w:val="en-IE"/>
        </w:rPr>
      </w:pPr>
    </w:p>
    <w:p w14:paraId="75C0BAAE"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In consideration for the right to submit, and have the Modification Proposal assessed in accordance with the terms of Section B.12 of the Code, which I have read and understand, I agree as follows:</w:t>
      </w:r>
    </w:p>
    <w:p w14:paraId="7DC68BC9" w14:textId="77777777" w:rsidR="008A331A" w:rsidRDefault="008A331A" w:rsidP="008A331A">
      <w:pPr>
        <w:tabs>
          <w:tab w:val="left" w:pos="360"/>
        </w:tabs>
        <w:ind w:left="720" w:hanging="360"/>
        <w:jc w:val="both"/>
        <w:rPr>
          <w:rFonts w:ascii="Arial" w:hAnsi="Arial" w:cs="Arial"/>
          <w:b/>
          <w:sz w:val="16"/>
          <w:szCs w:val="16"/>
          <w:lang w:val="en-IE"/>
        </w:rPr>
      </w:pPr>
    </w:p>
    <w:p w14:paraId="44ED917C"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1.</w:t>
      </w:r>
      <w:r>
        <w:rPr>
          <w:rFonts w:ascii="Arial" w:hAnsi="Arial" w:cs="Arial"/>
          <w:b/>
          <w:sz w:val="16"/>
          <w:szCs w:val="16"/>
          <w:lang w:val="en-IE"/>
        </w:rPr>
        <w:tab/>
        <w:t>I hereby grant a worldwide, perpetual, royalty-free, non-exclusive licence:</w:t>
      </w:r>
    </w:p>
    <w:p w14:paraId="68F31870" w14:textId="77777777" w:rsidR="008A331A" w:rsidRDefault="008A331A" w:rsidP="008A331A">
      <w:pPr>
        <w:tabs>
          <w:tab w:val="left" w:pos="360"/>
        </w:tabs>
        <w:ind w:left="1080" w:hanging="360"/>
        <w:jc w:val="both"/>
        <w:rPr>
          <w:rFonts w:ascii="Arial" w:hAnsi="Arial" w:cs="Arial"/>
          <w:b/>
          <w:sz w:val="16"/>
          <w:szCs w:val="16"/>
          <w:lang w:val="en-IE"/>
        </w:rPr>
      </w:pPr>
    </w:p>
    <w:p w14:paraId="50FD6B16"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publish and/or distribute the Modification Proposal for free and unrestricted access;</w:t>
      </w:r>
    </w:p>
    <w:p w14:paraId="25020223" w14:textId="77777777" w:rsidR="008A331A" w:rsidRDefault="008A331A" w:rsidP="008A331A">
      <w:pPr>
        <w:tabs>
          <w:tab w:val="left" w:pos="360"/>
        </w:tabs>
        <w:ind w:left="1440" w:hanging="360"/>
        <w:jc w:val="both"/>
        <w:rPr>
          <w:rFonts w:ascii="Arial" w:hAnsi="Arial" w:cs="Arial"/>
          <w:b/>
          <w:sz w:val="16"/>
          <w:szCs w:val="16"/>
          <w:lang w:val="en-IE"/>
        </w:rPr>
      </w:pPr>
    </w:p>
    <w:p w14:paraId="5918B5B5"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 xml:space="preserve">to the Regulatory Authorities to amend, adapt, combine, abridge, expand or otherwise modify the Modification Proposal at their sole discretion for the purpose of developing the Modification Proposal in accordance with the </w:t>
      </w:r>
      <w:proofErr w:type="gramStart"/>
      <w:r>
        <w:rPr>
          <w:rFonts w:ascii="Arial" w:hAnsi="Arial" w:cs="Arial"/>
          <w:b/>
          <w:sz w:val="16"/>
          <w:szCs w:val="16"/>
          <w:lang w:val="en-IE"/>
        </w:rPr>
        <w:t>Code;</w:t>
      </w:r>
      <w:proofErr w:type="gramEnd"/>
    </w:p>
    <w:p w14:paraId="23FFB50D" w14:textId="77777777" w:rsidR="008A331A" w:rsidRDefault="008A331A" w:rsidP="008A331A">
      <w:pPr>
        <w:tabs>
          <w:tab w:val="left" w:pos="360"/>
        </w:tabs>
        <w:ind w:left="1440" w:hanging="360"/>
        <w:jc w:val="both"/>
        <w:rPr>
          <w:rFonts w:ascii="Arial" w:hAnsi="Arial" w:cs="Arial"/>
          <w:b/>
          <w:sz w:val="16"/>
          <w:szCs w:val="16"/>
          <w:lang w:val="en-IE"/>
        </w:rPr>
      </w:pPr>
    </w:p>
    <w:p w14:paraId="23D17476"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incorporate the Modification Proposal into the Code;</w:t>
      </w:r>
    </w:p>
    <w:p w14:paraId="356DAA4F" w14:textId="77777777" w:rsidR="008A331A" w:rsidRDefault="008A331A" w:rsidP="008A331A">
      <w:pPr>
        <w:tabs>
          <w:tab w:val="left" w:pos="360"/>
        </w:tabs>
        <w:ind w:left="1440" w:hanging="360"/>
        <w:jc w:val="both"/>
        <w:rPr>
          <w:rFonts w:ascii="Arial" w:hAnsi="Arial" w:cs="Arial"/>
          <w:b/>
          <w:sz w:val="16"/>
          <w:szCs w:val="16"/>
          <w:lang w:val="en-IE"/>
        </w:rPr>
      </w:pPr>
    </w:p>
    <w:p w14:paraId="4B2B7190" w14:textId="77777777" w:rsidR="008A331A" w:rsidRDefault="008A331A" w:rsidP="008A331A">
      <w:pPr>
        <w:tabs>
          <w:tab w:val="left" w:pos="360"/>
        </w:tabs>
        <w:ind w:left="1440" w:hanging="360"/>
        <w:jc w:val="both"/>
        <w:rPr>
          <w:rFonts w:ascii="Arial" w:hAnsi="Arial" w:cs="Arial"/>
          <w:b/>
          <w:sz w:val="16"/>
          <w:szCs w:val="16"/>
          <w:lang w:val="en-IE"/>
        </w:rPr>
      </w:pPr>
      <w:r>
        <w:rPr>
          <w:rFonts w:ascii="Arial" w:hAnsi="Arial" w:cs="Arial"/>
          <w:b/>
          <w:sz w:val="16"/>
          <w:szCs w:val="16"/>
          <w:lang w:val="en-IE"/>
        </w:rPr>
        <w:t>1.4</w:t>
      </w:r>
      <w:r>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5CB08B7C" w14:textId="77777777" w:rsidR="008A331A" w:rsidRDefault="008A331A" w:rsidP="008A331A">
      <w:pPr>
        <w:tabs>
          <w:tab w:val="left" w:pos="360"/>
        </w:tabs>
        <w:ind w:left="1440" w:hanging="360"/>
        <w:jc w:val="both"/>
        <w:rPr>
          <w:rFonts w:ascii="Arial" w:hAnsi="Arial" w:cs="Arial"/>
          <w:b/>
          <w:sz w:val="16"/>
          <w:szCs w:val="16"/>
          <w:lang w:val="en-IE"/>
        </w:rPr>
      </w:pPr>
    </w:p>
    <w:p w14:paraId="7BE3FCA5"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2.</w:t>
      </w:r>
      <w:r>
        <w:rPr>
          <w:rFonts w:ascii="Arial" w:hAnsi="Arial" w:cs="Arial"/>
          <w:b/>
          <w:sz w:val="16"/>
          <w:szCs w:val="16"/>
          <w:lang w:val="en-IE"/>
        </w:rPr>
        <w:tab/>
        <w:t>The licences set out in clause 1 shall equally apply to any Derivative Works.</w:t>
      </w:r>
    </w:p>
    <w:p w14:paraId="746035A8" w14:textId="77777777" w:rsidR="008A331A" w:rsidRDefault="008A331A" w:rsidP="008A331A">
      <w:pPr>
        <w:tabs>
          <w:tab w:val="left" w:pos="360"/>
        </w:tabs>
        <w:ind w:left="1080" w:hanging="360"/>
        <w:jc w:val="both"/>
        <w:rPr>
          <w:rFonts w:ascii="Arial" w:hAnsi="Arial" w:cs="Arial"/>
          <w:b/>
          <w:sz w:val="16"/>
          <w:szCs w:val="16"/>
          <w:lang w:val="en-IE"/>
        </w:rPr>
      </w:pPr>
    </w:p>
    <w:p w14:paraId="29F767A4"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3.</w:t>
      </w:r>
      <w:r>
        <w:rPr>
          <w:rFonts w:ascii="Arial" w:hAnsi="Arial" w:cs="Arial"/>
          <w:b/>
          <w:sz w:val="16"/>
          <w:szCs w:val="16"/>
          <w:lang w:val="en-IE"/>
        </w:rPr>
        <w:tab/>
        <w:t xml:space="preserve">I hereby waive in favour of the Parties to the Code and the Regulatory Authorities any and all moral rights I may have </w:t>
      </w:r>
      <w:proofErr w:type="gramStart"/>
      <w:r>
        <w:rPr>
          <w:rFonts w:ascii="Arial" w:hAnsi="Arial" w:cs="Arial"/>
          <w:b/>
          <w:sz w:val="16"/>
          <w:szCs w:val="16"/>
          <w:lang w:val="en-IE"/>
        </w:rPr>
        <w:t>arising</w:t>
      </w:r>
      <w:proofErr w:type="gramEnd"/>
      <w:r>
        <w:rPr>
          <w:rFonts w:ascii="Arial" w:hAnsi="Arial" w:cs="Arial"/>
          <w:b/>
          <w:sz w:val="16"/>
          <w:szCs w:val="16"/>
          <w:lang w:val="en-IE"/>
        </w:rPr>
        <w:t xml:space="preserve"> out of or in connection with the Modification Proposal or any Derivative Works.</w:t>
      </w:r>
    </w:p>
    <w:p w14:paraId="134FD0ED" w14:textId="77777777" w:rsidR="008A331A" w:rsidRDefault="008A331A" w:rsidP="008A331A">
      <w:pPr>
        <w:tabs>
          <w:tab w:val="left" w:pos="360"/>
        </w:tabs>
        <w:ind w:left="1080" w:hanging="360"/>
        <w:jc w:val="both"/>
        <w:rPr>
          <w:rFonts w:ascii="Arial" w:hAnsi="Arial" w:cs="Arial"/>
          <w:b/>
          <w:sz w:val="16"/>
          <w:szCs w:val="16"/>
          <w:lang w:val="en-IE"/>
        </w:rPr>
      </w:pPr>
    </w:p>
    <w:p w14:paraId="780EDF79"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4.</w:t>
      </w:r>
      <w:r>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6DA01AD1" w14:textId="77777777" w:rsidR="008A331A" w:rsidRDefault="008A331A" w:rsidP="008A331A">
      <w:pPr>
        <w:tabs>
          <w:tab w:val="left" w:pos="360"/>
        </w:tabs>
        <w:ind w:left="1080" w:hanging="360"/>
        <w:jc w:val="both"/>
        <w:rPr>
          <w:rFonts w:ascii="Arial" w:hAnsi="Arial" w:cs="Arial"/>
          <w:b/>
          <w:sz w:val="16"/>
          <w:szCs w:val="16"/>
          <w:lang w:val="en-IE"/>
        </w:rPr>
      </w:pPr>
    </w:p>
    <w:p w14:paraId="3231B97D"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5.</w:t>
      </w:r>
      <w:r>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14:paraId="38A5CA1A" w14:textId="77777777" w:rsidR="004C53E7" w:rsidRPr="003F225F" w:rsidRDefault="004C53E7" w:rsidP="004C53E7">
      <w:pPr>
        <w:rPr>
          <w:rFonts w:ascii="Arial" w:hAnsi="Arial" w:cs="Arial"/>
          <w:sz w:val="22"/>
          <w:szCs w:val="22"/>
          <w:lang w:val="en-IE"/>
        </w:rPr>
      </w:pPr>
    </w:p>
    <w:p w14:paraId="4B470B2E"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15:restartNumberingAfterBreak="0">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15:restartNumberingAfterBreak="0">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15:restartNumberingAfterBreak="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1C79EB"/>
    <w:multiLevelType w:val="multilevel"/>
    <w:tmpl w:val="1DC0CB74"/>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15:restartNumberingAfterBreak="0">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16cid:durableId="1400805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2332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7856303">
    <w:abstractNumId w:val="9"/>
  </w:num>
  <w:num w:numId="4" w16cid:durableId="961763099">
    <w:abstractNumId w:val="9"/>
  </w:num>
  <w:num w:numId="5" w16cid:durableId="641693226">
    <w:abstractNumId w:val="8"/>
  </w:num>
  <w:num w:numId="6" w16cid:durableId="1654411826">
    <w:abstractNumId w:val="1"/>
  </w:num>
  <w:num w:numId="7" w16cid:durableId="354384572">
    <w:abstractNumId w:val="3"/>
  </w:num>
  <w:num w:numId="8" w16cid:durableId="13045524">
    <w:abstractNumId w:val="9"/>
    <w:lvlOverride w:ilvl="0">
      <w:startOverride w:val="1"/>
    </w:lvlOverride>
  </w:num>
  <w:num w:numId="9" w16cid:durableId="1373840835">
    <w:abstractNumId w:val="10"/>
  </w:num>
  <w:num w:numId="10" w16cid:durableId="881787407">
    <w:abstractNumId w:val="2"/>
  </w:num>
  <w:num w:numId="11" w16cid:durableId="524367331">
    <w:abstractNumId w:val="21"/>
  </w:num>
  <w:num w:numId="12" w16cid:durableId="1349141166">
    <w:abstractNumId w:val="24"/>
  </w:num>
  <w:num w:numId="13" w16cid:durableId="1164198274">
    <w:abstractNumId w:val="6"/>
  </w:num>
  <w:num w:numId="14" w16cid:durableId="1384795636">
    <w:abstractNumId w:val="23"/>
  </w:num>
  <w:num w:numId="15" w16cid:durableId="1779984901">
    <w:abstractNumId w:val="20"/>
  </w:num>
  <w:num w:numId="16" w16cid:durableId="1306006863">
    <w:abstractNumId w:val="11"/>
  </w:num>
  <w:num w:numId="17" w16cid:durableId="184485047">
    <w:abstractNumId w:val="22"/>
  </w:num>
  <w:num w:numId="18" w16cid:durableId="803235206">
    <w:abstractNumId w:val="18"/>
  </w:num>
  <w:num w:numId="19" w16cid:durableId="1734892510">
    <w:abstractNumId w:val="9"/>
    <w:lvlOverride w:ilvl="0">
      <w:startOverride w:val="1"/>
    </w:lvlOverride>
  </w:num>
  <w:num w:numId="20" w16cid:durableId="2053454884">
    <w:abstractNumId w:val="14"/>
  </w:num>
  <w:num w:numId="21" w16cid:durableId="558982987">
    <w:abstractNumId w:val="9"/>
    <w:lvlOverride w:ilvl="0">
      <w:startOverride w:val="1"/>
    </w:lvlOverride>
  </w:num>
  <w:num w:numId="22" w16cid:durableId="189146833">
    <w:abstractNumId w:val="17"/>
  </w:num>
  <w:num w:numId="23" w16cid:durableId="490802245">
    <w:abstractNumId w:val="9"/>
    <w:lvlOverride w:ilvl="0">
      <w:startOverride w:val="1"/>
    </w:lvlOverride>
  </w:num>
  <w:num w:numId="24" w16cid:durableId="2019692060">
    <w:abstractNumId w:val="25"/>
  </w:num>
  <w:num w:numId="25" w16cid:durableId="260798579">
    <w:abstractNumId w:val="9"/>
    <w:lvlOverride w:ilvl="0">
      <w:startOverride w:val="1"/>
    </w:lvlOverride>
  </w:num>
  <w:num w:numId="26" w16cid:durableId="1785996154">
    <w:abstractNumId w:val="9"/>
    <w:lvlOverride w:ilvl="0">
      <w:startOverride w:val="1"/>
    </w:lvlOverride>
  </w:num>
  <w:num w:numId="27" w16cid:durableId="1462655406">
    <w:abstractNumId w:val="5"/>
  </w:num>
  <w:num w:numId="28" w16cid:durableId="724137195">
    <w:abstractNumId w:val="19"/>
  </w:num>
  <w:num w:numId="29" w16cid:durableId="987629562">
    <w:abstractNumId w:val="9"/>
    <w:lvlOverride w:ilvl="0">
      <w:startOverride w:val="1"/>
    </w:lvlOverride>
  </w:num>
  <w:num w:numId="30" w16cid:durableId="1280450024">
    <w:abstractNumId w:val="12"/>
  </w:num>
  <w:num w:numId="31" w16cid:durableId="1410615967">
    <w:abstractNumId w:val="9"/>
    <w:lvlOverride w:ilvl="0">
      <w:startOverride w:val="1"/>
    </w:lvlOverride>
  </w:num>
  <w:num w:numId="32" w16cid:durableId="2078549096">
    <w:abstractNumId w:val="4"/>
  </w:num>
  <w:num w:numId="33" w16cid:durableId="761030282">
    <w:abstractNumId w:val="9"/>
    <w:lvlOverride w:ilvl="0">
      <w:startOverride w:val="1"/>
    </w:lvlOverride>
  </w:num>
  <w:num w:numId="34" w16cid:durableId="879048579">
    <w:abstractNumId w:val="9"/>
    <w:lvlOverride w:ilvl="0">
      <w:startOverride w:val="1"/>
    </w:lvlOverride>
  </w:num>
  <w:num w:numId="35" w16cid:durableId="26881915">
    <w:abstractNumId w:val="9"/>
    <w:lvlOverride w:ilvl="0">
      <w:startOverride w:val="1"/>
    </w:lvlOverride>
  </w:num>
  <w:num w:numId="36" w16cid:durableId="558439090">
    <w:abstractNumId w:val="16"/>
  </w:num>
  <w:num w:numId="37" w16cid:durableId="440804647">
    <w:abstractNumId w:val="7"/>
  </w:num>
  <w:num w:numId="38" w16cid:durableId="213926984">
    <w:abstractNumId w:val="13"/>
  </w:num>
  <w:num w:numId="39" w16cid:durableId="1655065158">
    <w:abstractNumId w:val="15"/>
  </w:num>
  <w:num w:numId="40" w16cid:durableId="878667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2540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E7"/>
    <w:rsid w:val="00001FC9"/>
    <w:rsid w:val="00004131"/>
    <w:rsid w:val="000069DF"/>
    <w:rsid w:val="00025FCD"/>
    <w:rsid w:val="00056CDC"/>
    <w:rsid w:val="00061E3E"/>
    <w:rsid w:val="00062790"/>
    <w:rsid w:val="000720C6"/>
    <w:rsid w:val="00072793"/>
    <w:rsid w:val="00076DF3"/>
    <w:rsid w:val="00081256"/>
    <w:rsid w:val="000817DF"/>
    <w:rsid w:val="00082EAE"/>
    <w:rsid w:val="000A19F0"/>
    <w:rsid w:val="000C6B63"/>
    <w:rsid w:val="000E043B"/>
    <w:rsid w:val="000E5490"/>
    <w:rsid w:val="000F38F6"/>
    <w:rsid w:val="000F6D00"/>
    <w:rsid w:val="000F6EF1"/>
    <w:rsid w:val="001042DD"/>
    <w:rsid w:val="00110230"/>
    <w:rsid w:val="0013032E"/>
    <w:rsid w:val="00135247"/>
    <w:rsid w:val="001424CE"/>
    <w:rsid w:val="001532AD"/>
    <w:rsid w:val="00174C7B"/>
    <w:rsid w:val="001967E0"/>
    <w:rsid w:val="001A2C80"/>
    <w:rsid w:val="001B4A25"/>
    <w:rsid w:val="001B5EE4"/>
    <w:rsid w:val="001D28AA"/>
    <w:rsid w:val="001D5C1B"/>
    <w:rsid w:val="002012B7"/>
    <w:rsid w:val="0020667F"/>
    <w:rsid w:val="00214CD4"/>
    <w:rsid w:val="00215BE1"/>
    <w:rsid w:val="002266C3"/>
    <w:rsid w:val="00232F6F"/>
    <w:rsid w:val="002353FD"/>
    <w:rsid w:val="002608C9"/>
    <w:rsid w:val="0026274E"/>
    <w:rsid w:val="00271BC3"/>
    <w:rsid w:val="00272988"/>
    <w:rsid w:val="002758CF"/>
    <w:rsid w:val="00280203"/>
    <w:rsid w:val="002A4F5B"/>
    <w:rsid w:val="002B193D"/>
    <w:rsid w:val="002B7AF4"/>
    <w:rsid w:val="003217E4"/>
    <w:rsid w:val="00355080"/>
    <w:rsid w:val="00356516"/>
    <w:rsid w:val="00361C16"/>
    <w:rsid w:val="003626F7"/>
    <w:rsid w:val="0037296D"/>
    <w:rsid w:val="003A2A7C"/>
    <w:rsid w:val="003A7DB8"/>
    <w:rsid w:val="003B1258"/>
    <w:rsid w:val="003B7AB6"/>
    <w:rsid w:val="003F2803"/>
    <w:rsid w:val="003F58EF"/>
    <w:rsid w:val="00403843"/>
    <w:rsid w:val="004169DD"/>
    <w:rsid w:val="00416C0B"/>
    <w:rsid w:val="00420161"/>
    <w:rsid w:val="00431400"/>
    <w:rsid w:val="00437DF2"/>
    <w:rsid w:val="004665F9"/>
    <w:rsid w:val="004A38DC"/>
    <w:rsid w:val="004A4F21"/>
    <w:rsid w:val="004A7E23"/>
    <w:rsid w:val="004C53E7"/>
    <w:rsid w:val="004E4830"/>
    <w:rsid w:val="004E55C1"/>
    <w:rsid w:val="004F3593"/>
    <w:rsid w:val="00511F29"/>
    <w:rsid w:val="00563421"/>
    <w:rsid w:val="00573228"/>
    <w:rsid w:val="00584447"/>
    <w:rsid w:val="005B0118"/>
    <w:rsid w:val="005B01E4"/>
    <w:rsid w:val="005C1FF8"/>
    <w:rsid w:val="005C29F7"/>
    <w:rsid w:val="005F53BC"/>
    <w:rsid w:val="005F5958"/>
    <w:rsid w:val="00607C31"/>
    <w:rsid w:val="00617892"/>
    <w:rsid w:val="006213AF"/>
    <w:rsid w:val="00632378"/>
    <w:rsid w:val="0063249B"/>
    <w:rsid w:val="00650489"/>
    <w:rsid w:val="00676D2F"/>
    <w:rsid w:val="00677D2C"/>
    <w:rsid w:val="00690E9A"/>
    <w:rsid w:val="00692E32"/>
    <w:rsid w:val="006A0219"/>
    <w:rsid w:val="006A1D4D"/>
    <w:rsid w:val="006D7948"/>
    <w:rsid w:val="006E3612"/>
    <w:rsid w:val="006E3E44"/>
    <w:rsid w:val="00714DC8"/>
    <w:rsid w:val="00716DF7"/>
    <w:rsid w:val="0072182B"/>
    <w:rsid w:val="00730238"/>
    <w:rsid w:val="00733092"/>
    <w:rsid w:val="00734A88"/>
    <w:rsid w:val="00751E25"/>
    <w:rsid w:val="0076195F"/>
    <w:rsid w:val="00763729"/>
    <w:rsid w:val="00786F27"/>
    <w:rsid w:val="00793BD3"/>
    <w:rsid w:val="0081044D"/>
    <w:rsid w:val="00817BEB"/>
    <w:rsid w:val="008240F0"/>
    <w:rsid w:val="008423F6"/>
    <w:rsid w:val="00870EA6"/>
    <w:rsid w:val="00873FF7"/>
    <w:rsid w:val="008816B1"/>
    <w:rsid w:val="00895697"/>
    <w:rsid w:val="008A331A"/>
    <w:rsid w:val="008A75AD"/>
    <w:rsid w:val="008D0C9D"/>
    <w:rsid w:val="008F1E63"/>
    <w:rsid w:val="008F38E6"/>
    <w:rsid w:val="00922222"/>
    <w:rsid w:val="009342A5"/>
    <w:rsid w:val="00950250"/>
    <w:rsid w:val="0095122C"/>
    <w:rsid w:val="00963F7E"/>
    <w:rsid w:val="00975043"/>
    <w:rsid w:val="0099547D"/>
    <w:rsid w:val="009A5DF3"/>
    <w:rsid w:val="009C41F2"/>
    <w:rsid w:val="009D610D"/>
    <w:rsid w:val="009D6CC2"/>
    <w:rsid w:val="009E7254"/>
    <w:rsid w:val="009F1BD7"/>
    <w:rsid w:val="009F7750"/>
    <w:rsid w:val="00A07C83"/>
    <w:rsid w:val="00A45A2A"/>
    <w:rsid w:val="00A6375B"/>
    <w:rsid w:val="00A716B3"/>
    <w:rsid w:val="00A87493"/>
    <w:rsid w:val="00AA6274"/>
    <w:rsid w:val="00AB28DB"/>
    <w:rsid w:val="00AC2CDA"/>
    <w:rsid w:val="00AC7EA2"/>
    <w:rsid w:val="00AF6789"/>
    <w:rsid w:val="00B008BD"/>
    <w:rsid w:val="00B23BA5"/>
    <w:rsid w:val="00B334BA"/>
    <w:rsid w:val="00B45252"/>
    <w:rsid w:val="00B67EEA"/>
    <w:rsid w:val="00B765A4"/>
    <w:rsid w:val="00B94C60"/>
    <w:rsid w:val="00BC24D9"/>
    <w:rsid w:val="00BD00A2"/>
    <w:rsid w:val="00BE2DAF"/>
    <w:rsid w:val="00BF6E83"/>
    <w:rsid w:val="00C00A34"/>
    <w:rsid w:val="00C025BB"/>
    <w:rsid w:val="00C16504"/>
    <w:rsid w:val="00C172D7"/>
    <w:rsid w:val="00C20112"/>
    <w:rsid w:val="00C22D11"/>
    <w:rsid w:val="00C522AB"/>
    <w:rsid w:val="00C54F16"/>
    <w:rsid w:val="00C60FE2"/>
    <w:rsid w:val="00C6689F"/>
    <w:rsid w:val="00C800B7"/>
    <w:rsid w:val="00C829A3"/>
    <w:rsid w:val="00CC4C3F"/>
    <w:rsid w:val="00CD6B5D"/>
    <w:rsid w:val="00CE0A06"/>
    <w:rsid w:val="00CF45E5"/>
    <w:rsid w:val="00D05D5A"/>
    <w:rsid w:val="00D0632D"/>
    <w:rsid w:val="00D1310C"/>
    <w:rsid w:val="00D14542"/>
    <w:rsid w:val="00D26AAD"/>
    <w:rsid w:val="00D609C2"/>
    <w:rsid w:val="00DA2986"/>
    <w:rsid w:val="00DA68F2"/>
    <w:rsid w:val="00DC18CC"/>
    <w:rsid w:val="00DC48E9"/>
    <w:rsid w:val="00DE2FA8"/>
    <w:rsid w:val="00DF6BB7"/>
    <w:rsid w:val="00E04560"/>
    <w:rsid w:val="00E51505"/>
    <w:rsid w:val="00E57007"/>
    <w:rsid w:val="00E61E89"/>
    <w:rsid w:val="00E65042"/>
    <w:rsid w:val="00E71AFD"/>
    <w:rsid w:val="00E71E68"/>
    <w:rsid w:val="00E72840"/>
    <w:rsid w:val="00E81264"/>
    <w:rsid w:val="00EA47F7"/>
    <w:rsid w:val="00EC45AF"/>
    <w:rsid w:val="00ED2A8D"/>
    <w:rsid w:val="00ED6127"/>
    <w:rsid w:val="00EE29DA"/>
    <w:rsid w:val="00EE2B7C"/>
    <w:rsid w:val="00EE6684"/>
    <w:rsid w:val="00F03178"/>
    <w:rsid w:val="00F2139A"/>
    <w:rsid w:val="00F4688B"/>
    <w:rsid w:val="00F52394"/>
    <w:rsid w:val="00F6081E"/>
    <w:rsid w:val="00F64077"/>
    <w:rsid w:val="00F708C5"/>
    <w:rsid w:val="00F7547A"/>
    <w:rsid w:val="00F76C97"/>
    <w:rsid w:val="00F77CE0"/>
    <w:rsid w:val="00F94C19"/>
    <w:rsid w:val="00F954C9"/>
    <w:rsid w:val="00FA4316"/>
    <w:rsid w:val="00FA643F"/>
    <w:rsid w:val="00FA68AC"/>
    <w:rsid w:val="00FC5FCD"/>
    <w:rsid w:val="00FD5C1D"/>
    <w:rsid w:val="01828917"/>
    <w:rsid w:val="02849DE5"/>
    <w:rsid w:val="02EF6DB1"/>
    <w:rsid w:val="033AB464"/>
    <w:rsid w:val="04504F12"/>
    <w:rsid w:val="06D19BAD"/>
    <w:rsid w:val="078EB321"/>
    <w:rsid w:val="084A12D3"/>
    <w:rsid w:val="08983ED9"/>
    <w:rsid w:val="0B7BF311"/>
    <w:rsid w:val="0C67B942"/>
    <w:rsid w:val="0D656795"/>
    <w:rsid w:val="0DB8FEB1"/>
    <w:rsid w:val="0EAB4E9E"/>
    <w:rsid w:val="0F0137F6"/>
    <w:rsid w:val="10277C22"/>
    <w:rsid w:val="10A336C8"/>
    <w:rsid w:val="131E7916"/>
    <w:rsid w:val="1360EC3E"/>
    <w:rsid w:val="13DE6711"/>
    <w:rsid w:val="1988EF96"/>
    <w:rsid w:val="1C82D05F"/>
    <w:rsid w:val="1F9CF380"/>
    <w:rsid w:val="20FE17B4"/>
    <w:rsid w:val="21DF70F6"/>
    <w:rsid w:val="22A1C3A3"/>
    <w:rsid w:val="24C56779"/>
    <w:rsid w:val="25689051"/>
    <w:rsid w:val="25B79742"/>
    <w:rsid w:val="26DEE214"/>
    <w:rsid w:val="277534C6"/>
    <w:rsid w:val="2946AEE5"/>
    <w:rsid w:val="2B0575BD"/>
    <w:rsid w:val="2BD815C5"/>
    <w:rsid w:val="2CA6BC4C"/>
    <w:rsid w:val="2CE48B92"/>
    <w:rsid w:val="2E532162"/>
    <w:rsid w:val="2EF07DDF"/>
    <w:rsid w:val="3227F37C"/>
    <w:rsid w:val="32FF3C3D"/>
    <w:rsid w:val="344B8247"/>
    <w:rsid w:val="35F31E79"/>
    <w:rsid w:val="36FCF364"/>
    <w:rsid w:val="387F1B83"/>
    <w:rsid w:val="388E89E0"/>
    <w:rsid w:val="3A01C387"/>
    <w:rsid w:val="3A58769A"/>
    <w:rsid w:val="3AFCD0F5"/>
    <w:rsid w:val="3BE3BBD5"/>
    <w:rsid w:val="3BF446FB"/>
    <w:rsid w:val="3ED534AA"/>
    <w:rsid w:val="3F13043F"/>
    <w:rsid w:val="3FFB2A2D"/>
    <w:rsid w:val="40CB698E"/>
    <w:rsid w:val="4168CA88"/>
    <w:rsid w:val="4304A581"/>
    <w:rsid w:val="441C4A7B"/>
    <w:rsid w:val="44209D2F"/>
    <w:rsid w:val="44A9D860"/>
    <w:rsid w:val="453349FB"/>
    <w:rsid w:val="46090BAA"/>
    <w:rsid w:val="474EF30F"/>
    <w:rsid w:val="47CB23D4"/>
    <w:rsid w:val="493BA2F9"/>
    <w:rsid w:val="49D89216"/>
    <w:rsid w:val="49FD5396"/>
    <w:rsid w:val="4AB1CF3E"/>
    <w:rsid w:val="4B2C1189"/>
    <w:rsid w:val="52A0C455"/>
    <w:rsid w:val="53664BFF"/>
    <w:rsid w:val="5635348E"/>
    <w:rsid w:val="56730423"/>
    <w:rsid w:val="59DB139F"/>
    <w:rsid w:val="5B42A6F4"/>
    <w:rsid w:val="6102AA66"/>
    <w:rsid w:val="61C4D5E5"/>
    <w:rsid w:val="6258E348"/>
    <w:rsid w:val="62AFB59E"/>
    <w:rsid w:val="64A3575C"/>
    <w:rsid w:val="65B37B1A"/>
    <w:rsid w:val="65D8288C"/>
    <w:rsid w:val="697FB76D"/>
    <w:rsid w:val="69D6A10F"/>
    <w:rsid w:val="6A820A95"/>
    <w:rsid w:val="6B7D6A14"/>
    <w:rsid w:val="6BE0253E"/>
    <w:rsid w:val="6BF39E51"/>
    <w:rsid w:val="70B9516C"/>
    <w:rsid w:val="72AF03F7"/>
    <w:rsid w:val="7331C8E6"/>
    <w:rsid w:val="7411B5B9"/>
    <w:rsid w:val="754D51D7"/>
    <w:rsid w:val="75D5BE3F"/>
    <w:rsid w:val="7734BF94"/>
    <w:rsid w:val="7A089E45"/>
    <w:rsid w:val="7C4A4600"/>
    <w:rsid w:val="7CE969C9"/>
    <w:rsid w:val="7DCC6E1F"/>
    <w:rsid w:val="7FCC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8E72"/>
  <w15:docId w15:val="{56F478E2-AD42-4D8A-83BC-532A3C38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paragraph" w:styleId="Revision">
    <w:name w:val="Revision"/>
    <w:hidden/>
    <w:uiPriority w:val="99"/>
    <w:semiHidden/>
    <w:rsid w:val="00001FC9"/>
    <w:pPr>
      <w:spacing w:after="0" w:line="240" w:lineRule="auto"/>
    </w:pPr>
    <w:rPr>
      <w:rFonts w:ascii="Times New Roman" w:eastAsia="Times New Roman" w:hAnsi="Times New Roman" w:cs="Times New Roman"/>
      <w:sz w:val="20"/>
      <w:szCs w:val="20"/>
      <w:lang w:val="en-AU" w:eastAsia="en-GB"/>
    </w:rPr>
  </w:style>
  <w:style w:type="paragraph" w:customStyle="1" w:styleId="CERLEVEL51">
    <w:name w:val="CER LEVEL 51"/>
    <w:basedOn w:val="Normal"/>
    <w:qFormat/>
    <w:rsid w:val="00001FC9"/>
    <w:pPr>
      <w:overflowPunct/>
      <w:autoSpaceDE/>
      <w:autoSpaceDN/>
      <w:adjustRightInd/>
      <w:spacing w:before="120" w:after="120"/>
      <w:ind w:left="1701" w:hanging="709"/>
      <w:jc w:val="both"/>
      <w:textAlignment w:val="auto"/>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apacity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EA9D4283EA7F44A6856CE4AFADF0AE" ma:contentTypeVersion="13" ma:contentTypeDescription="Create a new document." ma:contentTypeScope="" ma:versionID="23ae50aca60fc33c2378a66ca8176166">
  <xsd:schema xmlns:xsd="http://www.w3.org/2001/XMLSchema" xmlns:xs="http://www.w3.org/2001/XMLSchema" xmlns:p="http://schemas.microsoft.com/office/2006/metadata/properties" xmlns:ns1="http://schemas.microsoft.com/sharepoint/v3" xmlns:ns2="16b5e619-bc13-487f-9b52-9f0f55a102dc" xmlns:ns3="b1f03e15-0ba4-4c42-95a3-8fb81eba8a82" xmlns:ns4="c15549da-dba2-401f-a7fc-d69cc653f318" targetNamespace="http://schemas.microsoft.com/office/2006/metadata/properties" ma:root="true" ma:fieldsID="2dac777ed9987c7092f6930b929256d9" ns1:_="" ns2:_="" ns3:_="" ns4:_="">
    <xsd:import namespace="http://schemas.microsoft.com/sharepoint/v3"/>
    <xsd:import namespace="16b5e619-bc13-487f-9b52-9f0f55a102dc"/>
    <xsd:import namespace="b1f03e15-0ba4-4c42-95a3-8fb81eba8a82"/>
    <xsd:import namespace="c15549da-dba2-401f-a7fc-d69cc653f318"/>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5e619-bc13-487f-9b52-9f0f55a10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85b4b-a731-4a33-94c1-62de8d6340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f03e15-0ba4-4c42-95a3-8fb81eba8a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549da-dba2-401f-a7fc-d69cc653f31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688b29-0361-47a5-9a7f-db3b3c649cb4}" ma:internalName="TaxCatchAll" ma:showField="CatchAllData" ma:web="c15549da-dba2-401f-a7fc-d69cc653f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16b5e619-bc13-487f-9b52-9f0f55a102dc">
      <Terms xmlns="http://schemas.microsoft.com/office/infopath/2007/PartnerControls"/>
    </lcf76f155ced4ddcb4097134ff3c332f>
    <TaxCatchAll xmlns="c15549da-dba2-401f-a7fc-d69cc653f318" xsi:nil="true"/>
  </documentManagement>
</p:properties>
</file>

<file path=customXml/itemProps1.xml><?xml version="1.0" encoding="utf-8"?>
<ds:datastoreItem xmlns:ds="http://schemas.openxmlformats.org/officeDocument/2006/customXml" ds:itemID="{3C0DF14A-AF1D-47B8-8F9A-E23D4B5D9FAB}">
  <ds:schemaRefs>
    <ds:schemaRef ds:uri="http://schemas.openxmlformats.org/officeDocument/2006/bibliography"/>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DCF3FB0F-0F63-458E-BF0E-F9D2C53B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b5e619-bc13-487f-9b52-9f0f55a102dc"/>
    <ds:schemaRef ds:uri="b1f03e15-0ba4-4c42-95a3-8fb81eba8a82"/>
    <ds:schemaRef ds:uri="c15549da-dba2-401f-a7fc-d69cc653f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DFF31-0028-4EC7-930B-06A0E0628EB6}">
  <ds:schemaRefs>
    <ds:schemaRef ds:uri="http://schemas.microsoft.com/office/2006/metadata/properties"/>
    <ds:schemaRef ds:uri="http://schemas.microsoft.com/sharepoint/v3"/>
    <ds:schemaRef ds:uri="16b5e619-bc13-487f-9b52-9f0f55a102dc"/>
    <ds:schemaRef ds:uri="http://schemas.microsoft.com/office/infopath/2007/PartnerControls"/>
    <ds:schemaRef ds:uri="c15549da-dba2-401f-a7fc-d69cc653f3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10692</Characters>
  <Application>Microsoft Office Word</Application>
  <DocSecurity>0</DocSecurity>
  <Lines>89</Lines>
  <Paragraphs>25</Paragraphs>
  <ScaleCrop>false</ScaleCrop>
  <Company>SEMO</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cp:lastModifiedBy>Touhey, Esther</cp:lastModifiedBy>
  <cp:revision>2</cp:revision>
  <cp:lastPrinted>2011-09-28T18:23:00Z</cp:lastPrinted>
  <dcterms:created xsi:type="dcterms:W3CDTF">2023-08-03T14:54:00Z</dcterms:created>
  <dcterms:modified xsi:type="dcterms:W3CDTF">2023-08-03T14:54:00Z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0x0101003DEA9D4283EA7F44A6856CE4AFADF0AE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py Status">
    <vt:lpwstr>Success!</vt:lpwstr>
  </property>
  <property fmtid="{D5CDD505-2E9C-101B-9397-08002B2CF9AE}" pid="7" name="Copy to Website Date">
    <vt:lpwstr>2011-09-28T16:01:00+00:00</vt:lpwstr>
  </property>
  <property fmtid="{D5CDD505-2E9C-101B-9397-08002B2CF9AE}" pid="8" name="Copy to Website">
    <vt:lpwstr>true</vt:lpwstr>
  </property>
  <property fmtid="{D5CDD505-2E9C-101B-9397-08002B2CF9AE}" pid="9" name="Mod ID">
    <vt:lpwstr>980</vt:lpwstr>
  </property>
  <property fmtid="{D5CDD505-2E9C-101B-9397-08002B2CF9AE}" pid="10" name="Year of Modification Proposal">
    <vt:lpwstr>2011</vt:lpwstr>
  </property>
  <property fmtid="{D5CDD505-2E9C-101B-9397-08002B2CF9AE}" pid="11" name="Document Type">
    <vt:lpwstr>Modification Proposal</vt:lpwstr>
  </property>
  <property fmtid="{D5CDD505-2E9C-101B-9397-08002B2CF9AE}" pid="12" name="_CopySource">
    <vt:lpwstr>Mod_33_11 Temporary exclusion of Interconnector Error Unit Testing Charges from Settlement calculations.docx</vt:lpwstr>
  </property>
  <property fmtid="{D5CDD505-2E9C-101B-9397-08002B2CF9AE}" pid="13" name="MediaServiceImageTags">
    <vt:lpwstr/>
  </property>
</Properties>
</file>