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4D307" w14:textId="77777777" w:rsidR="002965DE" w:rsidRPr="002F0687" w:rsidRDefault="007458BE" w:rsidP="002965DE">
      <w:pPr>
        <w:pStyle w:val="CERNORMAL"/>
        <w:rPr>
          <w:color w:val="auto"/>
        </w:rPr>
      </w:pPr>
      <w:r>
        <w:rPr>
          <w:noProof/>
          <w:color w:val="auto"/>
          <w:lang w:val="en-IE" w:eastAsia="en-IE"/>
        </w:rPr>
        <w:drawing>
          <wp:anchor distT="0" distB="0" distL="114300" distR="114300" simplePos="0" relativeHeight="251657728" behindDoc="0" locked="0" layoutInCell="1" allowOverlap="1" wp14:anchorId="6D04D4CA" wp14:editId="6D04D4CB">
            <wp:simplePos x="0" y="0"/>
            <wp:positionH relativeFrom="column">
              <wp:posOffset>0</wp:posOffset>
            </wp:positionH>
            <wp:positionV relativeFrom="paragraph">
              <wp:posOffset>0</wp:posOffset>
            </wp:positionV>
            <wp:extent cx="5481320" cy="1004570"/>
            <wp:effectExtent l="1905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81320" cy="1004570"/>
                    </a:xfrm>
                    <a:prstGeom prst="rect">
                      <a:avLst/>
                    </a:prstGeom>
                    <a:noFill/>
                  </pic:spPr>
                </pic:pic>
              </a:graphicData>
            </a:graphic>
          </wp:anchor>
        </w:drawing>
      </w:r>
    </w:p>
    <w:p w14:paraId="6D04D308" w14:textId="77777777" w:rsidR="002965DE" w:rsidRPr="002F0687" w:rsidRDefault="002965DE" w:rsidP="002965DE">
      <w:pPr>
        <w:pStyle w:val="CERNORMAL"/>
        <w:rPr>
          <w:color w:val="auto"/>
        </w:rPr>
      </w:pPr>
    </w:p>
    <w:p w14:paraId="6D04D309" w14:textId="77777777" w:rsidR="002965DE" w:rsidRPr="002F0687" w:rsidRDefault="002965DE" w:rsidP="002965DE">
      <w:pPr>
        <w:pStyle w:val="CERNORMAL"/>
        <w:rPr>
          <w:color w:val="auto"/>
        </w:rPr>
      </w:pPr>
    </w:p>
    <w:p w14:paraId="6D04D30A" w14:textId="77777777" w:rsidR="002965DE" w:rsidRPr="002F0687" w:rsidRDefault="002965DE" w:rsidP="002965DE">
      <w:pPr>
        <w:pStyle w:val="CERNORMAL"/>
        <w:rPr>
          <w:color w:val="auto"/>
        </w:rPr>
      </w:pPr>
    </w:p>
    <w:p w14:paraId="6D04D30B" w14:textId="77777777" w:rsidR="002965DE" w:rsidRPr="002F0687" w:rsidRDefault="002965DE" w:rsidP="002965DE">
      <w:pPr>
        <w:pStyle w:val="CERNORMAL"/>
        <w:rPr>
          <w:color w:val="auto"/>
        </w:rPr>
      </w:pPr>
    </w:p>
    <w:p w14:paraId="6D04D30C" w14:textId="77777777" w:rsidR="002965DE" w:rsidRPr="002F0687" w:rsidRDefault="002965DE" w:rsidP="002965DE">
      <w:pPr>
        <w:pStyle w:val="CERNORMAL"/>
        <w:rPr>
          <w:color w:val="auto"/>
        </w:rPr>
      </w:pPr>
    </w:p>
    <w:p w14:paraId="6D04D30D" w14:textId="77777777" w:rsidR="002965DE" w:rsidRPr="002F0687" w:rsidRDefault="002965DE" w:rsidP="002965DE">
      <w:pPr>
        <w:pStyle w:val="CERNORMAL"/>
        <w:rPr>
          <w:color w:val="auto"/>
        </w:rPr>
      </w:pPr>
    </w:p>
    <w:p w14:paraId="6D04D30E" w14:textId="77777777" w:rsidR="002965DE" w:rsidRPr="002F0687" w:rsidRDefault="002965DE" w:rsidP="002965DE">
      <w:pPr>
        <w:pStyle w:val="CERMAINFRONTTEXT"/>
      </w:pPr>
      <w:r w:rsidRPr="002F0687">
        <w:t>The Single Electricity Market (SEM)</w:t>
      </w:r>
    </w:p>
    <w:p w14:paraId="6D04D30F" w14:textId="77777777" w:rsidR="002965DE" w:rsidRPr="002F0687" w:rsidRDefault="00356DEF" w:rsidP="002965DE">
      <w:pPr>
        <w:pStyle w:val="CERMAINFRONTTEXT"/>
      </w:pPr>
      <w:r>
        <w:t xml:space="preserve">Part A </w:t>
      </w:r>
      <w:r w:rsidR="002965DE" w:rsidRPr="002F0687">
        <w:t xml:space="preserve">Agreed Procedure </w:t>
      </w:r>
      <w:r w:rsidR="00155243" w:rsidRPr="002F0687">
        <w:t>17: Banking and Participant Payments</w:t>
      </w:r>
    </w:p>
    <w:p w14:paraId="6D04D310" w14:textId="38941834" w:rsidR="002965DE" w:rsidRDefault="002965DE" w:rsidP="002965DE">
      <w:pPr>
        <w:pStyle w:val="CERMAINFRONTTEXT"/>
      </w:pPr>
      <w:r w:rsidRPr="002F0687">
        <w:t xml:space="preserve">Version </w:t>
      </w:r>
      <w:r w:rsidR="00876470">
        <w:t>2</w:t>
      </w:r>
      <w:r w:rsidR="006B2065">
        <w:t>8</w:t>
      </w:r>
      <w:r w:rsidR="00242077">
        <w:t>.0</w:t>
      </w:r>
    </w:p>
    <w:p w14:paraId="7144B03D" w14:textId="0146DD19" w:rsidR="003242CD" w:rsidRDefault="003242CD" w:rsidP="002965DE">
      <w:pPr>
        <w:pStyle w:val="CERMAINFRONTTEXT"/>
      </w:pPr>
      <w:r>
        <w:t>1</w:t>
      </w:r>
      <w:r w:rsidR="002806C6">
        <w:t>8</w:t>
      </w:r>
      <w:r>
        <w:t xml:space="preserve"> August 2023</w:t>
      </w:r>
    </w:p>
    <w:p w14:paraId="2FDAAB6E" w14:textId="77777777" w:rsidR="003242CD" w:rsidRDefault="003242CD" w:rsidP="002965DE">
      <w:pPr>
        <w:pStyle w:val="CERMAINFRONTTEXT"/>
      </w:pPr>
    </w:p>
    <w:p w14:paraId="62B4E3F1" w14:textId="77777777" w:rsidR="003242CD" w:rsidRDefault="003242CD" w:rsidP="002965DE">
      <w:pPr>
        <w:pStyle w:val="CERMAINFRONTTEXT"/>
      </w:pPr>
    </w:p>
    <w:p w14:paraId="2D1516FF" w14:textId="77777777" w:rsidR="003242CD" w:rsidRPr="002F0687" w:rsidRDefault="003242CD" w:rsidP="002965DE">
      <w:pPr>
        <w:pStyle w:val="CERMAINFRONTTEXT"/>
      </w:pPr>
    </w:p>
    <w:p w14:paraId="6D04D311" w14:textId="77777777" w:rsidR="002965DE" w:rsidRPr="002F0687" w:rsidRDefault="002965DE" w:rsidP="002965DE">
      <w:pPr>
        <w:pStyle w:val="CERNORMAL"/>
        <w:rPr>
          <w:color w:val="auto"/>
        </w:rPr>
      </w:pPr>
    </w:p>
    <w:p w14:paraId="6D04D314" w14:textId="602D9425" w:rsidR="003321E6" w:rsidRPr="002F0687" w:rsidRDefault="003242CD" w:rsidP="002965DE">
      <w:pPr>
        <w:pStyle w:val="CERNORMALHeading1"/>
        <w:tabs>
          <w:tab w:val="clear" w:pos="851"/>
        </w:tabs>
        <w:ind w:left="0"/>
        <w:rPr>
          <w:color w:val="auto"/>
        </w:rPr>
      </w:pPr>
      <w:r>
        <w:t xml:space="preserve">SEM Part A </w:t>
      </w:r>
      <w:r w:rsidR="003321E6" w:rsidRPr="002F0687">
        <w:rPr>
          <w:color w:val="auto"/>
        </w:rPr>
        <w:t>Agreed Procedure</w:t>
      </w:r>
    </w:p>
    <w:p w14:paraId="6D04D315" w14:textId="77777777" w:rsidR="00CB756D" w:rsidRPr="002F0687" w:rsidRDefault="00CB756D">
      <w:pPr>
        <w:rPr>
          <w:rFonts w:cs="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43"/>
        <w:gridCol w:w="7292"/>
      </w:tblGrid>
      <w:tr w:rsidR="00CB756D" w:rsidRPr="002F0687" w14:paraId="6D04D318" w14:textId="77777777">
        <w:tc>
          <w:tcPr>
            <w:tcW w:w="1843" w:type="dxa"/>
            <w:tcBorders>
              <w:top w:val="single" w:sz="6" w:space="0" w:color="auto"/>
              <w:left w:val="single" w:sz="6" w:space="0" w:color="auto"/>
              <w:bottom w:val="nil"/>
              <w:right w:val="nil"/>
            </w:tcBorders>
          </w:tcPr>
          <w:p w14:paraId="6D04D316" w14:textId="77777777" w:rsidR="00CB756D" w:rsidRPr="002F0687" w:rsidRDefault="00CB756D" w:rsidP="002965DE">
            <w:pPr>
              <w:pStyle w:val="CERTableHeader"/>
            </w:pPr>
            <w:r w:rsidRPr="002F0687">
              <w:t>Title</w:t>
            </w:r>
          </w:p>
        </w:tc>
        <w:tc>
          <w:tcPr>
            <w:tcW w:w="7292" w:type="dxa"/>
            <w:tcBorders>
              <w:top w:val="single" w:sz="6" w:space="0" w:color="auto"/>
              <w:left w:val="nil"/>
              <w:bottom w:val="nil"/>
              <w:right w:val="single" w:sz="6" w:space="0" w:color="auto"/>
            </w:tcBorders>
          </w:tcPr>
          <w:p w14:paraId="6D04D317" w14:textId="77777777" w:rsidR="00CB756D" w:rsidRPr="002F0687" w:rsidRDefault="00381DC8" w:rsidP="002965DE">
            <w:pPr>
              <w:pStyle w:val="CERnon-indent"/>
              <w:rPr>
                <w:color w:val="auto"/>
                <w:lang w:val="en-AU"/>
              </w:rPr>
            </w:pPr>
            <w:r>
              <w:rPr>
                <w:color w:val="auto"/>
              </w:rPr>
              <w:t xml:space="preserve">Part A </w:t>
            </w:r>
            <w:r w:rsidR="00CB756D" w:rsidRPr="002F0687">
              <w:rPr>
                <w:color w:val="auto"/>
                <w:lang w:val="en-AU"/>
              </w:rPr>
              <w:t xml:space="preserve">Agreed Procedure </w:t>
            </w:r>
            <w:r w:rsidR="004928CA" w:rsidRPr="002F0687">
              <w:rPr>
                <w:color w:val="auto"/>
                <w:lang w:val="en-AU"/>
              </w:rPr>
              <w:t>17</w:t>
            </w:r>
            <w:r w:rsidR="00CB756D" w:rsidRPr="002F0687">
              <w:rPr>
                <w:color w:val="auto"/>
                <w:lang w:val="en-AU"/>
              </w:rPr>
              <w:t>: Banking and Participant Payments</w:t>
            </w:r>
          </w:p>
        </w:tc>
      </w:tr>
      <w:tr w:rsidR="00CB756D" w:rsidRPr="002F0687" w14:paraId="6D04D31B" w14:textId="77777777">
        <w:tc>
          <w:tcPr>
            <w:tcW w:w="1843" w:type="dxa"/>
            <w:tcBorders>
              <w:top w:val="nil"/>
              <w:left w:val="single" w:sz="6" w:space="0" w:color="auto"/>
              <w:bottom w:val="nil"/>
              <w:right w:val="nil"/>
            </w:tcBorders>
          </w:tcPr>
          <w:p w14:paraId="6D04D319" w14:textId="77777777" w:rsidR="00CB756D" w:rsidRPr="002F0687" w:rsidRDefault="00CB756D" w:rsidP="002965DE">
            <w:pPr>
              <w:pStyle w:val="CERTableHeader"/>
            </w:pPr>
            <w:r w:rsidRPr="002F0687">
              <w:t>Version</w:t>
            </w:r>
          </w:p>
        </w:tc>
        <w:tc>
          <w:tcPr>
            <w:tcW w:w="7292" w:type="dxa"/>
            <w:tcBorders>
              <w:top w:val="nil"/>
              <w:left w:val="nil"/>
              <w:bottom w:val="nil"/>
              <w:right w:val="single" w:sz="6" w:space="0" w:color="auto"/>
            </w:tcBorders>
          </w:tcPr>
          <w:p w14:paraId="6D04D31A" w14:textId="2A5F7745" w:rsidR="00CB756D" w:rsidRPr="002F0687" w:rsidRDefault="00876470" w:rsidP="00386788">
            <w:pPr>
              <w:pStyle w:val="CERnon-indent"/>
              <w:rPr>
                <w:color w:val="auto"/>
                <w:lang w:val="en-AU"/>
              </w:rPr>
            </w:pPr>
            <w:r>
              <w:rPr>
                <w:color w:val="auto"/>
                <w:lang w:val="en-AU"/>
              </w:rPr>
              <w:t>2</w:t>
            </w:r>
            <w:r w:rsidR="006B2065">
              <w:rPr>
                <w:color w:val="auto"/>
                <w:lang w:val="en-AU"/>
              </w:rPr>
              <w:t>8</w:t>
            </w:r>
            <w:r>
              <w:rPr>
                <w:color w:val="auto"/>
                <w:lang w:val="en-AU"/>
              </w:rPr>
              <w:t>.0</w:t>
            </w:r>
          </w:p>
        </w:tc>
      </w:tr>
      <w:tr w:rsidR="00CB756D" w:rsidRPr="002F0687" w14:paraId="6D04D31E" w14:textId="77777777">
        <w:tc>
          <w:tcPr>
            <w:tcW w:w="1843" w:type="dxa"/>
            <w:tcBorders>
              <w:top w:val="nil"/>
              <w:left w:val="single" w:sz="6" w:space="0" w:color="auto"/>
              <w:bottom w:val="single" w:sz="6" w:space="0" w:color="auto"/>
              <w:right w:val="nil"/>
            </w:tcBorders>
          </w:tcPr>
          <w:p w14:paraId="6D04D31C" w14:textId="77777777" w:rsidR="00CB756D" w:rsidRPr="002F0687" w:rsidRDefault="00CB756D" w:rsidP="002965DE">
            <w:pPr>
              <w:pStyle w:val="CERTableHeader"/>
            </w:pPr>
            <w:r w:rsidRPr="002F0687">
              <w:t>Date</w:t>
            </w:r>
          </w:p>
        </w:tc>
        <w:tc>
          <w:tcPr>
            <w:tcW w:w="7292" w:type="dxa"/>
            <w:tcBorders>
              <w:top w:val="nil"/>
              <w:left w:val="nil"/>
              <w:bottom w:val="single" w:sz="6" w:space="0" w:color="auto"/>
              <w:right w:val="single" w:sz="6" w:space="0" w:color="auto"/>
            </w:tcBorders>
          </w:tcPr>
          <w:p w14:paraId="6D04D31D" w14:textId="15FF4CAF" w:rsidR="00CB756D" w:rsidRPr="002F0687" w:rsidRDefault="006B2065" w:rsidP="00386788">
            <w:pPr>
              <w:pStyle w:val="CERnon-indent"/>
              <w:rPr>
                <w:color w:val="auto"/>
                <w:lang w:val="en-AU"/>
              </w:rPr>
            </w:pPr>
            <w:r>
              <w:rPr>
                <w:color w:val="auto"/>
                <w:lang w:val="en-AU"/>
              </w:rPr>
              <w:t>1</w:t>
            </w:r>
            <w:r w:rsidR="002806C6">
              <w:rPr>
                <w:color w:val="auto"/>
                <w:lang w:val="en-AU"/>
              </w:rPr>
              <w:t>8</w:t>
            </w:r>
            <w:r>
              <w:rPr>
                <w:color w:val="auto"/>
                <w:lang w:val="en-AU"/>
              </w:rPr>
              <w:t xml:space="preserve"> August 2023</w:t>
            </w:r>
          </w:p>
        </w:tc>
      </w:tr>
    </w:tbl>
    <w:p w14:paraId="6D04D31F" w14:textId="77777777" w:rsidR="00CB756D" w:rsidRPr="002F0687" w:rsidRDefault="00CB756D">
      <w:pPr>
        <w:rPr>
          <w:rFonts w:cs="Arial"/>
        </w:rPr>
      </w:pPr>
    </w:p>
    <w:p w14:paraId="6D04D320" w14:textId="77777777" w:rsidR="00CB756D" w:rsidRPr="002F0687" w:rsidRDefault="00CB756D">
      <w:pPr>
        <w:rPr>
          <w:rFonts w:cs="Arial"/>
        </w:rPr>
      </w:pPr>
    </w:p>
    <w:p w14:paraId="6D04D321" w14:textId="77777777" w:rsidR="008C6DF7" w:rsidRPr="002F0687" w:rsidRDefault="008C6DF7">
      <w:pPr>
        <w:rPr>
          <w:rFonts w:cs="Arial"/>
        </w:rPr>
      </w:pPr>
    </w:p>
    <w:p w14:paraId="6D04D322" w14:textId="77777777" w:rsidR="008C6DF7" w:rsidRPr="002F0687" w:rsidRDefault="008C6DF7" w:rsidP="008C6DF7">
      <w:pPr>
        <w:tabs>
          <w:tab w:val="left" w:pos="615"/>
        </w:tabs>
        <w:rPr>
          <w:rFonts w:cs="Arial"/>
        </w:rPr>
      </w:pPr>
      <w:r w:rsidRPr="002F0687">
        <w:rPr>
          <w:rFonts w:cs="Arial"/>
        </w:rPr>
        <w:tab/>
      </w:r>
    </w:p>
    <w:p w14:paraId="6D04D323" w14:textId="77777777" w:rsidR="00CB756D" w:rsidRPr="002F0687" w:rsidRDefault="00CB756D" w:rsidP="002965DE">
      <w:pPr>
        <w:pStyle w:val="CERNORMALHeading1"/>
        <w:tabs>
          <w:tab w:val="clear" w:pos="851"/>
        </w:tabs>
        <w:ind w:left="0"/>
        <w:rPr>
          <w:color w:val="auto"/>
        </w:rPr>
      </w:pPr>
      <w:r w:rsidRPr="002F0687">
        <w:rPr>
          <w:color w:val="auto"/>
        </w:rPr>
        <w:br w:type="page"/>
        <w:t>Table of Contents</w:t>
      </w:r>
    </w:p>
    <w:p w14:paraId="6D04D324" w14:textId="77777777" w:rsidR="00CB756D" w:rsidRPr="002F0687" w:rsidRDefault="00CB756D">
      <w:pPr>
        <w:rPr>
          <w:rFonts w:cs="Arial"/>
        </w:rPr>
      </w:pPr>
    </w:p>
    <w:p w14:paraId="6D04D325" w14:textId="77777777" w:rsidR="00006C92" w:rsidRDefault="00D122DF">
      <w:pPr>
        <w:pStyle w:val="TOC1"/>
        <w:rPr>
          <w:rFonts w:asciiTheme="minorHAnsi" w:eastAsiaTheme="minorEastAsia" w:hAnsiTheme="minorHAnsi" w:cstheme="minorBidi"/>
          <w:b w:val="0"/>
          <w:bCs w:val="0"/>
          <w:noProof/>
          <w:sz w:val="22"/>
          <w:szCs w:val="22"/>
          <w:lang w:val="en-US"/>
        </w:rPr>
      </w:pPr>
      <w:r w:rsidRPr="002F0687">
        <w:rPr>
          <w:rFonts w:cs="Arial"/>
          <w:caps/>
        </w:rPr>
        <w:fldChar w:fldCharType="begin"/>
      </w:r>
      <w:r w:rsidR="00E607C8" w:rsidRPr="002F0687">
        <w:rPr>
          <w:rFonts w:cs="Arial"/>
          <w:caps/>
        </w:rPr>
        <w:instrText xml:space="preserve"> TOC \h \z \t "CER HEADING 2,2,AP NUM HEAD 1,1,AP NUM HEAD 2,2,CER NUM APPENDX HD 1,1" </w:instrText>
      </w:r>
      <w:r w:rsidRPr="002F0687">
        <w:rPr>
          <w:rFonts w:cs="Arial"/>
          <w:caps/>
        </w:rPr>
        <w:fldChar w:fldCharType="separate"/>
      </w:r>
      <w:hyperlink w:anchor="_Toc356218097" w:history="1">
        <w:r w:rsidR="00006C92" w:rsidRPr="002B4A7C">
          <w:rPr>
            <w:rStyle w:val="Hyperlink"/>
            <w:noProof/>
          </w:rPr>
          <w:t>1.</w:t>
        </w:r>
        <w:r w:rsidR="00006C92">
          <w:rPr>
            <w:rFonts w:asciiTheme="minorHAnsi" w:eastAsiaTheme="minorEastAsia" w:hAnsiTheme="minorHAnsi" w:cstheme="minorBidi"/>
            <w:b w:val="0"/>
            <w:bCs w:val="0"/>
            <w:noProof/>
            <w:sz w:val="22"/>
            <w:szCs w:val="22"/>
            <w:lang w:val="en-US"/>
          </w:rPr>
          <w:tab/>
        </w:r>
        <w:r w:rsidR="00006C92" w:rsidRPr="002B4A7C">
          <w:rPr>
            <w:rStyle w:val="Hyperlink"/>
            <w:noProof/>
          </w:rPr>
          <w:t>Introduction</w:t>
        </w:r>
        <w:r w:rsidR="00006C92">
          <w:rPr>
            <w:noProof/>
            <w:webHidden/>
          </w:rPr>
          <w:tab/>
        </w:r>
        <w:r>
          <w:rPr>
            <w:noProof/>
            <w:webHidden/>
          </w:rPr>
          <w:fldChar w:fldCharType="begin"/>
        </w:r>
        <w:r w:rsidR="00006C92">
          <w:rPr>
            <w:noProof/>
            <w:webHidden/>
          </w:rPr>
          <w:instrText xml:space="preserve"> PAGEREF _Toc356218097 \h </w:instrText>
        </w:r>
        <w:r>
          <w:rPr>
            <w:noProof/>
            <w:webHidden/>
          </w:rPr>
        </w:r>
        <w:r>
          <w:rPr>
            <w:noProof/>
            <w:webHidden/>
          </w:rPr>
          <w:fldChar w:fldCharType="separate"/>
        </w:r>
        <w:r w:rsidR="00006C92">
          <w:rPr>
            <w:noProof/>
            <w:webHidden/>
          </w:rPr>
          <w:t>6</w:t>
        </w:r>
        <w:r>
          <w:rPr>
            <w:noProof/>
            <w:webHidden/>
          </w:rPr>
          <w:fldChar w:fldCharType="end"/>
        </w:r>
      </w:hyperlink>
    </w:p>
    <w:p w14:paraId="6D04D326"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098" w:history="1">
        <w:r w:rsidR="00006C92" w:rsidRPr="002B4A7C">
          <w:rPr>
            <w:rStyle w:val="Hyperlink"/>
            <w:noProof/>
          </w:rPr>
          <w:t>1.1</w:t>
        </w:r>
        <w:r w:rsidR="00006C92">
          <w:rPr>
            <w:rFonts w:asciiTheme="minorHAnsi" w:eastAsiaTheme="minorEastAsia" w:hAnsiTheme="minorHAnsi" w:cstheme="minorBidi"/>
            <w:noProof/>
            <w:szCs w:val="22"/>
            <w:lang w:val="en-US"/>
          </w:rPr>
          <w:tab/>
        </w:r>
        <w:r w:rsidR="00006C92" w:rsidRPr="002B4A7C">
          <w:rPr>
            <w:rStyle w:val="Hyperlink"/>
            <w:noProof/>
          </w:rPr>
          <w:t>Background &amp; Purpose</w:t>
        </w:r>
        <w:r w:rsidR="00006C92">
          <w:rPr>
            <w:noProof/>
            <w:webHidden/>
          </w:rPr>
          <w:tab/>
        </w:r>
        <w:r w:rsidR="00D122DF">
          <w:rPr>
            <w:noProof/>
            <w:webHidden/>
          </w:rPr>
          <w:fldChar w:fldCharType="begin"/>
        </w:r>
        <w:r w:rsidR="00006C92">
          <w:rPr>
            <w:noProof/>
            <w:webHidden/>
          </w:rPr>
          <w:instrText xml:space="preserve"> PAGEREF _Toc356218098 \h </w:instrText>
        </w:r>
        <w:r w:rsidR="00D122DF">
          <w:rPr>
            <w:noProof/>
            <w:webHidden/>
          </w:rPr>
        </w:r>
        <w:r w:rsidR="00D122DF">
          <w:rPr>
            <w:noProof/>
            <w:webHidden/>
          </w:rPr>
          <w:fldChar w:fldCharType="separate"/>
        </w:r>
        <w:r w:rsidR="00006C92">
          <w:rPr>
            <w:noProof/>
            <w:webHidden/>
          </w:rPr>
          <w:t>6</w:t>
        </w:r>
        <w:r w:rsidR="00D122DF">
          <w:rPr>
            <w:noProof/>
            <w:webHidden/>
          </w:rPr>
          <w:fldChar w:fldCharType="end"/>
        </w:r>
      </w:hyperlink>
    </w:p>
    <w:p w14:paraId="6D04D327"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099" w:history="1">
        <w:r w:rsidR="00006C92" w:rsidRPr="002B4A7C">
          <w:rPr>
            <w:rStyle w:val="Hyperlink"/>
            <w:noProof/>
          </w:rPr>
          <w:t>1.2</w:t>
        </w:r>
        <w:r w:rsidR="00006C92">
          <w:rPr>
            <w:rFonts w:asciiTheme="minorHAnsi" w:eastAsiaTheme="minorEastAsia" w:hAnsiTheme="minorHAnsi" w:cstheme="minorBidi"/>
            <w:noProof/>
            <w:szCs w:val="22"/>
            <w:lang w:val="en-US"/>
          </w:rPr>
          <w:tab/>
        </w:r>
        <w:r w:rsidR="00006C92" w:rsidRPr="002B4A7C">
          <w:rPr>
            <w:rStyle w:val="Hyperlink"/>
            <w:noProof/>
          </w:rPr>
          <w:t>Scope of Agreed Procedure</w:t>
        </w:r>
        <w:r w:rsidR="00006C92">
          <w:rPr>
            <w:noProof/>
            <w:webHidden/>
          </w:rPr>
          <w:tab/>
        </w:r>
        <w:r w:rsidR="00D122DF">
          <w:rPr>
            <w:noProof/>
            <w:webHidden/>
          </w:rPr>
          <w:fldChar w:fldCharType="begin"/>
        </w:r>
        <w:r w:rsidR="00006C92">
          <w:rPr>
            <w:noProof/>
            <w:webHidden/>
          </w:rPr>
          <w:instrText xml:space="preserve"> PAGEREF _Toc356218099 \h </w:instrText>
        </w:r>
        <w:r w:rsidR="00D122DF">
          <w:rPr>
            <w:noProof/>
            <w:webHidden/>
          </w:rPr>
        </w:r>
        <w:r w:rsidR="00D122DF">
          <w:rPr>
            <w:noProof/>
            <w:webHidden/>
          </w:rPr>
          <w:fldChar w:fldCharType="separate"/>
        </w:r>
        <w:r w:rsidR="00006C92">
          <w:rPr>
            <w:noProof/>
            <w:webHidden/>
          </w:rPr>
          <w:t>6</w:t>
        </w:r>
        <w:r w:rsidR="00D122DF">
          <w:rPr>
            <w:noProof/>
            <w:webHidden/>
          </w:rPr>
          <w:fldChar w:fldCharType="end"/>
        </w:r>
      </w:hyperlink>
    </w:p>
    <w:p w14:paraId="6D04D328"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100" w:history="1">
        <w:r w:rsidR="00006C92" w:rsidRPr="002B4A7C">
          <w:rPr>
            <w:rStyle w:val="Hyperlink"/>
            <w:noProof/>
          </w:rPr>
          <w:t>1.3</w:t>
        </w:r>
        <w:r w:rsidR="00006C92">
          <w:rPr>
            <w:rFonts w:asciiTheme="minorHAnsi" w:eastAsiaTheme="minorEastAsia" w:hAnsiTheme="minorHAnsi" w:cstheme="minorBidi"/>
            <w:noProof/>
            <w:szCs w:val="22"/>
            <w:lang w:val="en-US"/>
          </w:rPr>
          <w:tab/>
        </w:r>
        <w:r w:rsidR="00006C92" w:rsidRPr="002B4A7C">
          <w:rPr>
            <w:rStyle w:val="Hyperlink"/>
            <w:noProof/>
          </w:rPr>
          <w:t>Definitions</w:t>
        </w:r>
        <w:r w:rsidR="00006C92">
          <w:rPr>
            <w:noProof/>
            <w:webHidden/>
          </w:rPr>
          <w:tab/>
        </w:r>
        <w:r w:rsidR="00D122DF">
          <w:rPr>
            <w:noProof/>
            <w:webHidden/>
          </w:rPr>
          <w:fldChar w:fldCharType="begin"/>
        </w:r>
        <w:r w:rsidR="00006C92">
          <w:rPr>
            <w:noProof/>
            <w:webHidden/>
          </w:rPr>
          <w:instrText xml:space="preserve"> PAGEREF _Toc356218100 \h </w:instrText>
        </w:r>
        <w:r w:rsidR="00D122DF">
          <w:rPr>
            <w:noProof/>
            <w:webHidden/>
          </w:rPr>
        </w:r>
        <w:r w:rsidR="00D122DF">
          <w:rPr>
            <w:noProof/>
            <w:webHidden/>
          </w:rPr>
          <w:fldChar w:fldCharType="separate"/>
        </w:r>
        <w:r w:rsidR="00006C92">
          <w:rPr>
            <w:noProof/>
            <w:webHidden/>
          </w:rPr>
          <w:t>6</w:t>
        </w:r>
        <w:r w:rsidR="00D122DF">
          <w:rPr>
            <w:noProof/>
            <w:webHidden/>
          </w:rPr>
          <w:fldChar w:fldCharType="end"/>
        </w:r>
      </w:hyperlink>
    </w:p>
    <w:p w14:paraId="6D04D329"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101" w:history="1">
        <w:r w:rsidR="00006C92" w:rsidRPr="002B4A7C">
          <w:rPr>
            <w:rStyle w:val="Hyperlink"/>
            <w:noProof/>
          </w:rPr>
          <w:t>1.4</w:t>
        </w:r>
        <w:r w:rsidR="00006C92">
          <w:rPr>
            <w:rFonts w:asciiTheme="minorHAnsi" w:eastAsiaTheme="minorEastAsia" w:hAnsiTheme="minorHAnsi" w:cstheme="minorBidi"/>
            <w:noProof/>
            <w:szCs w:val="22"/>
            <w:lang w:val="en-US"/>
          </w:rPr>
          <w:tab/>
        </w:r>
        <w:r w:rsidR="00006C92" w:rsidRPr="002B4A7C">
          <w:rPr>
            <w:rStyle w:val="Hyperlink"/>
            <w:noProof/>
          </w:rPr>
          <w:t>Compliance with Agreed Procedure</w:t>
        </w:r>
        <w:r w:rsidR="00006C92">
          <w:rPr>
            <w:noProof/>
            <w:webHidden/>
          </w:rPr>
          <w:tab/>
        </w:r>
        <w:r w:rsidR="00D122DF">
          <w:rPr>
            <w:noProof/>
            <w:webHidden/>
          </w:rPr>
          <w:fldChar w:fldCharType="begin"/>
        </w:r>
        <w:r w:rsidR="00006C92">
          <w:rPr>
            <w:noProof/>
            <w:webHidden/>
          </w:rPr>
          <w:instrText xml:space="preserve"> PAGEREF _Toc356218101 \h </w:instrText>
        </w:r>
        <w:r w:rsidR="00D122DF">
          <w:rPr>
            <w:noProof/>
            <w:webHidden/>
          </w:rPr>
        </w:r>
        <w:r w:rsidR="00D122DF">
          <w:rPr>
            <w:noProof/>
            <w:webHidden/>
          </w:rPr>
          <w:fldChar w:fldCharType="separate"/>
        </w:r>
        <w:r w:rsidR="00006C92">
          <w:rPr>
            <w:noProof/>
            <w:webHidden/>
          </w:rPr>
          <w:t>6</w:t>
        </w:r>
        <w:r w:rsidR="00D122DF">
          <w:rPr>
            <w:noProof/>
            <w:webHidden/>
          </w:rPr>
          <w:fldChar w:fldCharType="end"/>
        </w:r>
      </w:hyperlink>
    </w:p>
    <w:p w14:paraId="6D04D32A" w14:textId="77777777" w:rsidR="00006C92" w:rsidRDefault="004963D4">
      <w:pPr>
        <w:pStyle w:val="TOC1"/>
        <w:rPr>
          <w:rFonts w:asciiTheme="minorHAnsi" w:eastAsiaTheme="minorEastAsia" w:hAnsiTheme="minorHAnsi" w:cstheme="minorBidi"/>
          <w:b w:val="0"/>
          <w:bCs w:val="0"/>
          <w:noProof/>
          <w:sz w:val="22"/>
          <w:szCs w:val="22"/>
          <w:lang w:val="en-US"/>
        </w:rPr>
      </w:pPr>
      <w:hyperlink w:anchor="_Toc356218102" w:history="1">
        <w:r w:rsidR="00006C92" w:rsidRPr="002B4A7C">
          <w:rPr>
            <w:rStyle w:val="Hyperlink"/>
            <w:noProof/>
          </w:rPr>
          <w:t>2.</w:t>
        </w:r>
        <w:r w:rsidR="00006C92">
          <w:rPr>
            <w:rFonts w:asciiTheme="minorHAnsi" w:eastAsiaTheme="minorEastAsia" w:hAnsiTheme="minorHAnsi" w:cstheme="minorBidi"/>
            <w:b w:val="0"/>
            <w:bCs w:val="0"/>
            <w:noProof/>
            <w:sz w:val="22"/>
            <w:szCs w:val="22"/>
            <w:lang w:val="en-US"/>
          </w:rPr>
          <w:tab/>
        </w:r>
        <w:r w:rsidR="00006C92" w:rsidRPr="002B4A7C">
          <w:rPr>
            <w:rStyle w:val="Hyperlink"/>
            <w:noProof/>
          </w:rPr>
          <w:t>Descriptive Overview</w:t>
        </w:r>
        <w:r w:rsidR="00006C92">
          <w:rPr>
            <w:noProof/>
            <w:webHidden/>
          </w:rPr>
          <w:tab/>
        </w:r>
        <w:r w:rsidR="00D122DF">
          <w:rPr>
            <w:noProof/>
            <w:webHidden/>
          </w:rPr>
          <w:fldChar w:fldCharType="begin"/>
        </w:r>
        <w:r w:rsidR="00006C92">
          <w:rPr>
            <w:noProof/>
            <w:webHidden/>
          </w:rPr>
          <w:instrText xml:space="preserve"> PAGEREF _Toc356218102 \h </w:instrText>
        </w:r>
        <w:r w:rsidR="00D122DF">
          <w:rPr>
            <w:noProof/>
            <w:webHidden/>
          </w:rPr>
        </w:r>
        <w:r w:rsidR="00D122DF">
          <w:rPr>
            <w:noProof/>
            <w:webHidden/>
          </w:rPr>
          <w:fldChar w:fldCharType="separate"/>
        </w:r>
        <w:r w:rsidR="00006C92">
          <w:rPr>
            <w:noProof/>
            <w:webHidden/>
          </w:rPr>
          <w:t>7</w:t>
        </w:r>
        <w:r w:rsidR="00D122DF">
          <w:rPr>
            <w:noProof/>
            <w:webHidden/>
          </w:rPr>
          <w:fldChar w:fldCharType="end"/>
        </w:r>
      </w:hyperlink>
    </w:p>
    <w:p w14:paraId="6D04D32B"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103" w:history="1">
        <w:r w:rsidR="00006C92" w:rsidRPr="002B4A7C">
          <w:rPr>
            <w:rStyle w:val="Hyperlink"/>
            <w:noProof/>
            <w:snapToGrid w:val="0"/>
          </w:rPr>
          <w:t>2.1</w:t>
        </w:r>
        <w:r w:rsidR="00006C92">
          <w:rPr>
            <w:rFonts w:asciiTheme="minorHAnsi" w:eastAsiaTheme="minorEastAsia" w:hAnsiTheme="minorHAnsi" w:cstheme="minorBidi"/>
            <w:noProof/>
            <w:szCs w:val="22"/>
            <w:lang w:val="en-US"/>
          </w:rPr>
          <w:tab/>
        </w:r>
        <w:r w:rsidR="00006C92" w:rsidRPr="002B4A7C">
          <w:rPr>
            <w:rStyle w:val="Hyperlink"/>
            <w:noProof/>
            <w:snapToGrid w:val="0"/>
          </w:rPr>
          <w:t>Banking Arrangements</w:t>
        </w:r>
        <w:r w:rsidR="00006C92">
          <w:rPr>
            <w:noProof/>
            <w:webHidden/>
          </w:rPr>
          <w:tab/>
        </w:r>
        <w:r w:rsidR="00D122DF">
          <w:rPr>
            <w:noProof/>
            <w:webHidden/>
          </w:rPr>
          <w:fldChar w:fldCharType="begin"/>
        </w:r>
        <w:r w:rsidR="00006C92">
          <w:rPr>
            <w:noProof/>
            <w:webHidden/>
          </w:rPr>
          <w:instrText xml:space="preserve"> PAGEREF _Toc356218103 \h </w:instrText>
        </w:r>
        <w:r w:rsidR="00D122DF">
          <w:rPr>
            <w:noProof/>
            <w:webHidden/>
          </w:rPr>
        </w:r>
        <w:r w:rsidR="00D122DF">
          <w:rPr>
            <w:noProof/>
            <w:webHidden/>
          </w:rPr>
          <w:fldChar w:fldCharType="separate"/>
        </w:r>
        <w:r w:rsidR="00006C92">
          <w:rPr>
            <w:noProof/>
            <w:webHidden/>
          </w:rPr>
          <w:t>7</w:t>
        </w:r>
        <w:r w:rsidR="00D122DF">
          <w:rPr>
            <w:noProof/>
            <w:webHidden/>
          </w:rPr>
          <w:fldChar w:fldCharType="end"/>
        </w:r>
      </w:hyperlink>
    </w:p>
    <w:p w14:paraId="6D04D32C"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104" w:history="1">
        <w:r w:rsidR="00006C92" w:rsidRPr="002B4A7C">
          <w:rPr>
            <w:rStyle w:val="Hyperlink"/>
            <w:noProof/>
          </w:rPr>
          <w:t>2.2</w:t>
        </w:r>
        <w:r w:rsidR="00006C92">
          <w:rPr>
            <w:rFonts w:asciiTheme="minorHAnsi" w:eastAsiaTheme="minorEastAsia" w:hAnsiTheme="minorHAnsi" w:cstheme="minorBidi"/>
            <w:noProof/>
            <w:szCs w:val="22"/>
            <w:lang w:val="en-US"/>
          </w:rPr>
          <w:tab/>
        </w:r>
        <w:r w:rsidR="00006C92" w:rsidRPr="002B4A7C">
          <w:rPr>
            <w:rStyle w:val="Hyperlink"/>
            <w:noProof/>
          </w:rPr>
          <w:t>Elements of the Banking Arrangements</w:t>
        </w:r>
        <w:r w:rsidR="00006C92">
          <w:rPr>
            <w:noProof/>
            <w:webHidden/>
          </w:rPr>
          <w:tab/>
        </w:r>
        <w:r w:rsidR="00D122DF">
          <w:rPr>
            <w:noProof/>
            <w:webHidden/>
          </w:rPr>
          <w:fldChar w:fldCharType="begin"/>
        </w:r>
        <w:r w:rsidR="00006C92">
          <w:rPr>
            <w:noProof/>
            <w:webHidden/>
          </w:rPr>
          <w:instrText xml:space="preserve"> PAGEREF _Toc356218104 \h </w:instrText>
        </w:r>
        <w:r w:rsidR="00D122DF">
          <w:rPr>
            <w:noProof/>
            <w:webHidden/>
          </w:rPr>
        </w:r>
        <w:r w:rsidR="00D122DF">
          <w:rPr>
            <w:noProof/>
            <w:webHidden/>
          </w:rPr>
          <w:fldChar w:fldCharType="separate"/>
        </w:r>
        <w:r w:rsidR="00006C92">
          <w:rPr>
            <w:noProof/>
            <w:webHidden/>
          </w:rPr>
          <w:t>7</w:t>
        </w:r>
        <w:r w:rsidR="00D122DF">
          <w:rPr>
            <w:noProof/>
            <w:webHidden/>
          </w:rPr>
          <w:fldChar w:fldCharType="end"/>
        </w:r>
      </w:hyperlink>
    </w:p>
    <w:p w14:paraId="6D04D32D"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105" w:history="1">
        <w:r w:rsidR="00006C92" w:rsidRPr="002B4A7C">
          <w:rPr>
            <w:rStyle w:val="Hyperlink"/>
            <w:noProof/>
          </w:rPr>
          <w:t>2.3</w:t>
        </w:r>
        <w:r w:rsidR="00006C92">
          <w:rPr>
            <w:rFonts w:asciiTheme="minorHAnsi" w:eastAsiaTheme="minorEastAsia" w:hAnsiTheme="minorHAnsi" w:cstheme="minorBidi"/>
            <w:noProof/>
            <w:szCs w:val="22"/>
            <w:lang w:val="en-US"/>
          </w:rPr>
          <w:tab/>
        </w:r>
        <w:r w:rsidR="00006C92" w:rsidRPr="002B4A7C">
          <w:rPr>
            <w:rStyle w:val="Hyperlink"/>
            <w:noProof/>
          </w:rPr>
          <w:t>Bank Accounts</w:t>
        </w:r>
        <w:r w:rsidR="00006C92">
          <w:rPr>
            <w:noProof/>
            <w:webHidden/>
          </w:rPr>
          <w:tab/>
        </w:r>
        <w:r w:rsidR="00D122DF">
          <w:rPr>
            <w:noProof/>
            <w:webHidden/>
          </w:rPr>
          <w:fldChar w:fldCharType="begin"/>
        </w:r>
        <w:r w:rsidR="00006C92">
          <w:rPr>
            <w:noProof/>
            <w:webHidden/>
          </w:rPr>
          <w:instrText xml:space="preserve"> PAGEREF _Toc356218105 \h </w:instrText>
        </w:r>
        <w:r w:rsidR="00D122DF">
          <w:rPr>
            <w:noProof/>
            <w:webHidden/>
          </w:rPr>
        </w:r>
        <w:r w:rsidR="00D122DF">
          <w:rPr>
            <w:noProof/>
            <w:webHidden/>
          </w:rPr>
          <w:fldChar w:fldCharType="separate"/>
        </w:r>
        <w:r w:rsidR="00006C92">
          <w:rPr>
            <w:noProof/>
            <w:webHidden/>
          </w:rPr>
          <w:t>7</w:t>
        </w:r>
        <w:r w:rsidR="00D122DF">
          <w:rPr>
            <w:noProof/>
            <w:webHidden/>
          </w:rPr>
          <w:fldChar w:fldCharType="end"/>
        </w:r>
      </w:hyperlink>
    </w:p>
    <w:p w14:paraId="6D04D32E"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106" w:history="1">
        <w:r w:rsidR="00006C92" w:rsidRPr="002B4A7C">
          <w:rPr>
            <w:rStyle w:val="Hyperlink"/>
            <w:noProof/>
          </w:rPr>
          <w:t>2.4</w:t>
        </w:r>
        <w:r w:rsidR="00006C92">
          <w:rPr>
            <w:rFonts w:asciiTheme="minorHAnsi" w:eastAsiaTheme="minorEastAsia" w:hAnsiTheme="minorHAnsi" w:cstheme="minorBidi"/>
            <w:noProof/>
            <w:szCs w:val="22"/>
            <w:lang w:val="en-US"/>
          </w:rPr>
          <w:tab/>
        </w:r>
        <w:r w:rsidR="00006C92" w:rsidRPr="002B4A7C">
          <w:rPr>
            <w:rStyle w:val="Hyperlink"/>
            <w:noProof/>
          </w:rPr>
          <w:t>Online Banking</w:t>
        </w:r>
        <w:r w:rsidR="00006C92">
          <w:rPr>
            <w:noProof/>
            <w:webHidden/>
          </w:rPr>
          <w:tab/>
        </w:r>
        <w:r w:rsidR="00D122DF">
          <w:rPr>
            <w:noProof/>
            <w:webHidden/>
          </w:rPr>
          <w:fldChar w:fldCharType="begin"/>
        </w:r>
        <w:r w:rsidR="00006C92">
          <w:rPr>
            <w:noProof/>
            <w:webHidden/>
          </w:rPr>
          <w:instrText xml:space="preserve"> PAGEREF _Toc356218106 \h </w:instrText>
        </w:r>
        <w:r w:rsidR="00D122DF">
          <w:rPr>
            <w:noProof/>
            <w:webHidden/>
          </w:rPr>
        </w:r>
        <w:r w:rsidR="00D122DF">
          <w:rPr>
            <w:noProof/>
            <w:webHidden/>
          </w:rPr>
          <w:fldChar w:fldCharType="separate"/>
        </w:r>
        <w:r w:rsidR="00006C92">
          <w:rPr>
            <w:noProof/>
            <w:webHidden/>
          </w:rPr>
          <w:t>8</w:t>
        </w:r>
        <w:r w:rsidR="00D122DF">
          <w:rPr>
            <w:noProof/>
            <w:webHidden/>
          </w:rPr>
          <w:fldChar w:fldCharType="end"/>
        </w:r>
      </w:hyperlink>
    </w:p>
    <w:p w14:paraId="6D04D32F"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107" w:history="1">
        <w:r w:rsidR="00006C92" w:rsidRPr="002B4A7C">
          <w:rPr>
            <w:rStyle w:val="Hyperlink"/>
            <w:noProof/>
          </w:rPr>
          <w:t>2.5</w:t>
        </w:r>
        <w:r w:rsidR="00006C92">
          <w:rPr>
            <w:rFonts w:asciiTheme="minorHAnsi" w:eastAsiaTheme="minorEastAsia" w:hAnsiTheme="minorHAnsi" w:cstheme="minorBidi"/>
            <w:noProof/>
            <w:szCs w:val="22"/>
            <w:lang w:val="en-US"/>
          </w:rPr>
          <w:tab/>
        </w:r>
        <w:r w:rsidR="00006C92" w:rsidRPr="002B4A7C">
          <w:rPr>
            <w:rStyle w:val="Hyperlink"/>
            <w:noProof/>
          </w:rPr>
          <w:t>Payments from Participants</w:t>
        </w:r>
        <w:r w:rsidR="00006C92">
          <w:rPr>
            <w:noProof/>
            <w:webHidden/>
          </w:rPr>
          <w:tab/>
        </w:r>
        <w:r w:rsidR="00D122DF">
          <w:rPr>
            <w:noProof/>
            <w:webHidden/>
          </w:rPr>
          <w:fldChar w:fldCharType="begin"/>
        </w:r>
        <w:r w:rsidR="00006C92">
          <w:rPr>
            <w:noProof/>
            <w:webHidden/>
          </w:rPr>
          <w:instrText xml:space="preserve"> PAGEREF _Toc356218107 \h </w:instrText>
        </w:r>
        <w:r w:rsidR="00D122DF">
          <w:rPr>
            <w:noProof/>
            <w:webHidden/>
          </w:rPr>
        </w:r>
        <w:r w:rsidR="00D122DF">
          <w:rPr>
            <w:noProof/>
            <w:webHidden/>
          </w:rPr>
          <w:fldChar w:fldCharType="separate"/>
        </w:r>
        <w:r w:rsidR="00006C92">
          <w:rPr>
            <w:noProof/>
            <w:webHidden/>
          </w:rPr>
          <w:t>9</w:t>
        </w:r>
        <w:r w:rsidR="00D122DF">
          <w:rPr>
            <w:noProof/>
            <w:webHidden/>
          </w:rPr>
          <w:fldChar w:fldCharType="end"/>
        </w:r>
      </w:hyperlink>
    </w:p>
    <w:p w14:paraId="6D04D330"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108" w:history="1">
        <w:r w:rsidR="00006C92" w:rsidRPr="002B4A7C">
          <w:rPr>
            <w:rStyle w:val="Hyperlink"/>
            <w:noProof/>
          </w:rPr>
          <w:t>2.6</w:t>
        </w:r>
        <w:r w:rsidR="00006C92">
          <w:rPr>
            <w:rFonts w:asciiTheme="minorHAnsi" w:eastAsiaTheme="minorEastAsia" w:hAnsiTheme="minorHAnsi" w:cstheme="minorBidi"/>
            <w:noProof/>
            <w:szCs w:val="22"/>
            <w:lang w:val="en-US"/>
          </w:rPr>
          <w:tab/>
        </w:r>
        <w:r w:rsidR="00006C92" w:rsidRPr="002B4A7C">
          <w:rPr>
            <w:rStyle w:val="Hyperlink"/>
            <w:noProof/>
          </w:rPr>
          <w:t>Payments to Participants</w:t>
        </w:r>
        <w:r w:rsidR="00006C92">
          <w:rPr>
            <w:noProof/>
            <w:webHidden/>
          </w:rPr>
          <w:tab/>
        </w:r>
        <w:r w:rsidR="00D122DF">
          <w:rPr>
            <w:noProof/>
            <w:webHidden/>
          </w:rPr>
          <w:fldChar w:fldCharType="begin"/>
        </w:r>
        <w:r w:rsidR="00006C92">
          <w:rPr>
            <w:noProof/>
            <w:webHidden/>
          </w:rPr>
          <w:instrText xml:space="preserve"> PAGEREF _Toc356218108 \h </w:instrText>
        </w:r>
        <w:r w:rsidR="00D122DF">
          <w:rPr>
            <w:noProof/>
            <w:webHidden/>
          </w:rPr>
        </w:r>
        <w:r w:rsidR="00D122DF">
          <w:rPr>
            <w:noProof/>
            <w:webHidden/>
          </w:rPr>
          <w:fldChar w:fldCharType="separate"/>
        </w:r>
        <w:r w:rsidR="00006C92">
          <w:rPr>
            <w:noProof/>
            <w:webHidden/>
          </w:rPr>
          <w:t>12</w:t>
        </w:r>
        <w:r w:rsidR="00D122DF">
          <w:rPr>
            <w:noProof/>
            <w:webHidden/>
          </w:rPr>
          <w:fldChar w:fldCharType="end"/>
        </w:r>
      </w:hyperlink>
    </w:p>
    <w:p w14:paraId="6D04D331"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109" w:history="1">
        <w:r w:rsidR="00006C92" w:rsidRPr="002B4A7C">
          <w:rPr>
            <w:rStyle w:val="Hyperlink"/>
            <w:noProof/>
          </w:rPr>
          <w:t>2.7</w:t>
        </w:r>
        <w:r w:rsidR="00006C92">
          <w:rPr>
            <w:rFonts w:asciiTheme="minorHAnsi" w:eastAsiaTheme="minorEastAsia" w:hAnsiTheme="minorHAnsi" w:cstheme="minorBidi"/>
            <w:noProof/>
            <w:szCs w:val="22"/>
            <w:lang w:val="en-US"/>
          </w:rPr>
          <w:tab/>
        </w:r>
        <w:r w:rsidR="00006C92" w:rsidRPr="002B4A7C">
          <w:rPr>
            <w:rStyle w:val="Hyperlink"/>
            <w:noProof/>
          </w:rPr>
          <w:t>Collateral Reserve Accounts</w:t>
        </w:r>
        <w:r w:rsidR="00006C92">
          <w:rPr>
            <w:noProof/>
            <w:webHidden/>
          </w:rPr>
          <w:tab/>
        </w:r>
        <w:r w:rsidR="00D122DF">
          <w:rPr>
            <w:noProof/>
            <w:webHidden/>
          </w:rPr>
          <w:fldChar w:fldCharType="begin"/>
        </w:r>
        <w:r w:rsidR="00006C92">
          <w:rPr>
            <w:noProof/>
            <w:webHidden/>
          </w:rPr>
          <w:instrText xml:space="preserve"> PAGEREF _Toc356218109 \h </w:instrText>
        </w:r>
        <w:r w:rsidR="00D122DF">
          <w:rPr>
            <w:noProof/>
            <w:webHidden/>
          </w:rPr>
        </w:r>
        <w:r w:rsidR="00D122DF">
          <w:rPr>
            <w:noProof/>
            <w:webHidden/>
          </w:rPr>
          <w:fldChar w:fldCharType="separate"/>
        </w:r>
        <w:r w:rsidR="00006C92">
          <w:rPr>
            <w:noProof/>
            <w:webHidden/>
          </w:rPr>
          <w:t>12</w:t>
        </w:r>
        <w:r w:rsidR="00D122DF">
          <w:rPr>
            <w:noProof/>
            <w:webHidden/>
          </w:rPr>
          <w:fldChar w:fldCharType="end"/>
        </w:r>
      </w:hyperlink>
    </w:p>
    <w:p w14:paraId="6D04D332" w14:textId="77777777" w:rsidR="00006C92" w:rsidRDefault="004963D4">
      <w:pPr>
        <w:pStyle w:val="TOC2"/>
        <w:tabs>
          <w:tab w:val="left" w:pos="1135"/>
        </w:tabs>
        <w:rPr>
          <w:rFonts w:asciiTheme="minorHAnsi" w:eastAsiaTheme="minorEastAsia" w:hAnsiTheme="minorHAnsi" w:cstheme="minorBidi"/>
          <w:noProof/>
          <w:szCs w:val="22"/>
          <w:lang w:val="en-US"/>
        </w:rPr>
      </w:pPr>
      <w:hyperlink w:anchor="_Toc356218110" w:history="1">
        <w:r w:rsidR="00006C92" w:rsidRPr="002B4A7C">
          <w:rPr>
            <w:rStyle w:val="Hyperlink"/>
            <w:noProof/>
          </w:rPr>
          <w:t>2.8</w:t>
        </w:r>
        <w:r w:rsidR="00006C92">
          <w:rPr>
            <w:rFonts w:asciiTheme="minorHAnsi" w:eastAsiaTheme="minorEastAsia" w:hAnsiTheme="minorHAnsi" w:cstheme="minorBidi"/>
            <w:noProof/>
            <w:szCs w:val="22"/>
            <w:lang w:val="en-US"/>
          </w:rPr>
          <w:tab/>
        </w:r>
        <w:r w:rsidR="00006C92" w:rsidRPr="002B4A7C">
          <w:rPr>
            <w:rStyle w:val="Hyperlink"/>
            <w:noProof/>
          </w:rPr>
          <w:t>Business Continuity</w:t>
        </w:r>
        <w:r w:rsidR="00006C92">
          <w:rPr>
            <w:noProof/>
            <w:webHidden/>
          </w:rPr>
          <w:tab/>
        </w:r>
        <w:r w:rsidR="00D122DF">
          <w:rPr>
            <w:noProof/>
            <w:webHidden/>
          </w:rPr>
          <w:fldChar w:fldCharType="begin"/>
        </w:r>
        <w:r w:rsidR="00006C92">
          <w:rPr>
            <w:noProof/>
            <w:webHidden/>
          </w:rPr>
          <w:instrText xml:space="preserve"> PAGEREF _Toc356218110 \h </w:instrText>
        </w:r>
        <w:r w:rsidR="00D122DF">
          <w:rPr>
            <w:noProof/>
            <w:webHidden/>
          </w:rPr>
        </w:r>
        <w:r w:rsidR="00D122DF">
          <w:rPr>
            <w:noProof/>
            <w:webHidden/>
          </w:rPr>
          <w:fldChar w:fldCharType="separate"/>
        </w:r>
        <w:r w:rsidR="00006C92">
          <w:rPr>
            <w:noProof/>
            <w:webHidden/>
          </w:rPr>
          <w:t>13</w:t>
        </w:r>
        <w:r w:rsidR="00D122DF">
          <w:rPr>
            <w:noProof/>
            <w:webHidden/>
          </w:rPr>
          <w:fldChar w:fldCharType="end"/>
        </w:r>
      </w:hyperlink>
    </w:p>
    <w:p w14:paraId="6D04D333" w14:textId="77777777" w:rsidR="00006C92" w:rsidRDefault="004963D4">
      <w:pPr>
        <w:pStyle w:val="TOC1"/>
        <w:rPr>
          <w:rFonts w:asciiTheme="minorHAnsi" w:eastAsiaTheme="minorEastAsia" w:hAnsiTheme="minorHAnsi" w:cstheme="minorBidi"/>
          <w:b w:val="0"/>
          <w:bCs w:val="0"/>
          <w:noProof/>
          <w:sz w:val="22"/>
          <w:szCs w:val="22"/>
          <w:lang w:val="en-US"/>
        </w:rPr>
      </w:pPr>
      <w:hyperlink w:anchor="_Toc356218111" w:history="1">
        <w:r w:rsidR="00006C92" w:rsidRPr="002B4A7C">
          <w:rPr>
            <w:rStyle w:val="Hyperlink"/>
            <w:noProof/>
          </w:rPr>
          <w:t>APPENDIX 1: Appendix</w:t>
        </w:r>
        <w:r w:rsidR="00006C92">
          <w:rPr>
            <w:noProof/>
            <w:webHidden/>
          </w:rPr>
          <w:tab/>
        </w:r>
        <w:r w:rsidR="00D122DF">
          <w:rPr>
            <w:noProof/>
            <w:webHidden/>
          </w:rPr>
          <w:fldChar w:fldCharType="begin"/>
        </w:r>
        <w:r w:rsidR="00006C92">
          <w:rPr>
            <w:noProof/>
            <w:webHidden/>
          </w:rPr>
          <w:instrText xml:space="preserve"> PAGEREF _Toc356218111 \h </w:instrText>
        </w:r>
        <w:r w:rsidR="00D122DF">
          <w:rPr>
            <w:noProof/>
            <w:webHidden/>
          </w:rPr>
        </w:r>
        <w:r w:rsidR="00D122DF">
          <w:rPr>
            <w:noProof/>
            <w:webHidden/>
          </w:rPr>
          <w:fldChar w:fldCharType="separate"/>
        </w:r>
        <w:r w:rsidR="00006C92">
          <w:rPr>
            <w:noProof/>
            <w:webHidden/>
          </w:rPr>
          <w:t>14</w:t>
        </w:r>
        <w:r w:rsidR="00D122DF">
          <w:rPr>
            <w:noProof/>
            <w:webHidden/>
          </w:rPr>
          <w:fldChar w:fldCharType="end"/>
        </w:r>
      </w:hyperlink>
    </w:p>
    <w:p w14:paraId="6D04D334" w14:textId="77777777" w:rsidR="00006C92" w:rsidRDefault="004963D4">
      <w:pPr>
        <w:pStyle w:val="TOC2"/>
        <w:rPr>
          <w:rFonts w:asciiTheme="minorHAnsi" w:eastAsiaTheme="minorEastAsia" w:hAnsiTheme="minorHAnsi" w:cstheme="minorBidi"/>
          <w:noProof/>
          <w:szCs w:val="22"/>
          <w:lang w:val="en-US"/>
        </w:rPr>
      </w:pPr>
      <w:hyperlink w:anchor="_Toc356218112" w:history="1">
        <w:r w:rsidR="00006C92" w:rsidRPr="002B4A7C">
          <w:rPr>
            <w:rStyle w:val="Hyperlink"/>
            <w:noProof/>
          </w:rPr>
          <w:t>Bank Accounts</w:t>
        </w:r>
        <w:r w:rsidR="00006C92">
          <w:rPr>
            <w:noProof/>
            <w:webHidden/>
          </w:rPr>
          <w:tab/>
        </w:r>
        <w:r w:rsidR="00D122DF">
          <w:rPr>
            <w:noProof/>
            <w:webHidden/>
          </w:rPr>
          <w:fldChar w:fldCharType="begin"/>
        </w:r>
        <w:r w:rsidR="00006C92">
          <w:rPr>
            <w:noProof/>
            <w:webHidden/>
          </w:rPr>
          <w:instrText xml:space="preserve"> PAGEREF _Toc356218112 \h </w:instrText>
        </w:r>
        <w:r w:rsidR="00D122DF">
          <w:rPr>
            <w:noProof/>
            <w:webHidden/>
          </w:rPr>
        </w:r>
        <w:r w:rsidR="00D122DF">
          <w:rPr>
            <w:noProof/>
            <w:webHidden/>
          </w:rPr>
          <w:fldChar w:fldCharType="separate"/>
        </w:r>
        <w:r w:rsidR="00006C92">
          <w:rPr>
            <w:noProof/>
            <w:webHidden/>
          </w:rPr>
          <w:t>14</w:t>
        </w:r>
        <w:r w:rsidR="00D122DF">
          <w:rPr>
            <w:noProof/>
            <w:webHidden/>
          </w:rPr>
          <w:fldChar w:fldCharType="end"/>
        </w:r>
      </w:hyperlink>
    </w:p>
    <w:p w14:paraId="6D04D335" w14:textId="77777777" w:rsidR="00006C92" w:rsidRDefault="004963D4">
      <w:pPr>
        <w:pStyle w:val="TOC2"/>
        <w:rPr>
          <w:rFonts w:asciiTheme="minorHAnsi" w:eastAsiaTheme="minorEastAsia" w:hAnsiTheme="minorHAnsi" w:cstheme="minorBidi"/>
          <w:noProof/>
          <w:szCs w:val="22"/>
          <w:lang w:val="en-US"/>
        </w:rPr>
      </w:pPr>
      <w:hyperlink w:anchor="_Toc356218113" w:history="1">
        <w:r w:rsidR="00006C92" w:rsidRPr="002B4A7C">
          <w:rPr>
            <w:rStyle w:val="Hyperlink"/>
            <w:noProof/>
          </w:rPr>
          <w:t>Definitions and Abbreviations</w:t>
        </w:r>
        <w:r w:rsidR="00006C92">
          <w:rPr>
            <w:noProof/>
            <w:webHidden/>
          </w:rPr>
          <w:tab/>
        </w:r>
        <w:r w:rsidR="00D122DF">
          <w:rPr>
            <w:noProof/>
            <w:webHidden/>
          </w:rPr>
          <w:fldChar w:fldCharType="begin"/>
        </w:r>
        <w:r w:rsidR="00006C92">
          <w:rPr>
            <w:noProof/>
            <w:webHidden/>
          </w:rPr>
          <w:instrText xml:space="preserve"> PAGEREF _Toc356218113 \h </w:instrText>
        </w:r>
        <w:r w:rsidR="00D122DF">
          <w:rPr>
            <w:noProof/>
            <w:webHidden/>
          </w:rPr>
        </w:r>
        <w:r w:rsidR="00D122DF">
          <w:rPr>
            <w:noProof/>
            <w:webHidden/>
          </w:rPr>
          <w:fldChar w:fldCharType="separate"/>
        </w:r>
        <w:r w:rsidR="00006C92">
          <w:rPr>
            <w:noProof/>
            <w:webHidden/>
          </w:rPr>
          <w:t>14</w:t>
        </w:r>
        <w:r w:rsidR="00D122DF">
          <w:rPr>
            <w:noProof/>
            <w:webHidden/>
          </w:rPr>
          <w:fldChar w:fldCharType="end"/>
        </w:r>
      </w:hyperlink>
    </w:p>
    <w:p w14:paraId="6D04D336" w14:textId="77777777" w:rsidR="00CB756D" w:rsidRPr="002F0687" w:rsidRDefault="00D122DF">
      <w:pPr>
        <w:rPr>
          <w:rFonts w:cs="Arial"/>
        </w:rPr>
      </w:pPr>
      <w:r w:rsidRPr="002F0687">
        <w:rPr>
          <w:rFonts w:cs="Arial"/>
          <w:caps/>
          <w:sz w:val="28"/>
          <w:szCs w:val="28"/>
        </w:rPr>
        <w:fldChar w:fldCharType="end"/>
      </w:r>
    </w:p>
    <w:p w14:paraId="6D04D337" w14:textId="77777777" w:rsidR="00CB756D" w:rsidRPr="002F0687" w:rsidRDefault="00CB756D" w:rsidP="002965DE">
      <w:pPr>
        <w:pStyle w:val="CERnon-indent"/>
        <w:rPr>
          <w:b/>
          <w:color w:val="auto"/>
          <w:sz w:val="24"/>
          <w:szCs w:val="24"/>
        </w:rPr>
      </w:pPr>
      <w:r w:rsidRPr="002F0687">
        <w:rPr>
          <w:color w:val="auto"/>
        </w:rPr>
        <w:br w:type="page"/>
      </w:r>
      <w:r w:rsidR="002965DE" w:rsidRPr="002F0687">
        <w:rPr>
          <w:b/>
          <w:color w:val="auto"/>
          <w:sz w:val="24"/>
          <w:szCs w:val="24"/>
        </w:rPr>
        <w:t>DOCUMENT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452"/>
        <w:gridCol w:w="2700"/>
        <w:gridCol w:w="3960"/>
      </w:tblGrid>
      <w:tr w:rsidR="00CB756D" w:rsidRPr="002F0687" w14:paraId="6D04D33C" w14:textId="77777777">
        <w:trPr>
          <w:trHeight w:val="77"/>
        </w:trPr>
        <w:tc>
          <w:tcPr>
            <w:tcW w:w="1176" w:type="dxa"/>
            <w:shd w:val="pct15" w:color="auto" w:fill="FFFFFF"/>
          </w:tcPr>
          <w:p w14:paraId="6D04D338" w14:textId="77777777" w:rsidR="00CB756D" w:rsidRPr="002F0687" w:rsidRDefault="00CB756D" w:rsidP="002965DE">
            <w:pPr>
              <w:pStyle w:val="CERTableHeader"/>
            </w:pPr>
            <w:r w:rsidRPr="002F0687">
              <w:t>Version</w:t>
            </w:r>
          </w:p>
        </w:tc>
        <w:tc>
          <w:tcPr>
            <w:tcW w:w="1452" w:type="dxa"/>
            <w:shd w:val="pct15" w:color="auto" w:fill="FFFFFF"/>
          </w:tcPr>
          <w:p w14:paraId="6D04D339" w14:textId="77777777" w:rsidR="00CB756D" w:rsidRPr="002F0687" w:rsidRDefault="00CB756D" w:rsidP="002965DE">
            <w:pPr>
              <w:pStyle w:val="CERTableHeader"/>
            </w:pPr>
            <w:r w:rsidRPr="002F0687">
              <w:t>Date</w:t>
            </w:r>
          </w:p>
        </w:tc>
        <w:tc>
          <w:tcPr>
            <w:tcW w:w="2700" w:type="dxa"/>
            <w:shd w:val="pct15" w:color="auto" w:fill="FFFFFF"/>
          </w:tcPr>
          <w:p w14:paraId="6D04D33A" w14:textId="77777777" w:rsidR="00CB756D" w:rsidRPr="002F0687" w:rsidRDefault="00CB756D" w:rsidP="002965DE">
            <w:pPr>
              <w:pStyle w:val="CERTableHeader"/>
            </w:pPr>
            <w:r w:rsidRPr="002F0687">
              <w:t>Author</w:t>
            </w:r>
          </w:p>
        </w:tc>
        <w:tc>
          <w:tcPr>
            <w:tcW w:w="3960" w:type="dxa"/>
            <w:shd w:val="pct15" w:color="auto" w:fill="FFFFFF"/>
          </w:tcPr>
          <w:p w14:paraId="6D04D33B" w14:textId="77777777" w:rsidR="00CB756D" w:rsidRPr="002F0687" w:rsidRDefault="00CB756D" w:rsidP="002965DE">
            <w:pPr>
              <w:pStyle w:val="CERTableHeader"/>
            </w:pPr>
            <w:r w:rsidRPr="002F0687">
              <w:t>Comment</w:t>
            </w:r>
          </w:p>
        </w:tc>
      </w:tr>
      <w:tr w:rsidR="00CB756D" w:rsidRPr="002F0687" w14:paraId="6D04D341" w14:textId="77777777">
        <w:trPr>
          <w:trHeight w:val="300"/>
        </w:trPr>
        <w:tc>
          <w:tcPr>
            <w:tcW w:w="1176" w:type="dxa"/>
          </w:tcPr>
          <w:p w14:paraId="6D04D33D" w14:textId="77777777" w:rsidR="00CB756D" w:rsidRPr="002F0687" w:rsidRDefault="008C6DF7" w:rsidP="002965DE">
            <w:pPr>
              <w:pStyle w:val="CERnon-indent"/>
              <w:rPr>
                <w:color w:val="auto"/>
              </w:rPr>
            </w:pPr>
            <w:r w:rsidRPr="002F0687">
              <w:rPr>
                <w:color w:val="auto"/>
              </w:rPr>
              <w:t>1.0</w:t>
            </w:r>
          </w:p>
        </w:tc>
        <w:tc>
          <w:tcPr>
            <w:tcW w:w="1452" w:type="dxa"/>
          </w:tcPr>
          <w:p w14:paraId="6D04D33E" w14:textId="77777777" w:rsidR="00CB756D" w:rsidRPr="002F0687" w:rsidRDefault="008C6DF7" w:rsidP="002965DE">
            <w:pPr>
              <w:pStyle w:val="CERnon-indent"/>
              <w:rPr>
                <w:color w:val="auto"/>
              </w:rPr>
            </w:pPr>
            <w:r w:rsidRPr="002F0687">
              <w:rPr>
                <w:color w:val="auto"/>
              </w:rPr>
              <w:t>11/05/2007</w:t>
            </w:r>
          </w:p>
        </w:tc>
        <w:tc>
          <w:tcPr>
            <w:tcW w:w="2700" w:type="dxa"/>
          </w:tcPr>
          <w:p w14:paraId="6D04D33F" w14:textId="77777777" w:rsidR="00CB756D" w:rsidRPr="002F0687" w:rsidRDefault="008C6DF7" w:rsidP="002965DE">
            <w:pPr>
              <w:pStyle w:val="CERnon-indent"/>
              <w:rPr>
                <w:color w:val="auto"/>
              </w:rPr>
            </w:pPr>
            <w:r w:rsidRPr="002F0687">
              <w:rPr>
                <w:color w:val="auto"/>
              </w:rPr>
              <w:t>Regulatory Authorities</w:t>
            </w:r>
          </w:p>
        </w:tc>
        <w:tc>
          <w:tcPr>
            <w:tcW w:w="3960" w:type="dxa"/>
          </w:tcPr>
          <w:p w14:paraId="6D04D340" w14:textId="77777777" w:rsidR="00CB756D" w:rsidRPr="002F0687" w:rsidRDefault="008C6DF7" w:rsidP="002965DE">
            <w:pPr>
              <w:pStyle w:val="CERnon-indent"/>
              <w:rPr>
                <w:color w:val="auto"/>
              </w:rPr>
            </w:pPr>
            <w:r w:rsidRPr="002F0687">
              <w:rPr>
                <w:color w:val="auto"/>
              </w:rPr>
              <w:t>Consultation Version</w:t>
            </w:r>
          </w:p>
        </w:tc>
      </w:tr>
      <w:tr w:rsidR="007536EA" w:rsidRPr="002F0687" w14:paraId="6D04D346" w14:textId="77777777">
        <w:trPr>
          <w:trHeight w:val="300"/>
        </w:trPr>
        <w:tc>
          <w:tcPr>
            <w:tcW w:w="1176" w:type="dxa"/>
          </w:tcPr>
          <w:p w14:paraId="6D04D342" w14:textId="77777777" w:rsidR="007536EA" w:rsidRPr="002F0687" w:rsidRDefault="007536EA" w:rsidP="002965DE">
            <w:pPr>
              <w:pStyle w:val="CERnon-indent"/>
              <w:rPr>
                <w:color w:val="auto"/>
              </w:rPr>
            </w:pPr>
            <w:r w:rsidRPr="002F0687">
              <w:rPr>
                <w:color w:val="auto"/>
              </w:rPr>
              <w:t>1.2</w:t>
            </w:r>
          </w:p>
        </w:tc>
        <w:tc>
          <w:tcPr>
            <w:tcW w:w="1452" w:type="dxa"/>
          </w:tcPr>
          <w:p w14:paraId="6D04D343" w14:textId="77777777" w:rsidR="007536EA" w:rsidRPr="002F0687" w:rsidRDefault="007536EA" w:rsidP="002965DE">
            <w:pPr>
              <w:pStyle w:val="CERnon-indent"/>
              <w:rPr>
                <w:color w:val="auto"/>
              </w:rPr>
            </w:pPr>
            <w:r w:rsidRPr="002F0687">
              <w:rPr>
                <w:color w:val="auto"/>
              </w:rPr>
              <w:t>22/06/2007</w:t>
            </w:r>
          </w:p>
        </w:tc>
        <w:tc>
          <w:tcPr>
            <w:tcW w:w="2700" w:type="dxa"/>
          </w:tcPr>
          <w:p w14:paraId="6D04D344" w14:textId="77777777" w:rsidR="007536EA" w:rsidRPr="002F0687" w:rsidRDefault="007536EA" w:rsidP="002965DE">
            <w:pPr>
              <w:pStyle w:val="CERnon-indent"/>
              <w:rPr>
                <w:color w:val="auto"/>
              </w:rPr>
            </w:pPr>
            <w:r w:rsidRPr="002F0687">
              <w:rPr>
                <w:color w:val="auto"/>
              </w:rPr>
              <w:t>Regulatory Authorities</w:t>
            </w:r>
          </w:p>
        </w:tc>
        <w:tc>
          <w:tcPr>
            <w:tcW w:w="3960" w:type="dxa"/>
          </w:tcPr>
          <w:p w14:paraId="6D04D345" w14:textId="77777777" w:rsidR="007536EA" w:rsidRPr="002F0687" w:rsidRDefault="007536EA" w:rsidP="002965DE">
            <w:pPr>
              <w:pStyle w:val="CERnon-indent"/>
              <w:rPr>
                <w:color w:val="auto"/>
              </w:rPr>
            </w:pPr>
            <w:r w:rsidRPr="002F0687">
              <w:rPr>
                <w:color w:val="auto"/>
              </w:rPr>
              <w:t>Approved for Go-Active by Regulatory Authorities and TSO/SEM Programme</w:t>
            </w:r>
          </w:p>
        </w:tc>
      </w:tr>
      <w:tr w:rsidR="00574033" w:rsidRPr="002F0687" w14:paraId="6D04D34B" w14:textId="77777777">
        <w:trPr>
          <w:trHeight w:val="300"/>
        </w:trPr>
        <w:tc>
          <w:tcPr>
            <w:tcW w:w="1176" w:type="dxa"/>
          </w:tcPr>
          <w:p w14:paraId="6D04D347" w14:textId="77777777" w:rsidR="00574033" w:rsidRPr="002F0687" w:rsidRDefault="00574033" w:rsidP="002965DE">
            <w:pPr>
              <w:pStyle w:val="CERnon-indent"/>
              <w:rPr>
                <w:color w:val="auto"/>
              </w:rPr>
            </w:pPr>
            <w:r w:rsidRPr="002F0687">
              <w:rPr>
                <w:color w:val="auto"/>
              </w:rPr>
              <w:t>2.0</w:t>
            </w:r>
          </w:p>
        </w:tc>
        <w:tc>
          <w:tcPr>
            <w:tcW w:w="1452" w:type="dxa"/>
          </w:tcPr>
          <w:p w14:paraId="6D04D348" w14:textId="77777777" w:rsidR="00574033" w:rsidRPr="002F0687" w:rsidRDefault="00574033" w:rsidP="002965DE">
            <w:pPr>
              <w:pStyle w:val="CERnon-indent"/>
              <w:rPr>
                <w:color w:val="auto"/>
              </w:rPr>
            </w:pPr>
            <w:r w:rsidRPr="002F0687">
              <w:rPr>
                <w:color w:val="auto"/>
              </w:rPr>
              <w:t>20/11/</w:t>
            </w:r>
            <w:r w:rsidR="00382422" w:rsidRPr="002F0687">
              <w:rPr>
                <w:color w:val="auto"/>
              </w:rPr>
              <w:t>20</w:t>
            </w:r>
            <w:r w:rsidRPr="002F0687">
              <w:rPr>
                <w:color w:val="auto"/>
              </w:rPr>
              <w:t>07</w:t>
            </w:r>
          </w:p>
        </w:tc>
        <w:tc>
          <w:tcPr>
            <w:tcW w:w="2700" w:type="dxa"/>
          </w:tcPr>
          <w:p w14:paraId="6D04D349" w14:textId="77777777" w:rsidR="00574033" w:rsidRPr="002F0687" w:rsidRDefault="00574033" w:rsidP="002965DE">
            <w:pPr>
              <w:pStyle w:val="CERnon-indent"/>
              <w:rPr>
                <w:color w:val="auto"/>
              </w:rPr>
            </w:pPr>
            <w:r w:rsidRPr="002F0687">
              <w:rPr>
                <w:color w:val="auto"/>
              </w:rPr>
              <w:t>Modification Committee Secretariat</w:t>
            </w:r>
          </w:p>
        </w:tc>
        <w:tc>
          <w:tcPr>
            <w:tcW w:w="3960" w:type="dxa"/>
          </w:tcPr>
          <w:p w14:paraId="6D04D34A" w14:textId="77777777" w:rsidR="00574033" w:rsidRPr="002F0687" w:rsidRDefault="00574033" w:rsidP="002965DE">
            <w:pPr>
              <w:pStyle w:val="CERnon-indent"/>
              <w:rPr>
                <w:color w:val="auto"/>
              </w:rPr>
            </w:pPr>
            <w:r w:rsidRPr="002F0687">
              <w:rPr>
                <w:color w:val="auto"/>
              </w:rPr>
              <w:t>Includes RA Approved Mod_73_07</w:t>
            </w:r>
          </w:p>
        </w:tc>
      </w:tr>
      <w:tr w:rsidR="0086372C" w:rsidRPr="002F0687" w14:paraId="6D04D350" w14:textId="77777777">
        <w:trPr>
          <w:trHeight w:val="300"/>
        </w:trPr>
        <w:tc>
          <w:tcPr>
            <w:tcW w:w="1176" w:type="dxa"/>
          </w:tcPr>
          <w:p w14:paraId="6D04D34C" w14:textId="77777777" w:rsidR="0086372C" w:rsidRPr="002F0687" w:rsidRDefault="00BF1674" w:rsidP="002965DE">
            <w:pPr>
              <w:pStyle w:val="CERnon-indent"/>
              <w:rPr>
                <w:color w:val="auto"/>
              </w:rPr>
            </w:pPr>
            <w:r w:rsidRPr="002F0687">
              <w:rPr>
                <w:color w:val="auto"/>
              </w:rPr>
              <w:t>5.0</w:t>
            </w:r>
          </w:p>
        </w:tc>
        <w:tc>
          <w:tcPr>
            <w:tcW w:w="1452" w:type="dxa"/>
          </w:tcPr>
          <w:p w14:paraId="6D04D34D" w14:textId="77777777" w:rsidR="0086372C" w:rsidRPr="002F0687" w:rsidRDefault="00BF0300" w:rsidP="002965DE">
            <w:pPr>
              <w:pStyle w:val="CERnon-indent"/>
              <w:rPr>
                <w:color w:val="auto"/>
              </w:rPr>
            </w:pPr>
            <w:r w:rsidRPr="002F0687">
              <w:rPr>
                <w:color w:val="auto"/>
              </w:rPr>
              <w:t>07/04/2009</w:t>
            </w:r>
          </w:p>
        </w:tc>
        <w:tc>
          <w:tcPr>
            <w:tcW w:w="2700" w:type="dxa"/>
          </w:tcPr>
          <w:p w14:paraId="6D04D34E" w14:textId="77777777" w:rsidR="0086372C" w:rsidRPr="002F0687" w:rsidRDefault="00BF1674" w:rsidP="002965DE">
            <w:pPr>
              <w:pStyle w:val="CERnon-indent"/>
              <w:rPr>
                <w:color w:val="auto"/>
              </w:rPr>
            </w:pPr>
            <w:r w:rsidRPr="002F0687">
              <w:rPr>
                <w:color w:val="auto"/>
              </w:rPr>
              <w:t>Modification Committee Secretariat</w:t>
            </w:r>
          </w:p>
        </w:tc>
        <w:tc>
          <w:tcPr>
            <w:tcW w:w="3960" w:type="dxa"/>
          </w:tcPr>
          <w:p w14:paraId="6D04D34F" w14:textId="77777777" w:rsidR="0086372C" w:rsidRPr="002F0687" w:rsidRDefault="0086372C" w:rsidP="002965DE">
            <w:pPr>
              <w:pStyle w:val="CERnon-indent"/>
              <w:rPr>
                <w:color w:val="auto"/>
              </w:rPr>
            </w:pPr>
            <w:r w:rsidRPr="002F0687">
              <w:rPr>
                <w:color w:val="auto"/>
              </w:rPr>
              <w:t>Mod_58</w:t>
            </w:r>
            <w:r w:rsidRPr="002F0687">
              <w:rPr>
                <w:color w:val="auto"/>
                <w:szCs w:val="22"/>
              </w:rPr>
              <w:t xml:space="preserve">_08 </w:t>
            </w:r>
            <w:r w:rsidRPr="002F0687">
              <w:rPr>
                <w:rFonts w:cs="Arial"/>
                <w:bCs/>
                <w:szCs w:val="22"/>
              </w:rPr>
              <w:t>Using Excess Cash Collateral to Make Payments</w:t>
            </w:r>
          </w:p>
        </w:tc>
      </w:tr>
      <w:tr w:rsidR="00BF0300" w:rsidRPr="002F0687" w14:paraId="6D04D355" w14:textId="77777777">
        <w:trPr>
          <w:trHeight w:val="300"/>
        </w:trPr>
        <w:tc>
          <w:tcPr>
            <w:tcW w:w="1176" w:type="dxa"/>
          </w:tcPr>
          <w:p w14:paraId="6D04D351" w14:textId="77777777" w:rsidR="00BF0300" w:rsidRPr="002F0687" w:rsidRDefault="00BF0300" w:rsidP="002965DE">
            <w:pPr>
              <w:pStyle w:val="CERnon-indent"/>
              <w:rPr>
                <w:color w:val="auto"/>
              </w:rPr>
            </w:pPr>
            <w:r w:rsidRPr="002F0687">
              <w:rPr>
                <w:color w:val="auto"/>
              </w:rPr>
              <w:t>5.0</w:t>
            </w:r>
          </w:p>
        </w:tc>
        <w:tc>
          <w:tcPr>
            <w:tcW w:w="1452" w:type="dxa"/>
          </w:tcPr>
          <w:p w14:paraId="6D04D352" w14:textId="77777777" w:rsidR="00BF0300" w:rsidRPr="002F0687" w:rsidRDefault="00BF0300" w:rsidP="002965DE">
            <w:pPr>
              <w:pStyle w:val="CERnon-indent"/>
              <w:rPr>
                <w:color w:val="auto"/>
              </w:rPr>
            </w:pPr>
            <w:r w:rsidRPr="002F0687">
              <w:rPr>
                <w:color w:val="auto"/>
              </w:rPr>
              <w:t>07/04/2009</w:t>
            </w:r>
          </w:p>
        </w:tc>
        <w:tc>
          <w:tcPr>
            <w:tcW w:w="2700" w:type="dxa"/>
          </w:tcPr>
          <w:p w14:paraId="6D04D353" w14:textId="77777777" w:rsidR="00BF0300" w:rsidRPr="002F0687" w:rsidRDefault="00BF0300" w:rsidP="002965DE">
            <w:pPr>
              <w:pStyle w:val="CERnon-indent"/>
              <w:rPr>
                <w:color w:val="auto"/>
              </w:rPr>
            </w:pPr>
            <w:r w:rsidRPr="002F0687">
              <w:rPr>
                <w:color w:val="auto"/>
              </w:rPr>
              <w:t>SEMO</w:t>
            </w:r>
          </w:p>
        </w:tc>
        <w:tc>
          <w:tcPr>
            <w:tcW w:w="3960" w:type="dxa"/>
          </w:tcPr>
          <w:p w14:paraId="6D04D354" w14:textId="77777777" w:rsidR="00BF0300" w:rsidRPr="002F0687" w:rsidRDefault="00BF0300" w:rsidP="002965DE">
            <w:pPr>
              <w:pStyle w:val="CERnon-indent"/>
              <w:rPr>
                <w:color w:val="auto"/>
              </w:rPr>
            </w:pPr>
            <w:r w:rsidRPr="002F0687">
              <w:rPr>
                <w:color w:val="auto"/>
              </w:rPr>
              <w:t>SEMO Design Baseline Documentation at V5.0</w:t>
            </w:r>
          </w:p>
        </w:tc>
      </w:tr>
      <w:tr w:rsidR="008D7F7D" w:rsidRPr="002F0687" w14:paraId="6D04D35A" w14:textId="77777777">
        <w:trPr>
          <w:trHeight w:val="300"/>
        </w:trPr>
        <w:tc>
          <w:tcPr>
            <w:tcW w:w="1176" w:type="dxa"/>
          </w:tcPr>
          <w:p w14:paraId="6D04D356" w14:textId="77777777" w:rsidR="008D7F7D" w:rsidRPr="002F0687" w:rsidRDefault="008D7F7D" w:rsidP="008D7F7D">
            <w:pPr>
              <w:pStyle w:val="CERnon-indent"/>
              <w:rPr>
                <w:color w:val="auto"/>
              </w:rPr>
            </w:pPr>
            <w:r w:rsidRPr="002F0687">
              <w:rPr>
                <w:color w:val="auto"/>
              </w:rPr>
              <w:t>6.0</w:t>
            </w:r>
          </w:p>
        </w:tc>
        <w:tc>
          <w:tcPr>
            <w:tcW w:w="1452" w:type="dxa"/>
          </w:tcPr>
          <w:p w14:paraId="6D04D357" w14:textId="77777777" w:rsidR="008D7F7D" w:rsidRPr="002F0687" w:rsidRDefault="008D7F7D" w:rsidP="008D7F7D">
            <w:pPr>
              <w:pStyle w:val="CERnon-indent"/>
              <w:rPr>
                <w:color w:val="auto"/>
              </w:rPr>
            </w:pPr>
            <w:r w:rsidRPr="002F0687">
              <w:rPr>
                <w:color w:val="auto"/>
              </w:rPr>
              <w:t>30/10/2009</w:t>
            </w:r>
          </w:p>
        </w:tc>
        <w:tc>
          <w:tcPr>
            <w:tcW w:w="2700" w:type="dxa"/>
          </w:tcPr>
          <w:p w14:paraId="6D04D358" w14:textId="77777777" w:rsidR="008D7F7D" w:rsidRPr="002F0687" w:rsidRDefault="008D7F7D" w:rsidP="008D7F7D">
            <w:pPr>
              <w:pStyle w:val="CERnon-indent"/>
              <w:rPr>
                <w:color w:val="auto"/>
              </w:rPr>
            </w:pPr>
            <w:r w:rsidRPr="002F0687">
              <w:rPr>
                <w:color w:val="auto"/>
              </w:rPr>
              <w:t>SEMO</w:t>
            </w:r>
          </w:p>
        </w:tc>
        <w:tc>
          <w:tcPr>
            <w:tcW w:w="3960" w:type="dxa"/>
          </w:tcPr>
          <w:p w14:paraId="6D04D359" w14:textId="77777777" w:rsidR="008D7F7D" w:rsidRPr="002F0687" w:rsidRDefault="008D7F7D" w:rsidP="008D7F7D">
            <w:pPr>
              <w:pStyle w:val="CERnon-indent"/>
              <w:rPr>
                <w:color w:val="auto"/>
              </w:rPr>
            </w:pPr>
            <w:r w:rsidRPr="002F0687">
              <w:rPr>
                <w:color w:val="auto"/>
              </w:rPr>
              <w:t>SEMO Design Baseline Documentation at V6.0</w:t>
            </w:r>
          </w:p>
        </w:tc>
      </w:tr>
      <w:tr w:rsidR="008D7F7D" w:rsidRPr="002F0687" w14:paraId="6D04D35F" w14:textId="77777777">
        <w:trPr>
          <w:trHeight w:val="300"/>
        </w:trPr>
        <w:tc>
          <w:tcPr>
            <w:tcW w:w="1176" w:type="dxa"/>
          </w:tcPr>
          <w:p w14:paraId="6D04D35B" w14:textId="77777777" w:rsidR="008D7F7D" w:rsidRPr="002F0687" w:rsidRDefault="008D7F7D" w:rsidP="002965DE">
            <w:pPr>
              <w:pStyle w:val="CERnon-indent"/>
              <w:rPr>
                <w:color w:val="auto"/>
              </w:rPr>
            </w:pPr>
            <w:r w:rsidRPr="002F0687">
              <w:rPr>
                <w:color w:val="auto"/>
              </w:rPr>
              <w:t>6.0</w:t>
            </w:r>
          </w:p>
        </w:tc>
        <w:tc>
          <w:tcPr>
            <w:tcW w:w="1452" w:type="dxa"/>
          </w:tcPr>
          <w:p w14:paraId="6D04D35C" w14:textId="77777777" w:rsidR="008D7F7D" w:rsidRPr="002F0687" w:rsidRDefault="008D7F7D" w:rsidP="002965DE">
            <w:pPr>
              <w:pStyle w:val="CERnon-indent"/>
              <w:rPr>
                <w:color w:val="auto"/>
              </w:rPr>
            </w:pPr>
            <w:r w:rsidRPr="002F0687">
              <w:rPr>
                <w:color w:val="auto"/>
              </w:rPr>
              <w:t>30/10/2009</w:t>
            </w:r>
          </w:p>
        </w:tc>
        <w:tc>
          <w:tcPr>
            <w:tcW w:w="2700" w:type="dxa"/>
          </w:tcPr>
          <w:p w14:paraId="6D04D35D" w14:textId="77777777" w:rsidR="008D7F7D" w:rsidRPr="002F0687" w:rsidRDefault="008D7F7D" w:rsidP="002965DE">
            <w:pPr>
              <w:pStyle w:val="CERnon-indent"/>
              <w:rPr>
                <w:color w:val="auto"/>
              </w:rPr>
            </w:pPr>
            <w:r w:rsidRPr="002F0687">
              <w:rPr>
                <w:color w:val="auto"/>
              </w:rPr>
              <w:t>SEMO</w:t>
            </w:r>
          </w:p>
        </w:tc>
        <w:tc>
          <w:tcPr>
            <w:tcW w:w="3960" w:type="dxa"/>
          </w:tcPr>
          <w:p w14:paraId="6D04D35E" w14:textId="77777777" w:rsidR="008D7F7D" w:rsidRPr="002F0687" w:rsidRDefault="008D7F7D" w:rsidP="002965DE">
            <w:pPr>
              <w:pStyle w:val="CERnon-indent"/>
              <w:rPr>
                <w:color w:val="auto"/>
              </w:rPr>
            </w:pPr>
            <w:r w:rsidRPr="002F0687">
              <w:rPr>
                <w:color w:val="auto"/>
              </w:rPr>
              <w:t>Mod_49_08 Aggregate Payments for Invoices</w:t>
            </w:r>
          </w:p>
        </w:tc>
      </w:tr>
      <w:tr w:rsidR="002972F3" w:rsidRPr="002F0687" w14:paraId="6D04D364" w14:textId="77777777">
        <w:trPr>
          <w:trHeight w:val="300"/>
        </w:trPr>
        <w:tc>
          <w:tcPr>
            <w:tcW w:w="1176" w:type="dxa"/>
          </w:tcPr>
          <w:p w14:paraId="6D04D360" w14:textId="77777777" w:rsidR="002972F3" w:rsidRPr="002F0687" w:rsidRDefault="002972F3" w:rsidP="002965DE">
            <w:pPr>
              <w:pStyle w:val="CERnon-indent"/>
              <w:rPr>
                <w:color w:val="auto"/>
              </w:rPr>
            </w:pPr>
            <w:r w:rsidRPr="002F0687">
              <w:rPr>
                <w:color w:val="auto"/>
              </w:rPr>
              <w:t>7.0</w:t>
            </w:r>
          </w:p>
        </w:tc>
        <w:tc>
          <w:tcPr>
            <w:tcW w:w="1452" w:type="dxa"/>
          </w:tcPr>
          <w:p w14:paraId="6D04D361" w14:textId="77777777" w:rsidR="002972F3" w:rsidRPr="002F0687" w:rsidRDefault="002972F3" w:rsidP="002965DE">
            <w:pPr>
              <w:pStyle w:val="CERnon-indent"/>
              <w:rPr>
                <w:color w:val="auto"/>
              </w:rPr>
            </w:pPr>
            <w:r w:rsidRPr="002F0687">
              <w:rPr>
                <w:color w:val="auto"/>
              </w:rPr>
              <w:t>28/05/2010</w:t>
            </w:r>
          </w:p>
        </w:tc>
        <w:tc>
          <w:tcPr>
            <w:tcW w:w="2700" w:type="dxa"/>
          </w:tcPr>
          <w:p w14:paraId="6D04D362" w14:textId="77777777" w:rsidR="002972F3" w:rsidRPr="002F0687" w:rsidRDefault="002972F3" w:rsidP="002965DE">
            <w:pPr>
              <w:pStyle w:val="CERnon-indent"/>
              <w:rPr>
                <w:color w:val="auto"/>
              </w:rPr>
            </w:pPr>
            <w:r w:rsidRPr="002F0687">
              <w:rPr>
                <w:color w:val="auto"/>
              </w:rPr>
              <w:t>SEMO</w:t>
            </w:r>
          </w:p>
        </w:tc>
        <w:tc>
          <w:tcPr>
            <w:tcW w:w="3960" w:type="dxa"/>
          </w:tcPr>
          <w:p w14:paraId="6D04D363" w14:textId="77777777" w:rsidR="002972F3" w:rsidRPr="002F0687" w:rsidRDefault="002972F3" w:rsidP="002965DE">
            <w:pPr>
              <w:pStyle w:val="CERnon-indent"/>
              <w:rPr>
                <w:color w:val="auto"/>
              </w:rPr>
            </w:pPr>
            <w:r w:rsidRPr="002F0687">
              <w:rPr>
                <w:color w:val="auto"/>
              </w:rPr>
              <w:t>SEMO Design Baseline Documentation at V7.0</w:t>
            </w:r>
          </w:p>
        </w:tc>
      </w:tr>
      <w:tr w:rsidR="00033CD7" w:rsidRPr="002F0687" w14:paraId="6D04D369" w14:textId="77777777">
        <w:trPr>
          <w:trHeight w:val="300"/>
        </w:trPr>
        <w:tc>
          <w:tcPr>
            <w:tcW w:w="1176" w:type="dxa"/>
          </w:tcPr>
          <w:p w14:paraId="6D04D365" w14:textId="77777777" w:rsidR="00033CD7" w:rsidRPr="002F0687" w:rsidRDefault="00033CD7" w:rsidP="002965DE">
            <w:pPr>
              <w:pStyle w:val="CERnon-indent"/>
              <w:rPr>
                <w:color w:val="auto"/>
              </w:rPr>
            </w:pPr>
            <w:r w:rsidRPr="002F0687">
              <w:rPr>
                <w:color w:val="auto"/>
              </w:rPr>
              <w:t>7.0</w:t>
            </w:r>
          </w:p>
        </w:tc>
        <w:tc>
          <w:tcPr>
            <w:tcW w:w="1452" w:type="dxa"/>
          </w:tcPr>
          <w:p w14:paraId="6D04D366" w14:textId="77777777" w:rsidR="00033CD7" w:rsidRPr="002F0687" w:rsidRDefault="00033CD7" w:rsidP="002965DE">
            <w:pPr>
              <w:pStyle w:val="CERnon-indent"/>
              <w:rPr>
                <w:color w:val="auto"/>
              </w:rPr>
            </w:pPr>
            <w:r w:rsidRPr="002F0687">
              <w:rPr>
                <w:color w:val="auto"/>
              </w:rPr>
              <w:t>26/02/2010</w:t>
            </w:r>
          </w:p>
        </w:tc>
        <w:tc>
          <w:tcPr>
            <w:tcW w:w="2700" w:type="dxa"/>
          </w:tcPr>
          <w:p w14:paraId="6D04D367" w14:textId="77777777" w:rsidR="00033CD7" w:rsidRPr="002F0687" w:rsidRDefault="00033CD7" w:rsidP="002965DE">
            <w:pPr>
              <w:pStyle w:val="CERnon-indent"/>
              <w:rPr>
                <w:color w:val="auto"/>
              </w:rPr>
            </w:pPr>
            <w:r w:rsidRPr="002F0687">
              <w:rPr>
                <w:color w:val="auto"/>
              </w:rPr>
              <w:t>SEMO</w:t>
            </w:r>
          </w:p>
        </w:tc>
        <w:tc>
          <w:tcPr>
            <w:tcW w:w="3960" w:type="dxa"/>
          </w:tcPr>
          <w:p w14:paraId="6D04D368" w14:textId="77777777" w:rsidR="00033CD7" w:rsidRPr="002F0687" w:rsidRDefault="00033CD7" w:rsidP="002965DE">
            <w:pPr>
              <w:pStyle w:val="CERnon-indent"/>
              <w:rPr>
                <w:color w:val="auto"/>
              </w:rPr>
            </w:pPr>
            <w:r w:rsidRPr="002F0687">
              <w:rPr>
                <w:color w:val="auto"/>
              </w:rPr>
              <w:t>Mod_08_10 Housekeeping 2</w:t>
            </w:r>
          </w:p>
        </w:tc>
      </w:tr>
      <w:tr w:rsidR="00F467F3" w:rsidRPr="002F0687" w14:paraId="6D04D36E" w14:textId="77777777">
        <w:trPr>
          <w:trHeight w:val="300"/>
        </w:trPr>
        <w:tc>
          <w:tcPr>
            <w:tcW w:w="1176" w:type="dxa"/>
          </w:tcPr>
          <w:p w14:paraId="6D04D36A" w14:textId="77777777" w:rsidR="00F467F3" w:rsidRPr="002F0687" w:rsidRDefault="00F467F3">
            <w:pPr>
              <w:pStyle w:val="CERnon-indent"/>
              <w:rPr>
                <w:color w:val="auto"/>
              </w:rPr>
            </w:pPr>
            <w:r w:rsidRPr="002F0687">
              <w:rPr>
                <w:color w:val="auto"/>
              </w:rPr>
              <w:t>8.0</w:t>
            </w:r>
          </w:p>
        </w:tc>
        <w:tc>
          <w:tcPr>
            <w:tcW w:w="1452" w:type="dxa"/>
          </w:tcPr>
          <w:p w14:paraId="6D04D36B" w14:textId="77777777" w:rsidR="00F467F3" w:rsidRPr="002F0687" w:rsidRDefault="00F467F3">
            <w:pPr>
              <w:pStyle w:val="CERnon-indent"/>
              <w:rPr>
                <w:color w:val="auto"/>
              </w:rPr>
            </w:pPr>
            <w:r w:rsidRPr="002F0687">
              <w:rPr>
                <w:color w:val="auto"/>
              </w:rPr>
              <w:t>19/11/2010</w:t>
            </w:r>
          </w:p>
        </w:tc>
        <w:tc>
          <w:tcPr>
            <w:tcW w:w="2700" w:type="dxa"/>
          </w:tcPr>
          <w:p w14:paraId="6D04D36C" w14:textId="77777777" w:rsidR="00F467F3" w:rsidRPr="002F0687" w:rsidRDefault="00F467F3">
            <w:pPr>
              <w:pStyle w:val="CERnon-indent"/>
              <w:rPr>
                <w:color w:val="auto"/>
              </w:rPr>
            </w:pPr>
            <w:r w:rsidRPr="002F0687">
              <w:rPr>
                <w:color w:val="auto"/>
              </w:rPr>
              <w:t>SEMO</w:t>
            </w:r>
          </w:p>
        </w:tc>
        <w:tc>
          <w:tcPr>
            <w:tcW w:w="3960" w:type="dxa"/>
          </w:tcPr>
          <w:p w14:paraId="6D04D36D" w14:textId="77777777" w:rsidR="00F467F3" w:rsidRPr="002F0687" w:rsidRDefault="00F467F3">
            <w:pPr>
              <w:pStyle w:val="CERnon-indent"/>
              <w:rPr>
                <w:color w:val="auto"/>
              </w:rPr>
            </w:pPr>
            <w:r w:rsidRPr="002F0687">
              <w:rPr>
                <w:color w:val="auto"/>
              </w:rPr>
              <w:t>SEMO Design Baseline Documentation at V8.0</w:t>
            </w:r>
          </w:p>
        </w:tc>
      </w:tr>
      <w:tr w:rsidR="00F467F3" w:rsidRPr="002F0687" w14:paraId="6D04D373" w14:textId="77777777">
        <w:trPr>
          <w:trHeight w:val="300"/>
        </w:trPr>
        <w:tc>
          <w:tcPr>
            <w:tcW w:w="1176" w:type="dxa"/>
          </w:tcPr>
          <w:p w14:paraId="6D04D36F" w14:textId="77777777" w:rsidR="00F467F3" w:rsidRPr="002F0687" w:rsidRDefault="00F467F3">
            <w:pPr>
              <w:pStyle w:val="CERnon-indent"/>
              <w:rPr>
                <w:color w:val="auto"/>
              </w:rPr>
            </w:pPr>
            <w:r w:rsidRPr="002F0687">
              <w:rPr>
                <w:color w:val="auto"/>
              </w:rPr>
              <w:t>9.0</w:t>
            </w:r>
          </w:p>
        </w:tc>
        <w:tc>
          <w:tcPr>
            <w:tcW w:w="1452" w:type="dxa"/>
          </w:tcPr>
          <w:p w14:paraId="6D04D370" w14:textId="77777777" w:rsidR="00F467F3" w:rsidRPr="002F0687" w:rsidRDefault="00F467F3">
            <w:pPr>
              <w:pStyle w:val="CERnon-indent"/>
              <w:rPr>
                <w:color w:val="auto"/>
              </w:rPr>
            </w:pPr>
            <w:r w:rsidRPr="002F0687">
              <w:rPr>
                <w:color w:val="auto"/>
              </w:rPr>
              <w:t>06/05/2011</w:t>
            </w:r>
          </w:p>
        </w:tc>
        <w:tc>
          <w:tcPr>
            <w:tcW w:w="2700" w:type="dxa"/>
          </w:tcPr>
          <w:p w14:paraId="6D04D371" w14:textId="77777777" w:rsidR="00F467F3" w:rsidRPr="002F0687" w:rsidRDefault="00F467F3">
            <w:pPr>
              <w:pStyle w:val="CERnon-indent"/>
              <w:rPr>
                <w:color w:val="auto"/>
              </w:rPr>
            </w:pPr>
            <w:r w:rsidRPr="002F0687">
              <w:rPr>
                <w:color w:val="auto"/>
              </w:rPr>
              <w:t>SEMO</w:t>
            </w:r>
          </w:p>
        </w:tc>
        <w:tc>
          <w:tcPr>
            <w:tcW w:w="3960" w:type="dxa"/>
          </w:tcPr>
          <w:p w14:paraId="6D04D372" w14:textId="77777777" w:rsidR="00F467F3" w:rsidRPr="002F0687" w:rsidRDefault="00F467F3">
            <w:pPr>
              <w:pStyle w:val="CERnon-indent"/>
              <w:rPr>
                <w:color w:val="auto"/>
              </w:rPr>
            </w:pPr>
            <w:r w:rsidRPr="002F0687">
              <w:rPr>
                <w:color w:val="auto"/>
              </w:rPr>
              <w:t>SEMO Design Baseline Documentation at V9.0</w:t>
            </w:r>
          </w:p>
        </w:tc>
      </w:tr>
      <w:tr w:rsidR="00856F91" w:rsidRPr="002F0687" w14:paraId="6D04D378" w14:textId="77777777">
        <w:trPr>
          <w:trHeight w:val="300"/>
        </w:trPr>
        <w:tc>
          <w:tcPr>
            <w:tcW w:w="1176" w:type="dxa"/>
          </w:tcPr>
          <w:p w14:paraId="6D04D374" w14:textId="77777777" w:rsidR="00856F91" w:rsidRPr="002F0687" w:rsidRDefault="00856F91" w:rsidP="00C06C1E">
            <w:pPr>
              <w:pStyle w:val="CERnon-indent"/>
              <w:rPr>
                <w:color w:val="auto"/>
              </w:rPr>
            </w:pPr>
            <w:r w:rsidRPr="002F0687">
              <w:rPr>
                <w:color w:val="auto"/>
              </w:rPr>
              <w:t>10.0</w:t>
            </w:r>
          </w:p>
        </w:tc>
        <w:tc>
          <w:tcPr>
            <w:tcW w:w="1452" w:type="dxa"/>
          </w:tcPr>
          <w:p w14:paraId="6D04D375" w14:textId="77777777" w:rsidR="00856F91" w:rsidRPr="002F0687" w:rsidRDefault="00856F91" w:rsidP="00C06C1E">
            <w:pPr>
              <w:pStyle w:val="CERnon-indent"/>
              <w:rPr>
                <w:color w:val="auto"/>
              </w:rPr>
            </w:pPr>
            <w:r w:rsidRPr="002F0687">
              <w:rPr>
                <w:color w:val="auto"/>
              </w:rPr>
              <w:t>21/10/2011</w:t>
            </w:r>
          </w:p>
        </w:tc>
        <w:tc>
          <w:tcPr>
            <w:tcW w:w="2700" w:type="dxa"/>
          </w:tcPr>
          <w:p w14:paraId="6D04D376" w14:textId="77777777" w:rsidR="00856F91" w:rsidRPr="002F0687" w:rsidRDefault="00856F91" w:rsidP="00C06C1E">
            <w:pPr>
              <w:pStyle w:val="CERnon-indent"/>
              <w:rPr>
                <w:color w:val="auto"/>
              </w:rPr>
            </w:pPr>
            <w:r w:rsidRPr="002F0687">
              <w:rPr>
                <w:color w:val="auto"/>
              </w:rPr>
              <w:t>SEMO</w:t>
            </w:r>
          </w:p>
        </w:tc>
        <w:tc>
          <w:tcPr>
            <w:tcW w:w="3960" w:type="dxa"/>
          </w:tcPr>
          <w:p w14:paraId="6D04D377" w14:textId="77777777" w:rsidR="00856F91" w:rsidRPr="002F0687" w:rsidRDefault="00856F91" w:rsidP="00C06C1E">
            <w:pPr>
              <w:pStyle w:val="CERnon-indent"/>
              <w:rPr>
                <w:color w:val="auto"/>
              </w:rPr>
            </w:pPr>
            <w:r w:rsidRPr="002F0687">
              <w:rPr>
                <w:color w:val="auto"/>
              </w:rPr>
              <w:t>SEMO Design Baseline Documentation at V10.0</w:t>
            </w:r>
          </w:p>
        </w:tc>
      </w:tr>
      <w:tr w:rsidR="006443B6" w:rsidRPr="002F0687" w14:paraId="6D04D37D" w14:textId="77777777">
        <w:trPr>
          <w:trHeight w:val="300"/>
        </w:trPr>
        <w:tc>
          <w:tcPr>
            <w:tcW w:w="1176" w:type="dxa"/>
          </w:tcPr>
          <w:p w14:paraId="6D04D379" w14:textId="77777777" w:rsidR="006443B6" w:rsidRPr="002F0687" w:rsidRDefault="006443B6" w:rsidP="00C06C1E">
            <w:pPr>
              <w:pStyle w:val="CERnon-indent"/>
              <w:rPr>
                <w:color w:val="auto"/>
              </w:rPr>
            </w:pPr>
            <w:r>
              <w:rPr>
                <w:color w:val="auto"/>
              </w:rPr>
              <w:t>11.0</w:t>
            </w:r>
          </w:p>
        </w:tc>
        <w:tc>
          <w:tcPr>
            <w:tcW w:w="1452" w:type="dxa"/>
          </w:tcPr>
          <w:p w14:paraId="6D04D37A" w14:textId="77777777" w:rsidR="006443B6" w:rsidRPr="002F0687" w:rsidRDefault="006443B6" w:rsidP="00C06C1E">
            <w:pPr>
              <w:pStyle w:val="CERnon-indent"/>
              <w:rPr>
                <w:color w:val="auto"/>
              </w:rPr>
            </w:pPr>
            <w:r>
              <w:rPr>
                <w:color w:val="auto"/>
              </w:rPr>
              <w:t>21/07/2012</w:t>
            </w:r>
          </w:p>
        </w:tc>
        <w:tc>
          <w:tcPr>
            <w:tcW w:w="2700" w:type="dxa"/>
          </w:tcPr>
          <w:p w14:paraId="6D04D37B" w14:textId="77777777" w:rsidR="006443B6" w:rsidRPr="002F0687" w:rsidRDefault="00290CF9" w:rsidP="00C06C1E">
            <w:pPr>
              <w:pStyle w:val="CERnon-indent"/>
              <w:rPr>
                <w:color w:val="auto"/>
              </w:rPr>
            </w:pPr>
            <w:r>
              <w:rPr>
                <w:color w:val="auto"/>
              </w:rPr>
              <w:t>SEMO</w:t>
            </w:r>
          </w:p>
        </w:tc>
        <w:tc>
          <w:tcPr>
            <w:tcW w:w="3960" w:type="dxa"/>
          </w:tcPr>
          <w:p w14:paraId="6D04D37C" w14:textId="77777777" w:rsidR="006443B6" w:rsidRPr="002F0687" w:rsidRDefault="00290CF9" w:rsidP="00C06C1E">
            <w:pPr>
              <w:pStyle w:val="CERnon-indent"/>
              <w:rPr>
                <w:color w:val="auto"/>
              </w:rPr>
            </w:pPr>
            <w:r>
              <w:rPr>
                <w:color w:val="auto"/>
              </w:rPr>
              <w:t>SEMO Design Baseline Documentation at V11.0</w:t>
            </w:r>
          </w:p>
        </w:tc>
      </w:tr>
      <w:tr w:rsidR="00290CF9" w:rsidRPr="002F0687" w14:paraId="6D04D382" w14:textId="77777777">
        <w:trPr>
          <w:trHeight w:val="300"/>
        </w:trPr>
        <w:tc>
          <w:tcPr>
            <w:tcW w:w="1176" w:type="dxa"/>
          </w:tcPr>
          <w:p w14:paraId="6D04D37E" w14:textId="77777777" w:rsidR="00290CF9" w:rsidRDefault="00290CF9" w:rsidP="00C06C1E">
            <w:pPr>
              <w:pStyle w:val="CERnon-indent"/>
              <w:rPr>
                <w:color w:val="auto"/>
              </w:rPr>
            </w:pPr>
            <w:r>
              <w:rPr>
                <w:color w:val="auto"/>
              </w:rPr>
              <w:t>11.0</w:t>
            </w:r>
          </w:p>
        </w:tc>
        <w:tc>
          <w:tcPr>
            <w:tcW w:w="1452" w:type="dxa"/>
          </w:tcPr>
          <w:p w14:paraId="6D04D37F" w14:textId="77777777" w:rsidR="00290CF9" w:rsidRDefault="00290CF9" w:rsidP="00C06C1E">
            <w:pPr>
              <w:pStyle w:val="CERnon-indent"/>
              <w:rPr>
                <w:color w:val="auto"/>
              </w:rPr>
            </w:pPr>
            <w:r>
              <w:rPr>
                <w:color w:val="auto"/>
              </w:rPr>
              <w:t>21/07/2012</w:t>
            </w:r>
          </w:p>
        </w:tc>
        <w:tc>
          <w:tcPr>
            <w:tcW w:w="2700" w:type="dxa"/>
          </w:tcPr>
          <w:p w14:paraId="6D04D380" w14:textId="77777777" w:rsidR="00290CF9" w:rsidRDefault="00290CF9" w:rsidP="00C06C1E">
            <w:pPr>
              <w:pStyle w:val="CERnon-indent"/>
              <w:rPr>
                <w:color w:val="auto"/>
              </w:rPr>
            </w:pPr>
            <w:r>
              <w:rPr>
                <w:color w:val="auto"/>
              </w:rPr>
              <w:t>SEMO</w:t>
            </w:r>
          </w:p>
        </w:tc>
        <w:tc>
          <w:tcPr>
            <w:tcW w:w="3960" w:type="dxa"/>
          </w:tcPr>
          <w:p w14:paraId="6D04D381" w14:textId="77777777" w:rsidR="00290CF9" w:rsidRDefault="00290CF9" w:rsidP="00C06C1E">
            <w:pPr>
              <w:pStyle w:val="CERnon-indent"/>
              <w:rPr>
                <w:color w:val="auto"/>
              </w:rPr>
            </w:pPr>
            <w:r>
              <w:rPr>
                <w:color w:val="auto"/>
              </w:rPr>
              <w:t>Mod_18_10 Intra-Day Trading</w:t>
            </w:r>
          </w:p>
        </w:tc>
      </w:tr>
      <w:tr w:rsidR="00F55DF7" w:rsidRPr="002F0687" w14:paraId="6D04D387" w14:textId="77777777">
        <w:trPr>
          <w:trHeight w:val="300"/>
        </w:trPr>
        <w:tc>
          <w:tcPr>
            <w:tcW w:w="1176" w:type="dxa"/>
          </w:tcPr>
          <w:p w14:paraId="6D04D383" w14:textId="77777777" w:rsidR="00F55DF7" w:rsidRDefault="00F55DF7" w:rsidP="00C06C1E">
            <w:pPr>
              <w:pStyle w:val="CERnon-indent"/>
              <w:rPr>
                <w:color w:val="auto"/>
              </w:rPr>
            </w:pPr>
            <w:r>
              <w:rPr>
                <w:color w:val="auto"/>
              </w:rPr>
              <w:t>12.0</w:t>
            </w:r>
          </w:p>
        </w:tc>
        <w:tc>
          <w:tcPr>
            <w:tcW w:w="1452" w:type="dxa"/>
          </w:tcPr>
          <w:p w14:paraId="6D04D384" w14:textId="77777777" w:rsidR="00F55DF7" w:rsidRDefault="00F55DF7" w:rsidP="00C06C1E">
            <w:pPr>
              <w:pStyle w:val="CERnon-indent"/>
              <w:rPr>
                <w:color w:val="auto"/>
              </w:rPr>
            </w:pPr>
            <w:r>
              <w:rPr>
                <w:color w:val="auto"/>
              </w:rPr>
              <w:t>16/11/2012</w:t>
            </w:r>
          </w:p>
        </w:tc>
        <w:tc>
          <w:tcPr>
            <w:tcW w:w="2700" w:type="dxa"/>
          </w:tcPr>
          <w:p w14:paraId="6D04D385" w14:textId="77777777" w:rsidR="00F55DF7" w:rsidRDefault="00F55DF7" w:rsidP="00C06C1E">
            <w:pPr>
              <w:pStyle w:val="CERnon-indent"/>
              <w:rPr>
                <w:color w:val="auto"/>
              </w:rPr>
            </w:pPr>
            <w:r>
              <w:rPr>
                <w:color w:val="auto"/>
              </w:rPr>
              <w:t>SEMO</w:t>
            </w:r>
          </w:p>
        </w:tc>
        <w:tc>
          <w:tcPr>
            <w:tcW w:w="3960" w:type="dxa"/>
          </w:tcPr>
          <w:p w14:paraId="6D04D386" w14:textId="77777777" w:rsidR="00F55DF7" w:rsidRDefault="00F55DF7" w:rsidP="00C06C1E">
            <w:pPr>
              <w:pStyle w:val="CERnon-indent"/>
              <w:rPr>
                <w:color w:val="auto"/>
              </w:rPr>
            </w:pPr>
            <w:r>
              <w:rPr>
                <w:color w:val="auto"/>
              </w:rPr>
              <w:t>SEMO Design Baseline Documentation at V12.0</w:t>
            </w:r>
          </w:p>
        </w:tc>
      </w:tr>
      <w:tr w:rsidR="00576186" w:rsidRPr="002F0687" w14:paraId="6D04D38C" w14:textId="77777777">
        <w:trPr>
          <w:trHeight w:val="300"/>
        </w:trPr>
        <w:tc>
          <w:tcPr>
            <w:tcW w:w="1176" w:type="dxa"/>
          </w:tcPr>
          <w:p w14:paraId="6D04D388" w14:textId="77777777" w:rsidR="00576186" w:rsidRDefault="00576186" w:rsidP="00C06C1E">
            <w:pPr>
              <w:pStyle w:val="CERnon-indent"/>
              <w:rPr>
                <w:color w:val="auto"/>
              </w:rPr>
            </w:pPr>
            <w:r>
              <w:rPr>
                <w:color w:val="auto"/>
              </w:rPr>
              <w:t>13.0</w:t>
            </w:r>
          </w:p>
        </w:tc>
        <w:tc>
          <w:tcPr>
            <w:tcW w:w="1452" w:type="dxa"/>
          </w:tcPr>
          <w:p w14:paraId="6D04D389" w14:textId="77777777" w:rsidR="00576186" w:rsidRDefault="00576186" w:rsidP="00C06C1E">
            <w:pPr>
              <w:pStyle w:val="CERnon-indent"/>
              <w:rPr>
                <w:color w:val="auto"/>
              </w:rPr>
            </w:pPr>
            <w:r>
              <w:rPr>
                <w:color w:val="auto"/>
              </w:rPr>
              <w:t>10/05/2013</w:t>
            </w:r>
          </w:p>
        </w:tc>
        <w:tc>
          <w:tcPr>
            <w:tcW w:w="2700" w:type="dxa"/>
          </w:tcPr>
          <w:p w14:paraId="6D04D38A" w14:textId="77777777" w:rsidR="00576186" w:rsidRDefault="00576186" w:rsidP="00C06C1E">
            <w:pPr>
              <w:pStyle w:val="CERnon-indent"/>
              <w:rPr>
                <w:color w:val="auto"/>
              </w:rPr>
            </w:pPr>
            <w:r>
              <w:rPr>
                <w:color w:val="auto"/>
              </w:rPr>
              <w:t>SEMO</w:t>
            </w:r>
          </w:p>
        </w:tc>
        <w:tc>
          <w:tcPr>
            <w:tcW w:w="3960" w:type="dxa"/>
          </w:tcPr>
          <w:p w14:paraId="6D04D38B" w14:textId="77777777" w:rsidR="00576186" w:rsidRDefault="00576186" w:rsidP="00576186">
            <w:pPr>
              <w:pStyle w:val="CERnon-indent"/>
              <w:rPr>
                <w:color w:val="auto"/>
              </w:rPr>
            </w:pPr>
            <w:r>
              <w:rPr>
                <w:color w:val="auto"/>
              </w:rPr>
              <w:t>SEMO Design Baseline Documentation at V13.0</w:t>
            </w:r>
          </w:p>
        </w:tc>
      </w:tr>
      <w:tr w:rsidR="00387217" w:rsidRPr="002F0687" w14:paraId="6D04D391" w14:textId="77777777">
        <w:trPr>
          <w:trHeight w:val="300"/>
        </w:trPr>
        <w:tc>
          <w:tcPr>
            <w:tcW w:w="1176" w:type="dxa"/>
          </w:tcPr>
          <w:p w14:paraId="6D04D38D" w14:textId="77777777" w:rsidR="00387217" w:rsidRDefault="00387217" w:rsidP="00C06C1E">
            <w:pPr>
              <w:pStyle w:val="CERnon-indent"/>
              <w:rPr>
                <w:color w:val="auto"/>
              </w:rPr>
            </w:pPr>
            <w:r>
              <w:rPr>
                <w:color w:val="auto"/>
              </w:rPr>
              <w:t>14.0</w:t>
            </w:r>
          </w:p>
        </w:tc>
        <w:tc>
          <w:tcPr>
            <w:tcW w:w="1452" w:type="dxa"/>
          </w:tcPr>
          <w:p w14:paraId="6D04D38E" w14:textId="77777777" w:rsidR="00387217" w:rsidRDefault="00387217" w:rsidP="00C06C1E">
            <w:pPr>
              <w:pStyle w:val="CERnon-indent"/>
              <w:rPr>
                <w:color w:val="auto"/>
              </w:rPr>
            </w:pPr>
            <w:r>
              <w:rPr>
                <w:color w:val="auto"/>
              </w:rPr>
              <w:t>15/11/2013</w:t>
            </w:r>
          </w:p>
        </w:tc>
        <w:tc>
          <w:tcPr>
            <w:tcW w:w="2700" w:type="dxa"/>
          </w:tcPr>
          <w:p w14:paraId="6D04D38F" w14:textId="77777777" w:rsidR="00387217" w:rsidRDefault="00387217" w:rsidP="00C06C1E">
            <w:pPr>
              <w:pStyle w:val="CERnon-indent"/>
              <w:rPr>
                <w:color w:val="auto"/>
              </w:rPr>
            </w:pPr>
            <w:r>
              <w:rPr>
                <w:color w:val="auto"/>
              </w:rPr>
              <w:t>SEMO</w:t>
            </w:r>
          </w:p>
        </w:tc>
        <w:tc>
          <w:tcPr>
            <w:tcW w:w="3960" w:type="dxa"/>
          </w:tcPr>
          <w:p w14:paraId="6D04D390" w14:textId="77777777" w:rsidR="00387217" w:rsidRDefault="00387217" w:rsidP="00387217">
            <w:pPr>
              <w:pStyle w:val="CERnon-indent"/>
              <w:rPr>
                <w:color w:val="auto"/>
              </w:rPr>
            </w:pPr>
            <w:r>
              <w:rPr>
                <w:color w:val="auto"/>
              </w:rPr>
              <w:t>SEMO Design Baseline Documentation at V14.0</w:t>
            </w:r>
          </w:p>
        </w:tc>
      </w:tr>
      <w:tr w:rsidR="00A157CA" w:rsidRPr="002F0687" w14:paraId="6D04D396" w14:textId="77777777">
        <w:trPr>
          <w:trHeight w:val="300"/>
        </w:trPr>
        <w:tc>
          <w:tcPr>
            <w:tcW w:w="1176" w:type="dxa"/>
          </w:tcPr>
          <w:p w14:paraId="6D04D392" w14:textId="77777777" w:rsidR="00A157CA" w:rsidRDefault="00A157CA" w:rsidP="00C06C1E">
            <w:pPr>
              <w:pStyle w:val="CERnon-indent"/>
              <w:rPr>
                <w:color w:val="auto"/>
              </w:rPr>
            </w:pPr>
            <w:r>
              <w:rPr>
                <w:color w:val="auto"/>
              </w:rPr>
              <w:t>15.0</w:t>
            </w:r>
          </w:p>
        </w:tc>
        <w:tc>
          <w:tcPr>
            <w:tcW w:w="1452" w:type="dxa"/>
          </w:tcPr>
          <w:p w14:paraId="6D04D393" w14:textId="77777777" w:rsidR="00A157CA" w:rsidRDefault="00A157CA" w:rsidP="00C06C1E">
            <w:pPr>
              <w:pStyle w:val="CERnon-indent"/>
              <w:rPr>
                <w:color w:val="auto"/>
              </w:rPr>
            </w:pPr>
            <w:r>
              <w:rPr>
                <w:color w:val="auto"/>
              </w:rPr>
              <w:t>16/05/2014</w:t>
            </w:r>
          </w:p>
        </w:tc>
        <w:tc>
          <w:tcPr>
            <w:tcW w:w="2700" w:type="dxa"/>
          </w:tcPr>
          <w:p w14:paraId="6D04D394" w14:textId="77777777" w:rsidR="00A157CA" w:rsidRDefault="00A157CA" w:rsidP="00C06C1E">
            <w:pPr>
              <w:pStyle w:val="CERnon-indent"/>
              <w:rPr>
                <w:color w:val="auto"/>
              </w:rPr>
            </w:pPr>
            <w:r>
              <w:rPr>
                <w:color w:val="auto"/>
              </w:rPr>
              <w:t>SEMO</w:t>
            </w:r>
          </w:p>
        </w:tc>
        <w:tc>
          <w:tcPr>
            <w:tcW w:w="3960" w:type="dxa"/>
          </w:tcPr>
          <w:p w14:paraId="6D04D395" w14:textId="77777777" w:rsidR="00A157CA" w:rsidRDefault="00A157CA" w:rsidP="00387217">
            <w:pPr>
              <w:pStyle w:val="CERnon-indent"/>
              <w:rPr>
                <w:color w:val="auto"/>
              </w:rPr>
            </w:pPr>
            <w:r>
              <w:rPr>
                <w:color w:val="auto"/>
              </w:rPr>
              <w:t>SEMO Design Baseline Documentation at V15.0</w:t>
            </w:r>
          </w:p>
        </w:tc>
      </w:tr>
      <w:tr w:rsidR="00C370B9" w:rsidRPr="002F0687" w14:paraId="6D04D39B" w14:textId="77777777">
        <w:trPr>
          <w:trHeight w:val="300"/>
        </w:trPr>
        <w:tc>
          <w:tcPr>
            <w:tcW w:w="1176" w:type="dxa"/>
          </w:tcPr>
          <w:p w14:paraId="6D04D397" w14:textId="77777777" w:rsidR="00C370B9" w:rsidRDefault="00C370B9" w:rsidP="00C06C1E">
            <w:pPr>
              <w:pStyle w:val="CERnon-indent"/>
              <w:rPr>
                <w:color w:val="auto"/>
              </w:rPr>
            </w:pPr>
            <w:r>
              <w:rPr>
                <w:color w:val="auto"/>
              </w:rPr>
              <w:t>15.0</w:t>
            </w:r>
          </w:p>
        </w:tc>
        <w:tc>
          <w:tcPr>
            <w:tcW w:w="1452" w:type="dxa"/>
          </w:tcPr>
          <w:p w14:paraId="6D04D398" w14:textId="77777777" w:rsidR="00C370B9" w:rsidRDefault="00C370B9" w:rsidP="00C06C1E">
            <w:pPr>
              <w:pStyle w:val="CERnon-indent"/>
              <w:rPr>
                <w:color w:val="auto"/>
              </w:rPr>
            </w:pPr>
            <w:r>
              <w:rPr>
                <w:color w:val="auto"/>
              </w:rPr>
              <w:t>10/01/2014</w:t>
            </w:r>
          </w:p>
        </w:tc>
        <w:tc>
          <w:tcPr>
            <w:tcW w:w="2700" w:type="dxa"/>
          </w:tcPr>
          <w:p w14:paraId="6D04D399" w14:textId="77777777" w:rsidR="00C370B9" w:rsidRDefault="00C370B9" w:rsidP="00C06C1E">
            <w:pPr>
              <w:pStyle w:val="CERnon-indent"/>
              <w:rPr>
                <w:color w:val="auto"/>
              </w:rPr>
            </w:pPr>
            <w:r>
              <w:rPr>
                <w:color w:val="auto"/>
              </w:rPr>
              <w:t>SEMO</w:t>
            </w:r>
          </w:p>
        </w:tc>
        <w:tc>
          <w:tcPr>
            <w:tcW w:w="3960" w:type="dxa"/>
          </w:tcPr>
          <w:p w14:paraId="6D04D39A" w14:textId="77777777" w:rsidR="00C370B9" w:rsidRDefault="00C370B9" w:rsidP="00387217">
            <w:pPr>
              <w:pStyle w:val="CERnon-indent"/>
              <w:rPr>
                <w:color w:val="auto"/>
              </w:rPr>
            </w:pPr>
            <w:r>
              <w:rPr>
                <w:color w:val="auto"/>
              </w:rPr>
              <w:t>Mod_14_13 Update of references to the SEM Bank in AP17</w:t>
            </w:r>
          </w:p>
        </w:tc>
      </w:tr>
      <w:tr w:rsidR="005D4734" w:rsidRPr="002F0687" w14:paraId="6D04D3A0" w14:textId="77777777">
        <w:trPr>
          <w:trHeight w:val="300"/>
        </w:trPr>
        <w:tc>
          <w:tcPr>
            <w:tcW w:w="1176" w:type="dxa"/>
          </w:tcPr>
          <w:p w14:paraId="6D04D39C" w14:textId="77777777" w:rsidR="005D4734" w:rsidRDefault="005D4734" w:rsidP="00C06C1E">
            <w:pPr>
              <w:pStyle w:val="CERnon-indent"/>
              <w:rPr>
                <w:color w:val="auto"/>
              </w:rPr>
            </w:pPr>
            <w:r>
              <w:rPr>
                <w:color w:val="auto"/>
              </w:rPr>
              <w:t>16.0</w:t>
            </w:r>
          </w:p>
        </w:tc>
        <w:tc>
          <w:tcPr>
            <w:tcW w:w="1452" w:type="dxa"/>
          </w:tcPr>
          <w:p w14:paraId="6D04D39D" w14:textId="77777777" w:rsidR="005D4734" w:rsidRDefault="005D4734" w:rsidP="00C06C1E">
            <w:pPr>
              <w:pStyle w:val="CERnon-indent"/>
              <w:rPr>
                <w:color w:val="auto"/>
              </w:rPr>
            </w:pPr>
            <w:r>
              <w:rPr>
                <w:color w:val="auto"/>
              </w:rPr>
              <w:t>14/11/2014</w:t>
            </w:r>
          </w:p>
        </w:tc>
        <w:tc>
          <w:tcPr>
            <w:tcW w:w="2700" w:type="dxa"/>
          </w:tcPr>
          <w:p w14:paraId="6D04D39E" w14:textId="77777777" w:rsidR="005D4734" w:rsidRDefault="005D4734" w:rsidP="00C06C1E">
            <w:pPr>
              <w:pStyle w:val="CERnon-indent"/>
              <w:rPr>
                <w:color w:val="auto"/>
              </w:rPr>
            </w:pPr>
            <w:r>
              <w:rPr>
                <w:color w:val="auto"/>
              </w:rPr>
              <w:t>SEMO</w:t>
            </w:r>
          </w:p>
        </w:tc>
        <w:tc>
          <w:tcPr>
            <w:tcW w:w="3960" w:type="dxa"/>
          </w:tcPr>
          <w:p w14:paraId="6D04D39F" w14:textId="77777777" w:rsidR="005D4734" w:rsidRDefault="005D4734" w:rsidP="00387217">
            <w:pPr>
              <w:pStyle w:val="CERnon-indent"/>
              <w:rPr>
                <w:color w:val="auto"/>
              </w:rPr>
            </w:pPr>
            <w:r>
              <w:rPr>
                <w:rFonts w:cs="Arial"/>
              </w:rPr>
              <w:t>Baseline of SEMO documentation V16.0</w:t>
            </w:r>
          </w:p>
        </w:tc>
      </w:tr>
      <w:tr w:rsidR="00654AA8" w:rsidRPr="002F0687" w14:paraId="6D04D3A5" w14:textId="77777777" w:rsidTr="00654AA8">
        <w:trPr>
          <w:trHeight w:val="300"/>
        </w:trPr>
        <w:tc>
          <w:tcPr>
            <w:tcW w:w="1176" w:type="dxa"/>
            <w:tcBorders>
              <w:top w:val="single" w:sz="4" w:space="0" w:color="auto"/>
              <w:left w:val="single" w:sz="4" w:space="0" w:color="auto"/>
              <w:bottom w:val="single" w:sz="4" w:space="0" w:color="auto"/>
              <w:right w:val="single" w:sz="4" w:space="0" w:color="auto"/>
            </w:tcBorders>
          </w:tcPr>
          <w:p w14:paraId="6D04D3A1" w14:textId="77777777" w:rsidR="00654AA8" w:rsidRDefault="00654AA8" w:rsidP="00132AEA">
            <w:pPr>
              <w:pStyle w:val="CERnon-indent"/>
              <w:rPr>
                <w:color w:val="auto"/>
              </w:rPr>
            </w:pPr>
            <w:r>
              <w:rPr>
                <w:color w:val="auto"/>
              </w:rPr>
              <w:t>17.0</w:t>
            </w:r>
          </w:p>
        </w:tc>
        <w:tc>
          <w:tcPr>
            <w:tcW w:w="1452" w:type="dxa"/>
            <w:tcBorders>
              <w:top w:val="single" w:sz="4" w:space="0" w:color="auto"/>
              <w:left w:val="single" w:sz="4" w:space="0" w:color="auto"/>
              <w:bottom w:val="single" w:sz="4" w:space="0" w:color="auto"/>
              <w:right w:val="single" w:sz="4" w:space="0" w:color="auto"/>
            </w:tcBorders>
          </w:tcPr>
          <w:p w14:paraId="6D04D3A2" w14:textId="77777777" w:rsidR="00654AA8" w:rsidRDefault="00654AA8" w:rsidP="00132AEA">
            <w:pPr>
              <w:pStyle w:val="CERnon-indent"/>
              <w:rPr>
                <w:color w:val="auto"/>
              </w:rPr>
            </w:pPr>
            <w:r>
              <w:rPr>
                <w:color w:val="auto"/>
              </w:rPr>
              <w:t>15/05/2015</w:t>
            </w:r>
          </w:p>
        </w:tc>
        <w:tc>
          <w:tcPr>
            <w:tcW w:w="2700" w:type="dxa"/>
            <w:tcBorders>
              <w:top w:val="single" w:sz="4" w:space="0" w:color="auto"/>
              <w:left w:val="single" w:sz="4" w:space="0" w:color="auto"/>
              <w:bottom w:val="single" w:sz="4" w:space="0" w:color="auto"/>
              <w:right w:val="single" w:sz="4" w:space="0" w:color="auto"/>
            </w:tcBorders>
          </w:tcPr>
          <w:p w14:paraId="6D04D3A3" w14:textId="77777777" w:rsidR="00654AA8" w:rsidRDefault="00654AA8" w:rsidP="00132AEA">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6D04D3A4" w14:textId="77777777" w:rsidR="00654AA8" w:rsidRPr="00654AA8" w:rsidRDefault="00654AA8" w:rsidP="00132AEA">
            <w:pPr>
              <w:pStyle w:val="CERnon-indent"/>
              <w:rPr>
                <w:rFonts w:cs="Arial"/>
              </w:rPr>
            </w:pPr>
            <w:r>
              <w:rPr>
                <w:rFonts w:cs="Arial"/>
              </w:rPr>
              <w:t>Baseline of SEMO documentation V17.0</w:t>
            </w:r>
          </w:p>
        </w:tc>
      </w:tr>
      <w:tr w:rsidR="00A02163" w:rsidRPr="002F0687" w14:paraId="6D04D3AA" w14:textId="77777777" w:rsidTr="00A02163">
        <w:trPr>
          <w:trHeight w:val="300"/>
        </w:trPr>
        <w:tc>
          <w:tcPr>
            <w:tcW w:w="1176" w:type="dxa"/>
            <w:tcBorders>
              <w:top w:val="single" w:sz="4" w:space="0" w:color="auto"/>
              <w:left w:val="single" w:sz="4" w:space="0" w:color="auto"/>
              <w:bottom w:val="single" w:sz="4" w:space="0" w:color="auto"/>
              <w:right w:val="single" w:sz="4" w:space="0" w:color="auto"/>
            </w:tcBorders>
          </w:tcPr>
          <w:p w14:paraId="6D04D3A6" w14:textId="77777777" w:rsidR="00A02163" w:rsidRDefault="00A02163" w:rsidP="00132AEA">
            <w:pPr>
              <w:pStyle w:val="CERnon-indent"/>
              <w:rPr>
                <w:color w:val="auto"/>
              </w:rPr>
            </w:pPr>
            <w:r>
              <w:rPr>
                <w:color w:val="auto"/>
              </w:rPr>
              <w:t>1</w:t>
            </w:r>
            <w:r w:rsidR="00242077">
              <w:rPr>
                <w:color w:val="auto"/>
              </w:rPr>
              <w:t>9.0</w:t>
            </w:r>
          </w:p>
        </w:tc>
        <w:tc>
          <w:tcPr>
            <w:tcW w:w="1452" w:type="dxa"/>
            <w:tcBorders>
              <w:top w:val="single" w:sz="4" w:space="0" w:color="auto"/>
              <w:left w:val="single" w:sz="4" w:space="0" w:color="auto"/>
              <w:bottom w:val="single" w:sz="4" w:space="0" w:color="auto"/>
              <w:right w:val="single" w:sz="4" w:space="0" w:color="auto"/>
            </w:tcBorders>
          </w:tcPr>
          <w:p w14:paraId="6D04D3A7" w14:textId="77777777" w:rsidR="00A02163" w:rsidRDefault="00242077" w:rsidP="00132AEA">
            <w:pPr>
              <w:pStyle w:val="CERnon-indent"/>
              <w:rPr>
                <w:color w:val="auto"/>
              </w:rPr>
            </w:pPr>
            <w:r>
              <w:rPr>
                <w:color w:val="auto"/>
              </w:rPr>
              <w:t>17/05/2017</w:t>
            </w:r>
          </w:p>
        </w:tc>
        <w:tc>
          <w:tcPr>
            <w:tcW w:w="2700" w:type="dxa"/>
            <w:tcBorders>
              <w:top w:val="single" w:sz="4" w:space="0" w:color="auto"/>
              <w:left w:val="single" w:sz="4" w:space="0" w:color="auto"/>
              <w:bottom w:val="single" w:sz="4" w:space="0" w:color="auto"/>
              <w:right w:val="single" w:sz="4" w:space="0" w:color="auto"/>
            </w:tcBorders>
          </w:tcPr>
          <w:p w14:paraId="6D04D3A8" w14:textId="77777777" w:rsidR="00A02163" w:rsidRDefault="00A02163" w:rsidP="00132AEA">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6D04D3A9" w14:textId="77777777" w:rsidR="00A02163" w:rsidRPr="00654AA8" w:rsidRDefault="00A02163" w:rsidP="00132AEA">
            <w:pPr>
              <w:pStyle w:val="CERnon-indent"/>
              <w:rPr>
                <w:rFonts w:cs="Arial"/>
              </w:rPr>
            </w:pPr>
            <w:r>
              <w:rPr>
                <w:rFonts w:cs="Arial"/>
              </w:rPr>
              <w:t>Baseline of SEMO documentation V1</w:t>
            </w:r>
            <w:r w:rsidR="00242077">
              <w:rPr>
                <w:rFonts w:cs="Arial"/>
              </w:rPr>
              <w:t>9</w:t>
            </w:r>
            <w:r>
              <w:rPr>
                <w:rFonts w:cs="Arial"/>
              </w:rPr>
              <w:t>.0</w:t>
            </w:r>
          </w:p>
        </w:tc>
      </w:tr>
      <w:tr w:rsidR="00242077" w:rsidRPr="002F0687" w14:paraId="6D04D3AF" w14:textId="77777777" w:rsidTr="00A02163">
        <w:trPr>
          <w:trHeight w:val="300"/>
        </w:trPr>
        <w:tc>
          <w:tcPr>
            <w:tcW w:w="1176" w:type="dxa"/>
            <w:tcBorders>
              <w:top w:val="single" w:sz="4" w:space="0" w:color="auto"/>
              <w:left w:val="single" w:sz="4" w:space="0" w:color="auto"/>
              <w:bottom w:val="single" w:sz="4" w:space="0" w:color="auto"/>
              <w:right w:val="single" w:sz="4" w:space="0" w:color="auto"/>
            </w:tcBorders>
          </w:tcPr>
          <w:p w14:paraId="6D04D3AB" w14:textId="77777777" w:rsidR="00242077" w:rsidRDefault="00242077" w:rsidP="00132AEA">
            <w:pPr>
              <w:pStyle w:val="CERnon-indent"/>
              <w:rPr>
                <w:color w:val="auto"/>
              </w:rPr>
            </w:pPr>
            <w:r>
              <w:rPr>
                <w:color w:val="auto"/>
              </w:rPr>
              <w:t>19.0</w:t>
            </w:r>
          </w:p>
        </w:tc>
        <w:tc>
          <w:tcPr>
            <w:tcW w:w="1452" w:type="dxa"/>
            <w:tcBorders>
              <w:top w:val="single" w:sz="4" w:space="0" w:color="auto"/>
              <w:left w:val="single" w:sz="4" w:space="0" w:color="auto"/>
              <w:bottom w:val="single" w:sz="4" w:space="0" w:color="auto"/>
              <w:right w:val="single" w:sz="4" w:space="0" w:color="auto"/>
            </w:tcBorders>
          </w:tcPr>
          <w:p w14:paraId="6D04D3AC" w14:textId="77777777" w:rsidR="00242077" w:rsidDel="00242077" w:rsidRDefault="00242077" w:rsidP="00132AEA">
            <w:pPr>
              <w:pStyle w:val="CERnon-indent"/>
              <w:rPr>
                <w:color w:val="auto"/>
              </w:rPr>
            </w:pPr>
            <w:r>
              <w:rPr>
                <w:color w:val="auto"/>
              </w:rPr>
              <w:t>17/05/2017</w:t>
            </w:r>
          </w:p>
        </w:tc>
        <w:tc>
          <w:tcPr>
            <w:tcW w:w="2700" w:type="dxa"/>
            <w:tcBorders>
              <w:top w:val="single" w:sz="4" w:space="0" w:color="auto"/>
              <w:left w:val="single" w:sz="4" w:space="0" w:color="auto"/>
              <w:bottom w:val="single" w:sz="4" w:space="0" w:color="auto"/>
              <w:right w:val="single" w:sz="4" w:space="0" w:color="auto"/>
            </w:tcBorders>
          </w:tcPr>
          <w:p w14:paraId="6D04D3AD" w14:textId="77777777" w:rsidR="00242077" w:rsidRDefault="00242077" w:rsidP="00132AEA">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6D04D3AE" w14:textId="77777777" w:rsidR="00242077" w:rsidRDefault="00242077" w:rsidP="00132AEA">
            <w:pPr>
              <w:pStyle w:val="CERnon-indent"/>
              <w:rPr>
                <w:rFonts w:cs="Arial"/>
              </w:rPr>
            </w:pPr>
            <w:r>
              <w:rPr>
                <w:rFonts w:cs="Arial"/>
              </w:rPr>
              <w:t>Mod_02_13 Registration of Charges</w:t>
            </w:r>
          </w:p>
        </w:tc>
      </w:tr>
      <w:tr w:rsidR="00356DEF" w14:paraId="6D04D3B4" w14:textId="77777777" w:rsidTr="00356DEF">
        <w:trPr>
          <w:trHeight w:val="300"/>
        </w:trPr>
        <w:tc>
          <w:tcPr>
            <w:tcW w:w="1176" w:type="dxa"/>
            <w:tcBorders>
              <w:top w:val="single" w:sz="4" w:space="0" w:color="auto"/>
              <w:left w:val="single" w:sz="4" w:space="0" w:color="auto"/>
              <w:bottom w:val="single" w:sz="4" w:space="0" w:color="auto"/>
              <w:right w:val="single" w:sz="4" w:space="0" w:color="auto"/>
            </w:tcBorders>
          </w:tcPr>
          <w:p w14:paraId="6D04D3B0" w14:textId="77777777" w:rsidR="00356DEF" w:rsidRPr="00356DEF" w:rsidRDefault="00356DEF">
            <w:pPr>
              <w:pStyle w:val="CERnon-indent"/>
              <w:rPr>
                <w:color w:val="auto"/>
              </w:rPr>
            </w:pPr>
            <w:r w:rsidRPr="00356DEF">
              <w:rPr>
                <w:color w:val="auto"/>
              </w:rPr>
              <w:t>20.0</w:t>
            </w:r>
          </w:p>
        </w:tc>
        <w:tc>
          <w:tcPr>
            <w:tcW w:w="1452" w:type="dxa"/>
            <w:tcBorders>
              <w:top w:val="single" w:sz="4" w:space="0" w:color="auto"/>
              <w:left w:val="single" w:sz="4" w:space="0" w:color="auto"/>
              <w:bottom w:val="single" w:sz="4" w:space="0" w:color="auto"/>
              <w:right w:val="single" w:sz="4" w:space="0" w:color="auto"/>
            </w:tcBorders>
          </w:tcPr>
          <w:p w14:paraId="6D04D3B1" w14:textId="77777777" w:rsidR="00356DEF" w:rsidRPr="00356DEF" w:rsidRDefault="00356DEF">
            <w:pPr>
              <w:pStyle w:val="CERnon-indent"/>
              <w:rPr>
                <w:color w:val="auto"/>
              </w:rPr>
            </w:pPr>
            <w:r w:rsidRPr="00356DEF">
              <w:rPr>
                <w:color w:val="auto"/>
              </w:rPr>
              <w:t>23/05/2017</w:t>
            </w:r>
          </w:p>
        </w:tc>
        <w:tc>
          <w:tcPr>
            <w:tcW w:w="2700" w:type="dxa"/>
            <w:tcBorders>
              <w:top w:val="single" w:sz="4" w:space="0" w:color="auto"/>
              <w:left w:val="single" w:sz="4" w:space="0" w:color="auto"/>
              <w:bottom w:val="single" w:sz="4" w:space="0" w:color="auto"/>
              <w:right w:val="single" w:sz="4" w:space="0" w:color="auto"/>
            </w:tcBorders>
          </w:tcPr>
          <w:p w14:paraId="6D04D3B2" w14:textId="77777777" w:rsidR="00356DEF" w:rsidRDefault="00356DEF">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6D04D3B3" w14:textId="77777777" w:rsidR="00356DEF" w:rsidRDefault="00356DEF">
            <w:pPr>
              <w:pStyle w:val="CERnon-indent"/>
              <w:rPr>
                <w:rFonts w:cs="Arial"/>
              </w:rPr>
            </w:pPr>
            <w:r>
              <w:rPr>
                <w:rFonts w:cs="Arial"/>
              </w:rPr>
              <w:t>SEMO Design Baseline Documentation at V20.0</w:t>
            </w:r>
          </w:p>
        </w:tc>
      </w:tr>
      <w:tr w:rsidR="00356DEF" w14:paraId="6D04D3B9" w14:textId="77777777" w:rsidTr="00356DEF">
        <w:trPr>
          <w:trHeight w:val="300"/>
        </w:trPr>
        <w:tc>
          <w:tcPr>
            <w:tcW w:w="1176" w:type="dxa"/>
            <w:tcBorders>
              <w:top w:val="single" w:sz="4" w:space="0" w:color="auto"/>
              <w:left w:val="single" w:sz="4" w:space="0" w:color="auto"/>
              <w:bottom w:val="single" w:sz="4" w:space="0" w:color="auto"/>
              <w:right w:val="single" w:sz="4" w:space="0" w:color="auto"/>
            </w:tcBorders>
          </w:tcPr>
          <w:p w14:paraId="6D04D3B5" w14:textId="77777777" w:rsidR="00356DEF" w:rsidRPr="00356DEF" w:rsidRDefault="00356DEF">
            <w:pPr>
              <w:pStyle w:val="CERnon-indent"/>
              <w:rPr>
                <w:color w:val="auto"/>
              </w:rPr>
            </w:pPr>
            <w:r w:rsidRPr="00356DEF">
              <w:rPr>
                <w:color w:val="auto"/>
              </w:rPr>
              <w:t>20.0</w:t>
            </w:r>
          </w:p>
        </w:tc>
        <w:tc>
          <w:tcPr>
            <w:tcW w:w="1452" w:type="dxa"/>
            <w:tcBorders>
              <w:top w:val="single" w:sz="4" w:space="0" w:color="auto"/>
              <w:left w:val="single" w:sz="4" w:space="0" w:color="auto"/>
              <w:bottom w:val="single" w:sz="4" w:space="0" w:color="auto"/>
              <w:right w:val="single" w:sz="4" w:space="0" w:color="auto"/>
            </w:tcBorders>
          </w:tcPr>
          <w:p w14:paraId="6D04D3B6" w14:textId="77777777" w:rsidR="00356DEF" w:rsidRPr="00356DEF" w:rsidRDefault="00356DEF">
            <w:pPr>
              <w:pStyle w:val="CERnon-indent"/>
              <w:rPr>
                <w:color w:val="auto"/>
              </w:rPr>
            </w:pPr>
            <w:r w:rsidRPr="00356DEF">
              <w:rPr>
                <w:color w:val="auto"/>
              </w:rPr>
              <w:t>23/05/2017</w:t>
            </w:r>
          </w:p>
        </w:tc>
        <w:tc>
          <w:tcPr>
            <w:tcW w:w="2700" w:type="dxa"/>
            <w:tcBorders>
              <w:top w:val="single" w:sz="4" w:space="0" w:color="auto"/>
              <w:left w:val="single" w:sz="4" w:space="0" w:color="auto"/>
              <w:bottom w:val="single" w:sz="4" w:space="0" w:color="auto"/>
              <w:right w:val="single" w:sz="4" w:space="0" w:color="auto"/>
            </w:tcBorders>
          </w:tcPr>
          <w:p w14:paraId="6D04D3B7" w14:textId="77777777" w:rsidR="00356DEF" w:rsidRDefault="00356DEF">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6D04D3B8" w14:textId="77777777" w:rsidR="00356DEF" w:rsidRDefault="00356DEF">
            <w:pPr>
              <w:pStyle w:val="CERnon-indent"/>
              <w:rPr>
                <w:rFonts w:cs="Arial"/>
              </w:rPr>
            </w:pPr>
            <w:r>
              <w:rPr>
                <w:rFonts w:cs="Arial"/>
              </w:rPr>
              <w:t>Mod_01_17 Changes to enable I-SEM (Part A)</w:t>
            </w:r>
          </w:p>
        </w:tc>
      </w:tr>
      <w:tr w:rsidR="006C2DAC" w14:paraId="6D04D3BE" w14:textId="77777777" w:rsidTr="006C2DAC">
        <w:trPr>
          <w:trHeight w:val="300"/>
        </w:trPr>
        <w:tc>
          <w:tcPr>
            <w:tcW w:w="1176" w:type="dxa"/>
            <w:tcBorders>
              <w:top w:val="single" w:sz="4" w:space="0" w:color="auto"/>
              <w:left w:val="single" w:sz="4" w:space="0" w:color="auto"/>
              <w:bottom w:val="single" w:sz="4" w:space="0" w:color="auto"/>
              <w:right w:val="single" w:sz="4" w:space="0" w:color="auto"/>
            </w:tcBorders>
          </w:tcPr>
          <w:p w14:paraId="6D04D3BA" w14:textId="77777777" w:rsidR="006C2DAC" w:rsidRPr="00356DEF" w:rsidRDefault="002E710A" w:rsidP="00132AEA">
            <w:pPr>
              <w:pStyle w:val="CERnon-indent"/>
              <w:rPr>
                <w:color w:val="auto"/>
              </w:rPr>
            </w:pPr>
            <w:r>
              <w:rPr>
                <w:color w:val="auto"/>
              </w:rPr>
              <w:t>21</w:t>
            </w:r>
            <w:r w:rsidR="006C2DAC" w:rsidRPr="00356DEF">
              <w:rPr>
                <w:color w:val="auto"/>
              </w:rPr>
              <w:t>.0</w:t>
            </w:r>
          </w:p>
        </w:tc>
        <w:tc>
          <w:tcPr>
            <w:tcW w:w="1452" w:type="dxa"/>
            <w:tcBorders>
              <w:top w:val="single" w:sz="4" w:space="0" w:color="auto"/>
              <w:left w:val="single" w:sz="4" w:space="0" w:color="auto"/>
              <w:bottom w:val="single" w:sz="4" w:space="0" w:color="auto"/>
              <w:right w:val="single" w:sz="4" w:space="0" w:color="auto"/>
            </w:tcBorders>
          </w:tcPr>
          <w:p w14:paraId="6D04D3BB" w14:textId="77777777" w:rsidR="006C2DAC" w:rsidRPr="00356DEF" w:rsidRDefault="006C2DAC" w:rsidP="00132AEA">
            <w:pPr>
              <w:pStyle w:val="CERnon-indent"/>
              <w:rPr>
                <w:color w:val="auto"/>
              </w:rPr>
            </w:pPr>
            <w:r>
              <w:rPr>
                <w:color w:val="auto"/>
              </w:rPr>
              <w:t>12/04/2019</w:t>
            </w:r>
          </w:p>
        </w:tc>
        <w:tc>
          <w:tcPr>
            <w:tcW w:w="2700" w:type="dxa"/>
            <w:tcBorders>
              <w:top w:val="single" w:sz="4" w:space="0" w:color="auto"/>
              <w:left w:val="single" w:sz="4" w:space="0" w:color="auto"/>
              <w:bottom w:val="single" w:sz="4" w:space="0" w:color="auto"/>
              <w:right w:val="single" w:sz="4" w:space="0" w:color="auto"/>
            </w:tcBorders>
          </w:tcPr>
          <w:p w14:paraId="6D04D3BC" w14:textId="77777777" w:rsidR="006C2DAC" w:rsidRDefault="006C2DAC" w:rsidP="00132AEA">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6D04D3BD" w14:textId="77777777" w:rsidR="006C2DAC" w:rsidRDefault="006C2DAC" w:rsidP="00132AEA">
            <w:pPr>
              <w:pStyle w:val="CERnon-indent"/>
              <w:rPr>
                <w:rFonts w:cs="Arial"/>
              </w:rPr>
            </w:pPr>
            <w:r>
              <w:rPr>
                <w:rFonts w:cs="Arial"/>
              </w:rPr>
              <w:t>SEMO Design Baseline Documentation at V21.0</w:t>
            </w:r>
          </w:p>
        </w:tc>
      </w:tr>
      <w:tr w:rsidR="00C561D0" w14:paraId="59D770D1" w14:textId="77777777" w:rsidTr="006C2DAC">
        <w:trPr>
          <w:trHeight w:val="300"/>
        </w:trPr>
        <w:tc>
          <w:tcPr>
            <w:tcW w:w="1176" w:type="dxa"/>
            <w:tcBorders>
              <w:top w:val="single" w:sz="4" w:space="0" w:color="auto"/>
              <w:left w:val="single" w:sz="4" w:space="0" w:color="auto"/>
              <w:bottom w:val="single" w:sz="4" w:space="0" w:color="auto"/>
              <w:right w:val="single" w:sz="4" w:space="0" w:color="auto"/>
            </w:tcBorders>
          </w:tcPr>
          <w:p w14:paraId="54900F1D" w14:textId="4B5A4129" w:rsidR="00C561D0" w:rsidRDefault="00C561D0" w:rsidP="00132AEA">
            <w:pPr>
              <w:pStyle w:val="CERnon-indent"/>
              <w:rPr>
                <w:color w:val="auto"/>
              </w:rPr>
            </w:pPr>
            <w:r>
              <w:rPr>
                <w:color w:val="auto"/>
              </w:rPr>
              <w:t>22.0</w:t>
            </w:r>
          </w:p>
        </w:tc>
        <w:tc>
          <w:tcPr>
            <w:tcW w:w="1452" w:type="dxa"/>
            <w:tcBorders>
              <w:top w:val="single" w:sz="4" w:space="0" w:color="auto"/>
              <w:left w:val="single" w:sz="4" w:space="0" w:color="auto"/>
              <w:bottom w:val="single" w:sz="4" w:space="0" w:color="auto"/>
              <w:right w:val="single" w:sz="4" w:space="0" w:color="auto"/>
            </w:tcBorders>
          </w:tcPr>
          <w:p w14:paraId="35A0A932" w14:textId="48407D72" w:rsidR="00C561D0" w:rsidRDefault="00484164" w:rsidP="00043C81">
            <w:pPr>
              <w:pStyle w:val="CERnon-indent"/>
              <w:rPr>
                <w:color w:val="auto"/>
              </w:rPr>
            </w:pPr>
            <w:r>
              <w:rPr>
                <w:color w:val="auto"/>
              </w:rPr>
              <w:t>2</w:t>
            </w:r>
            <w:r w:rsidR="003E1855">
              <w:rPr>
                <w:color w:val="auto"/>
              </w:rPr>
              <w:t>9</w:t>
            </w:r>
            <w:r>
              <w:rPr>
                <w:color w:val="auto"/>
              </w:rPr>
              <w:t>/04/2020</w:t>
            </w:r>
          </w:p>
        </w:tc>
        <w:tc>
          <w:tcPr>
            <w:tcW w:w="2700" w:type="dxa"/>
            <w:tcBorders>
              <w:top w:val="single" w:sz="4" w:space="0" w:color="auto"/>
              <w:left w:val="single" w:sz="4" w:space="0" w:color="auto"/>
              <w:bottom w:val="single" w:sz="4" w:space="0" w:color="auto"/>
              <w:right w:val="single" w:sz="4" w:space="0" w:color="auto"/>
            </w:tcBorders>
          </w:tcPr>
          <w:p w14:paraId="6F87BEF3" w14:textId="67A9D0CB" w:rsidR="00C561D0" w:rsidRDefault="00C561D0" w:rsidP="00132AEA">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45B55DAC" w14:textId="17910C70" w:rsidR="00C561D0" w:rsidRDefault="00C561D0" w:rsidP="00C561D0">
            <w:pPr>
              <w:pStyle w:val="CERnon-indent"/>
              <w:rPr>
                <w:rFonts w:cs="Arial"/>
              </w:rPr>
            </w:pPr>
            <w:r>
              <w:rPr>
                <w:rFonts w:cs="Arial"/>
              </w:rPr>
              <w:t>SEMO Design Baseline Documentation at V22.0</w:t>
            </w:r>
          </w:p>
        </w:tc>
      </w:tr>
      <w:tr w:rsidR="00DB2A4D" w14:paraId="73FF2A38" w14:textId="77777777" w:rsidTr="006C2DAC">
        <w:trPr>
          <w:trHeight w:val="300"/>
        </w:trPr>
        <w:tc>
          <w:tcPr>
            <w:tcW w:w="1176" w:type="dxa"/>
            <w:tcBorders>
              <w:top w:val="single" w:sz="4" w:space="0" w:color="auto"/>
              <w:left w:val="single" w:sz="4" w:space="0" w:color="auto"/>
              <w:bottom w:val="single" w:sz="4" w:space="0" w:color="auto"/>
              <w:right w:val="single" w:sz="4" w:space="0" w:color="auto"/>
            </w:tcBorders>
          </w:tcPr>
          <w:p w14:paraId="6E992B52" w14:textId="662DB04E" w:rsidR="00DB2A4D" w:rsidRDefault="00DB2A4D" w:rsidP="00132AEA">
            <w:pPr>
              <w:pStyle w:val="CERnon-indent"/>
              <w:rPr>
                <w:color w:val="auto"/>
              </w:rPr>
            </w:pPr>
            <w:r>
              <w:rPr>
                <w:color w:val="auto"/>
              </w:rPr>
              <w:t>23.0</w:t>
            </w:r>
          </w:p>
        </w:tc>
        <w:tc>
          <w:tcPr>
            <w:tcW w:w="1452" w:type="dxa"/>
            <w:tcBorders>
              <w:top w:val="single" w:sz="4" w:space="0" w:color="auto"/>
              <w:left w:val="single" w:sz="4" w:space="0" w:color="auto"/>
              <w:bottom w:val="single" w:sz="4" w:space="0" w:color="auto"/>
              <w:right w:val="single" w:sz="4" w:space="0" w:color="auto"/>
            </w:tcBorders>
          </w:tcPr>
          <w:p w14:paraId="051FCAA6" w14:textId="01D19AB3" w:rsidR="00DB2A4D" w:rsidRDefault="00DB2A4D" w:rsidP="00043C81">
            <w:pPr>
              <w:pStyle w:val="CERnon-indent"/>
              <w:rPr>
                <w:color w:val="auto"/>
              </w:rPr>
            </w:pPr>
            <w:r>
              <w:rPr>
                <w:color w:val="auto"/>
              </w:rPr>
              <w:t>03/11/2020</w:t>
            </w:r>
          </w:p>
        </w:tc>
        <w:tc>
          <w:tcPr>
            <w:tcW w:w="2700" w:type="dxa"/>
            <w:tcBorders>
              <w:top w:val="single" w:sz="4" w:space="0" w:color="auto"/>
              <w:left w:val="single" w:sz="4" w:space="0" w:color="auto"/>
              <w:bottom w:val="single" w:sz="4" w:space="0" w:color="auto"/>
              <w:right w:val="single" w:sz="4" w:space="0" w:color="auto"/>
            </w:tcBorders>
          </w:tcPr>
          <w:p w14:paraId="2FADFE79" w14:textId="612869E4" w:rsidR="00DB2A4D" w:rsidRDefault="00DB2A4D" w:rsidP="00132AEA">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41083C54" w14:textId="0F5ECC3F" w:rsidR="00DB2A4D" w:rsidRDefault="00DB2A4D" w:rsidP="00DB2A4D">
            <w:pPr>
              <w:pStyle w:val="CERnon-indent"/>
              <w:rPr>
                <w:rFonts w:cs="Arial"/>
              </w:rPr>
            </w:pPr>
            <w:r>
              <w:rPr>
                <w:rFonts w:cs="Arial"/>
              </w:rPr>
              <w:t>SEMO Design Baseline Documentation at V23.0</w:t>
            </w:r>
          </w:p>
        </w:tc>
      </w:tr>
      <w:tr w:rsidR="00B05A89" w14:paraId="7954717D" w14:textId="77777777" w:rsidTr="006C2DAC">
        <w:trPr>
          <w:trHeight w:val="300"/>
        </w:trPr>
        <w:tc>
          <w:tcPr>
            <w:tcW w:w="1176" w:type="dxa"/>
            <w:tcBorders>
              <w:top w:val="single" w:sz="4" w:space="0" w:color="auto"/>
              <w:left w:val="single" w:sz="4" w:space="0" w:color="auto"/>
              <w:bottom w:val="single" w:sz="4" w:space="0" w:color="auto"/>
              <w:right w:val="single" w:sz="4" w:space="0" w:color="auto"/>
            </w:tcBorders>
          </w:tcPr>
          <w:p w14:paraId="2DC10122" w14:textId="7AC5584E" w:rsidR="00B05A89" w:rsidRDefault="00B05A89" w:rsidP="00132AEA">
            <w:pPr>
              <w:pStyle w:val="CERnon-indent"/>
              <w:rPr>
                <w:color w:val="auto"/>
              </w:rPr>
            </w:pPr>
            <w:r>
              <w:rPr>
                <w:color w:val="auto"/>
              </w:rPr>
              <w:t>24.0</w:t>
            </w:r>
          </w:p>
        </w:tc>
        <w:tc>
          <w:tcPr>
            <w:tcW w:w="1452" w:type="dxa"/>
            <w:tcBorders>
              <w:top w:val="single" w:sz="4" w:space="0" w:color="auto"/>
              <w:left w:val="single" w:sz="4" w:space="0" w:color="auto"/>
              <w:bottom w:val="single" w:sz="4" w:space="0" w:color="auto"/>
              <w:right w:val="single" w:sz="4" w:space="0" w:color="auto"/>
            </w:tcBorders>
          </w:tcPr>
          <w:p w14:paraId="60553257" w14:textId="3C549787" w:rsidR="00B05A89" w:rsidRDefault="00483EF7" w:rsidP="00043C81">
            <w:pPr>
              <w:pStyle w:val="CERnon-indent"/>
              <w:rPr>
                <w:color w:val="auto"/>
              </w:rPr>
            </w:pPr>
            <w:r>
              <w:rPr>
                <w:color w:val="auto"/>
              </w:rPr>
              <w:t>01/07/2021</w:t>
            </w:r>
          </w:p>
        </w:tc>
        <w:tc>
          <w:tcPr>
            <w:tcW w:w="2700" w:type="dxa"/>
            <w:tcBorders>
              <w:top w:val="single" w:sz="4" w:space="0" w:color="auto"/>
              <w:left w:val="single" w:sz="4" w:space="0" w:color="auto"/>
              <w:bottom w:val="single" w:sz="4" w:space="0" w:color="auto"/>
              <w:right w:val="single" w:sz="4" w:space="0" w:color="auto"/>
            </w:tcBorders>
          </w:tcPr>
          <w:p w14:paraId="3F792E43" w14:textId="586EF28E" w:rsidR="00B05A89" w:rsidRDefault="00B05A89" w:rsidP="00132AEA">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26F0A771" w14:textId="335C2341" w:rsidR="00B05A89" w:rsidRDefault="00B05A89" w:rsidP="00DB2A4D">
            <w:pPr>
              <w:pStyle w:val="CERnon-indent"/>
              <w:rPr>
                <w:rFonts w:cs="Arial"/>
              </w:rPr>
            </w:pPr>
            <w:r>
              <w:rPr>
                <w:rFonts w:cs="Arial"/>
              </w:rPr>
              <w:t>SEMO Design Baseline Documentation at V24.0</w:t>
            </w:r>
          </w:p>
        </w:tc>
      </w:tr>
      <w:tr w:rsidR="00386788" w14:paraId="22A2CF45" w14:textId="77777777" w:rsidTr="006C2DAC">
        <w:trPr>
          <w:trHeight w:val="300"/>
        </w:trPr>
        <w:tc>
          <w:tcPr>
            <w:tcW w:w="1176" w:type="dxa"/>
            <w:tcBorders>
              <w:top w:val="single" w:sz="4" w:space="0" w:color="auto"/>
              <w:left w:val="single" w:sz="4" w:space="0" w:color="auto"/>
              <w:bottom w:val="single" w:sz="4" w:space="0" w:color="auto"/>
              <w:right w:val="single" w:sz="4" w:space="0" w:color="auto"/>
            </w:tcBorders>
          </w:tcPr>
          <w:p w14:paraId="2DF449D7" w14:textId="41566E24" w:rsidR="00386788" w:rsidRDefault="00386788" w:rsidP="00132AEA">
            <w:pPr>
              <w:pStyle w:val="CERnon-indent"/>
              <w:rPr>
                <w:color w:val="auto"/>
              </w:rPr>
            </w:pPr>
            <w:r>
              <w:rPr>
                <w:color w:val="auto"/>
              </w:rPr>
              <w:t>25.0</w:t>
            </w:r>
          </w:p>
        </w:tc>
        <w:tc>
          <w:tcPr>
            <w:tcW w:w="1452" w:type="dxa"/>
            <w:tcBorders>
              <w:top w:val="single" w:sz="4" w:space="0" w:color="auto"/>
              <w:left w:val="single" w:sz="4" w:space="0" w:color="auto"/>
              <w:bottom w:val="single" w:sz="4" w:space="0" w:color="auto"/>
              <w:right w:val="single" w:sz="4" w:space="0" w:color="auto"/>
            </w:tcBorders>
          </w:tcPr>
          <w:p w14:paraId="0FC17FA5" w14:textId="0203EC72" w:rsidR="00386788" w:rsidRDefault="002113BF" w:rsidP="00043C81">
            <w:pPr>
              <w:pStyle w:val="CERnon-indent"/>
              <w:rPr>
                <w:color w:val="auto"/>
              </w:rPr>
            </w:pPr>
            <w:r>
              <w:rPr>
                <w:color w:val="auto"/>
              </w:rPr>
              <w:t>09</w:t>
            </w:r>
            <w:r w:rsidR="00386788">
              <w:rPr>
                <w:color w:val="auto"/>
              </w:rPr>
              <w:t>/11/2021</w:t>
            </w:r>
          </w:p>
        </w:tc>
        <w:tc>
          <w:tcPr>
            <w:tcW w:w="2700" w:type="dxa"/>
            <w:tcBorders>
              <w:top w:val="single" w:sz="4" w:space="0" w:color="auto"/>
              <w:left w:val="single" w:sz="4" w:space="0" w:color="auto"/>
              <w:bottom w:val="single" w:sz="4" w:space="0" w:color="auto"/>
              <w:right w:val="single" w:sz="4" w:space="0" w:color="auto"/>
            </w:tcBorders>
          </w:tcPr>
          <w:p w14:paraId="0D4A9BCF" w14:textId="51F1E5BE" w:rsidR="00386788" w:rsidRDefault="00386788" w:rsidP="00132AEA">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024816E4" w14:textId="48079745" w:rsidR="00386788" w:rsidRDefault="00386788" w:rsidP="00DB2A4D">
            <w:pPr>
              <w:pStyle w:val="CERnon-indent"/>
              <w:rPr>
                <w:rFonts w:cs="Arial"/>
              </w:rPr>
            </w:pPr>
            <w:r>
              <w:rPr>
                <w:rFonts w:cs="Arial"/>
              </w:rPr>
              <w:t>SEMO Design Baseline Documentation at V25.0</w:t>
            </w:r>
          </w:p>
        </w:tc>
      </w:tr>
      <w:tr w:rsidR="003B432F" w14:paraId="45225412" w14:textId="77777777" w:rsidTr="006C2DAC">
        <w:trPr>
          <w:trHeight w:val="300"/>
        </w:trPr>
        <w:tc>
          <w:tcPr>
            <w:tcW w:w="1176" w:type="dxa"/>
            <w:tcBorders>
              <w:top w:val="single" w:sz="4" w:space="0" w:color="auto"/>
              <w:left w:val="single" w:sz="4" w:space="0" w:color="auto"/>
              <w:bottom w:val="single" w:sz="4" w:space="0" w:color="auto"/>
              <w:right w:val="single" w:sz="4" w:space="0" w:color="auto"/>
            </w:tcBorders>
          </w:tcPr>
          <w:p w14:paraId="46892BF4" w14:textId="45B760E3" w:rsidR="003B432F" w:rsidRDefault="003B432F" w:rsidP="00132AEA">
            <w:pPr>
              <w:pStyle w:val="CERnon-indent"/>
              <w:rPr>
                <w:color w:val="auto"/>
              </w:rPr>
            </w:pPr>
            <w:r>
              <w:rPr>
                <w:color w:val="auto"/>
              </w:rPr>
              <w:t>26.0</w:t>
            </w:r>
          </w:p>
        </w:tc>
        <w:tc>
          <w:tcPr>
            <w:tcW w:w="1452" w:type="dxa"/>
            <w:tcBorders>
              <w:top w:val="single" w:sz="4" w:space="0" w:color="auto"/>
              <w:left w:val="single" w:sz="4" w:space="0" w:color="auto"/>
              <w:bottom w:val="single" w:sz="4" w:space="0" w:color="auto"/>
              <w:right w:val="single" w:sz="4" w:space="0" w:color="auto"/>
            </w:tcBorders>
          </w:tcPr>
          <w:p w14:paraId="17681B9D" w14:textId="3BC2E2F4" w:rsidR="003B432F" w:rsidRDefault="00652578" w:rsidP="00043C81">
            <w:pPr>
              <w:pStyle w:val="CERnon-indent"/>
              <w:rPr>
                <w:color w:val="auto"/>
              </w:rPr>
            </w:pPr>
            <w:r>
              <w:rPr>
                <w:color w:val="auto"/>
              </w:rPr>
              <w:t>17/05/2022</w:t>
            </w:r>
          </w:p>
        </w:tc>
        <w:tc>
          <w:tcPr>
            <w:tcW w:w="2700" w:type="dxa"/>
            <w:tcBorders>
              <w:top w:val="single" w:sz="4" w:space="0" w:color="auto"/>
              <w:left w:val="single" w:sz="4" w:space="0" w:color="auto"/>
              <w:bottom w:val="single" w:sz="4" w:space="0" w:color="auto"/>
              <w:right w:val="single" w:sz="4" w:space="0" w:color="auto"/>
            </w:tcBorders>
          </w:tcPr>
          <w:p w14:paraId="0FF82610" w14:textId="716B9834" w:rsidR="003B432F" w:rsidRDefault="003B432F" w:rsidP="00132AEA">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3DD8E6FD" w14:textId="20B55E44" w:rsidR="003B432F" w:rsidRDefault="003B432F" w:rsidP="00DB2A4D">
            <w:pPr>
              <w:pStyle w:val="CERnon-indent"/>
              <w:rPr>
                <w:rFonts w:cs="Arial"/>
              </w:rPr>
            </w:pPr>
            <w:r>
              <w:rPr>
                <w:rFonts w:cs="Arial"/>
              </w:rPr>
              <w:t>SEMO Design Baseline Documentation at V26.0</w:t>
            </w:r>
          </w:p>
        </w:tc>
      </w:tr>
      <w:tr w:rsidR="00052FA8" w14:paraId="7937D0AE" w14:textId="77777777" w:rsidTr="006C2DAC">
        <w:trPr>
          <w:trHeight w:val="300"/>
        </w:trPr>
        <w:tc>
          <w:tcPr>
            <w:tcW w:w="1176" w:type="dxa"/>
            <w:tcBorders>
              <w:top w:val="single" w:sz="4" w:space="0" w:color="auto"/>
              <w:left w:val="single" w:sz="4" w:space="0" w:color="auto"/>
              <w:bottom w:val="single" w:sz="4" w:space="0" w:color="auto"/>
              <w:right w:val="single" w:sz="4" w:space="0" w:color="auto"/>
            </w:tcBorders>
          </w:tcPr>
          <w:p w14:paraId="1231C1B8" w14:textId="208D8CEC" w:rsidR="00052FA8" w:rsidRDefault="00052FA8" w:rsidP="00132AEA">
            <w:pPr>
              <w:pStyle w:val="CERnon-indent"/>
              <w:rPr>
                <w:color w:val="auto"/>
              </w:rPr>
            </w:pPr>
            <w:r>
              <w:rPr>
                <w:color w:val="auto"/>
              </w:rPr>
              <w:t>27.0</w:t>
            </w:r>
          </w:p>
        </w:tc>
        <w:tc>
          <w:tcPr>
            <w:tcW w:w="1452" w:type="dxa"/>
            <w:tcBorders>
              <w:top w:val="single" w:sz="4" w:space="0" w:color="auto"/>
              <w:left w:val="single" w:sz="4" w:space="0" w:color="auto"/>
              <w:bottom w:val="single" w:sz="4" w:space="0" w:color="auto"/>
              <w:right w:val="single" w:sz="4" w:space="0" w:color="auto"/>
            </w:tcBorders>
          </w:tcPr>
          <w:p w14:paraId="19E17C93" w14:textId="74B7B36B" w:rsidR="00052FA8" w:rsidRDefault="00052FA8" w:rsidP="00043C81">
            <w:pPr>
              <w:pStyle w:val="CERnon-indent"/>
              <w:rPr>
                <w:color w:val="auto"/>
              </w:rPr>
            </w:pPr>
            <w:r>
              <w:rPr>
                <w:color w:val="auto"/>
              </w:rPr>
              <w:t>0</w:t>
            </w:r>
            <w:r w:rsidR="0015442F">
              <w:rPr>
                <w:color w:val="auto"/>
              </w:rPr>
              <w:t>7</w:t>
            </w:r>
            <w:r>
              <w:rPr>
                <w:color w:val="auto"/>
              </w:rPr>
              <w:t>/12/2022</w:t>
            </w:r>
          </w:p>
        </w:tc>
        <w:tc>
          <w:tcPr>
            <w:tcW w:w="2700" w:type="dxa"/>
            <w:tcBorders>
              <w:top w:val="single" w:sz="4" w:space="0" w:color="auto"/>
              <w:left w:val="single" w:sz="4" w:space="0" w:color="auto"/>
              <w:bottom w:val="single" w:sz="4" w:space="0" w:color="auto"/>
              <w:right w:val="single" w:sz="4" w:space="0" w:color="auto"/>
            </w:tcBorders>
          </w:tcPr>
          <w:p w14:paraId="7A74C6E0" w14:textId="6D412035" w:rsidR="00052FA8" w:rsidRDefault="00052FA8" w:rsidP="00132AEA">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6CFE7768" w14:textId="3D94CFF7" w:rsidR="00052FA8" w:rsidRDefault="00052FA8" w:rsidP="00DB2A4D">
            <w:pPr>
              <w:pStyle w:val="CERnon-indent"/>
              <w:rPr>
                <w:rFonts w:cs="Arial"/>
              </w:rPr>
            </w:pPr>
            <w:r>
              <w:rPr>
                <w:rFonts w:cs="Arial"/>
              </w:rPr>
              <w:t>SEMO Design Baseline Documentation at V27.0</w:t>
            </w:r>
          </w:p>
        </w:tc>
      </w:tr>
      <w:tr w:rsidR="00FD1F7D" w14:paraId="3B6CF74C" w14:textId="77777777" w:rsidTr="006C2DAC">
        <w:trPr>
          <w:trHeight w:val="300"/>
        </w:trPr>
        <w:tc>
          <w:tcPr>
            <w:tcW w:w="1176" w:type="dxa"/>
            <w:tcBorders>
              <w:top w:val="single" w:sz="4" w:space="0" w:color="auto"/>
              <w:left w:val="single" w:sz="4" w:space="0" w:color="auto"/>
              <w:bottom w:val="single" w:sz="4" w:space="0" w:color="auto"/>
              <w:right w:val="single" w:sz="4" w:space="0" w:color="auto"/>
            </w:tcBorders>
          </w:tcPr>
          <w:p w14:paraId="01694DBF" w14:textId="1DE10C33" w:rsidR="00FD1F7D" w:rsidRDefault="00FD1F7D" w:rsidP="00132AEA">
            <w:pPr>
              <w:pStyle w:val="CERnon-indent"/>
              <w:rPr>
                <w:color w:val="auto"/>
              </w:rPr>
            </w:pPr>
            <w:r>
              <w:rPr>
                <w:color w:val="auto"/>
              </w:rPr>
              <w:t>28.0</w:t>
            </w:r>
          </w:p>
        </w:tc>
        <w:tc>
          <w:tcPr>
            <w:tcW w:w="1452" w:type="dxa"/>
            <w:tcBorders>
              <w:top w:val="single" w:sz="4" w:space="0" w:color="auto"/>
              <w:left w:val="single" w:sz="4" w:space="0" w:color="auto"/>
              <w:bottom w:val="single" w:sz="4" w:space="0" w:color="auto"/>
              <w:right w:val="single" w:sz="4" w:space="0" w:color="auto"/>
            </w:tcBorders>
          </w:tcPr>
          <w:p w14:paraId="3FD8505C" w14:textId="4D32B487" w:rsidR="00FD1F7D" w:rsidRDefault="00FD1F7D" w:rsidP="00043C81">
            <w:pPr>
              <w:pStyle w:val="CERnon-indent"/>
              <w:rPr>
                <w:color w:val="auto"/>
              </w:rPr>
            </w:pPr>
            <w:r>
              <w:rPr>
                <w:color w:val="auto"/>
              </w:rPr>
              <w:t>1</w:t>
            </w:r>
            <w:r w:rsidR="002806C6">
              <w:rPr>
                <w:color w:val="auto"/>
              </w:rPr>
              <w:t>8</w:t>
            </w:r>
            <w:r>
              <w:rPr>
                <w:color w:val="auto"/>
              </w:rPr>
              <w:t>/0</w:t>
            </w:r>
            <w:r w:rsidR="009C43D3">
              <w:rPr>
                <w:color w:val="auto"/>
              </w:rPr>
              <w:t>8</w:t>
            </w:r>
            <w:r>
              <w:rPr>
                <w:color w:val="auto"/>
              </w:rPr>
              <w:t>/2023</w:t>
            </w:r>
          </w:p>
        </w:tc>
        <w:tc>
          <w:tcPr>
            <w:tcW w:w="2700" w:type="dxa"/>
            <w:tcBorders>
              <w:top w:val="single" w:sz="4" w:space="0" w:color="auto"/>
              <w:left w:val="single" w:sz="4" w:space="0" w:color="auto"/>
              <w:bottom w:val="single" w:sz="4" w:space="0" w:color="auto"/>
              <w:right w:val="single" w:sz="4" w:space="0" w:color="auto"/>
            </w:tcBorders>
          </w:tcPr>
          <w:p w14:paraId="688FA732" w14:textId="457218B8" w:rsidR="00FD1F7D" w:rsidRDefault="00FD1F7D" w:rsidP="00132AEA">
            <w:pPr>
              <w:pStyle w:val="CERnon-indent"/>
              <w:rPr>
                <w:color w:val="auto"/>
              </w:rPr>
            </w:pPr>
            <w:r>
              <w:rPr>
                <w:color w:val="auto"/>
              </w:rPr>
              <w:t>SEMO</w:t>
            </w:r>
          </w:p>
        </w:tc>
        <w:tc>
          <w:tcPr>
            <w:tcW w:w="3960" w:type="dxa"/>
            <w:tcBorders>
              <w:top w:val="single" w:sz="4" w:space="0" w:color="auto"/>
              <w:left w:val="single" w:sz="4" w:space="0" w:color="auto"/>
              <w:bottom w:val="single" w:sz="4" w:space="0" w:color="auto"/>
              <w:right w:val="single" w:sz="4" w:space="0" w:color="auto"/>
            </w:tcBorders>
          </w:tcPr>
          <w:p w14:paraId="6A0E234C" w14:textId="613D96CD" w:rsidR="00FD1F7D" w:rsidRDefault="00FD1F7D" w:rsidP="00DB2A4D">
            <w:pPr>
              <w:pStyle w:val="CERnon-indent"/>
              <w:rPr>
                <w:rFonts w:cs="Arial"/>
              </w:rPr>
            </w:pPr>
            <w:r>
              <w:rPr>
                <w:rFonts w:cs="Arial"/>
              </w:rPr>
              <w:t>SEMO Design Baseline Documentation at V28.0</w:t>
            </w:r>
          </w:p>
        </w:tc>
      </w:tr>
    </w:tbl>
    <w:p w14:paraId="6D04D3BF" w14:textId="77777777" w:rsidR="00A02163" w:rsidRPr="002F0687" w:rsidRDefault="00A02163" w:rsidP="002965DE">
      <w:pPr>
        <w:pStyle w:val="CERnon-indent"/>
        <w:rPr>
          <w:color w:val="auto"/>
        </w:rPr>
      </w:pPr>
    </w:p>
    <w:p w14:paraId="6D04D3C0" w14:textId="77777777" w:rsidR="00CB756D" w:rsidRPr="002F0687" w:rsidRDefault="002965DE" w:rsidP="002965DE">
      <w:pPr>
        <w:pStyle w:val="CERnon-indent"/>
        <w:rPr>
          <w:b/>
          <w:color w:val="auto"/>
          <w:sz w:val="24"/>
          <w:szCs w:val="24"/>
        </w:rPr>
      </w:pPr>
      <w:r w:rsidRPr="002F0687">
        <w:rPr>
          <w:b/>
          <w:color w:val="auto"/>
          <w:sz w:val="24"/>
          <w:szCs w:val="24"/>
        </w:rPr>
        <w:t>RELATED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260"/>
        <w:gridCol w:w="1620"/>
        <w:gridCol w:w="2772"/>
      </w:tblGrid>
      <w:tr w:rsidR="00CB756D" w:rsidRPr="002F0687" w14:paraId="6D04D3C5" w14:textId="77777777">
        <w:trPr>
          <w:trHeight w:val="109"/>
        </w:trPr>
        <w:tc>
          <w:tcPr>
            <w:tcW w:w="3528" w:type="dxa"/>
            <w:shd w:val="pct15" w:color="auto" w:fill="FFFFFF"/>
          </w:tcPr>
          <w:p w14:paraId="6D04D3C1" w14:textId="77777777" w:rsidR="00CB756D" w:rsidRPr="002F0687" w:rsidRDefault="00CB756D" w:rsidP="002965DE">
            <w:pPr>
              <w:pStyle w:val="CERTableHeader"/>
            </w:pPr>
            <w:r w:rsidRPr="002F0687">
              <w:t>Document Title</w:t>
            </w:r>
          </w:p>
        </w:tc>
        <w:tc>
          <w:tcPr>
            <w:tcW w:w="1260" w:type="dxa"/>
            <w:shd w:val="pct15" w:color="auto" w:fill="FFFFFF"/>
          </w:tcPr>
          <w:p w14:paraId="6D04D3C2" w14:textId="77777777" w:rsidR="00CB756D" w:rsidRPr="002F0687" w:rsidRDefault="00CB756D" w:rsidP="002965DE">
            <w:pPr>
              <w:pStyle w:val="CERTableHeader"/>
            </w:pPr>
            <w:r w:rsidRPr="002F0687">
              <w:t xml:space="preserve">Version </w:t>
            </w:r>
          </w:p>
        </w:tc>
        <w:tc>
          <w:tcPr>
            <w:tcW w:w="1620" w:type="dxa"/>
            <w:shd w:val="pct15" w:color="auto" w:fill="FFFFFF"/>
          </w:tcPr>
          <w:p w14:paraId="6D04D3C3" w14:textId="77777777" w:rsidR="00CB756D" w:rsidRPr="002F0687" w:rsidRDefault="00CB756D" w:rsidP="002965DE">
            <w:pPr>
              <w:pStyle w:val="CERTableHeader"/>
            </w:pPr>
            <w:r w:rsidRPr="002F0687">
              <w:t>Date</w:t>
            </w:r>
          </w:p>
        </w:tc>
        <w:tc>
          <w:tcPr>
            <w:tcW w:w="2772" w:type="dxa"/>
            <w:shd w:val="pct15" w:color="auto" w:fill="FFFFFF"/>
          </w:tcPr>
          <w:p w14:paraId="6D04D3C4" w14:textId="77777777" w:rsidR="00CB756D" w:rsidRPr="002F0687" w:rsidRDefault="00CB756D" w:rsidP="002965DE">
            <w:pPr>
              <w:pStyle w:val="CERTableHeader"/>
            </w:pPr>
            <w:r w:rsidRPr="002F0687">
              <w:t>By</w:t>
            </w:r>
          </w:p>
        </w:tc>
      </w:tr>
      <w:tr w:rsidR="00C561D0" w:rsidRPr="002F0687" w14:paraId="6D04D3CA" w14:textId="77777777">
        <w:trPr>
          <w:trHeight w:val="300"/>
        </w:trPr>
        <w:tc>
          <w:tcPr>
            <w:tcW w:w="3528" w:type="dxa"/>
          </w:tcPr>
          <w:p w14:paraId="6D04D3C6" w14:textId="77777777" w:rsidR="00C561D0" w:rsidRPr="002F0687" w:rsidRDefault="00C561D0" w:rsidP="002965DE">
            <w:pPr>
              <w:pStyle w:val="CERnon-indent"/>
              <w:rPr>
                <w:color w:val="auto"/>
              </w:rPr>
            </w:pPr>
            <w:r w:rsidRPr="002F0687">
              <w:rPr>
                <w:color w:val="auto"/>
              </w:rPr>
              <w:t>Trading and Settlement Code</w:t>
            </w:r>
          </w:p>
        </w:tc>
        <w:tc>
          <w:tcPr>
            <w:tcW w:w="1260" w:type="dxa"/>
          </w:tcPr>
          <w:p w14:paraId="6D04D3C7" w14:textId="64EC0C9B" w:rsidR="00C561D0" w:rsidRPr="002F0687" w:rsidRDefault="00044972" w:rsidP="00386788">
            <w:pPr>
              <w:pStyle w:val="CERnon-indent"/>
              <w:rPr>
                <w:color w:val="auto"/>
              </w:rPr>
            </w:pPr>
            <w:r>
              <w:rPr>
                <w:color w:val="auto"/>
              </w:rPr>
              <w:t>V2</w:t>
            </w:r>
            <w:r w:rsidR="00FD1F7D">
              <w:rPr>
                <w:color w:val="auto"/>
              </w:rPr>
              <w:t>8</w:t>
            </w:r>
            <w:r w:rsidR="00C561D0">
              <w:rPr>
                <w:color w:val="auto"/>
              </w:rPr>
              <w:t>.0</w:t>
            </w:r>
          </w:p>
        </w:tc>
        <w:tc>
          <w:tcPr>
            <w:tcW w:w="1620" w:type="dxa"/>
          </w:tcPr>
          <w:p w14:paraId="6D04D3C8" w14:textId="2A60B29E" w:rsidR="00C561D0" w:rsidRPr="002F0687" w:rsidRDefault="00FD1F7D" w:rsidP="00386788">
            <w:pPr>
              <w:pStyle w:val="CERnon-indent"/>
              <w:rPr>
                <w:color w:val="auto"/>
              </w:rPr>
            </w:pPr>
            <w:r>
              <w:rPr>
                <w:color w:val="auto"/>
              </w:rPr>
              <w:t>1</w:t>
            </w:r>
            <w:r w:rsidR="002806C6">
              <w:rPr>
                <w:color w:val="auto"/>
              </w:rPr>
              <w:t>8</w:t>
            </w:r>
            <w:r>
              <w:rPr>
                <w:color w:val="auto"/>
              </w:rPr>
              <w:t>/0</w:t>
            </w:r>
            <w:r w:rsidR="002806C6">
              <w:rPr>
                <w:color w:val="auto"/>
              </w:rPr>
              <w:t>8</w:t>
            </w:r>
            <w:r>
              <w:rPr>
                <w:color w:val="auto"/>
              </w:rPr>
              <w:t>/2023</w:t>
            </w:r>
          </w:p>
        </w:tc>
        <w:tc>
          <w:tcPr>
            <w:tcW w:w="2772" w:type="dxa"/>
          </w:tcPr>
          <w:p w14:paraId="6D04D3C9" w14:textId="77777777" w:rsidR="00C561D0" w:rsidRPr="002F0687" w:rsidRDefault="00C561D0" w:rsidP="002965DE">
            <w:pPr>
              <w:pStyle w:val="CERnon-indent"/>
              <w:rPr>
                <w:color w:val="auto"/>
              </w:rPr>
            </w:pPr>
            <w:r w:rsidRPr="002F0687">
              <w:rPr>
                <w:color w:val="auto"/>
              </w:rPr>
              <w:t>Regulatory Authorities</w:t>
            </w:r>
          </w:p>
        </w:tc>
      </w:tr>
      <w:tr w:rsidR="00C561D0" w:rsidRPr="002F0687" w14:paraId="6D04D3CF" w14:textId="77777777">
        <w:trPr>
          <w:trHeight w:val="300"/>
        </w:trPr>
        <w:tc>
          <w:tcPr>
            <w:tcW w:w="3528" w:type="dxa"/>
          </w:tcPr>
          <w:p w14:paraId="6D04D3CB" w14:textId="77777777" w:rsidR="00C561D0" w:rsidRPr="002F0687" w:rsidRDefault="00C561D0" w:rsidP="002965DE">
            <w:pPr>
              <w:pStyle w:val="CERnon-indent"/>
              <w:rPr>
                <w:color w:val="auto"/>
              </w:rPr>
            </w:pPr>
            <w:r w:rsidRPr="002F0687">
              <w:rPr>
                <w:color w:val="auto"/>
              </w:rPr>
              <w:t>Agreed Procedure 9 “Management of Credit Cover and Credit”</w:t>
            </w:r>
          </w:p>
        </w:tc>
        <w:tc>
          <w:tcPr>
            <w:tcW w:w="1260" w:type="dxa"/>
          </w:tcPr>
          <w:p w14:paraId="6D04D3CC" w14:textId="77777777" w:rsidR="00C561D0" w:rsidRPr="002F0687" w:rsidRDefault="00C561D0" w:rsidP="002965DE">
            <w:pPr>
              <w:pStyle w:val="CERnon-indent"/>
              <w:rPr>
                <w:color w:val="auto"/>
              </w:rPr>
            </w:pPr>
          </w:p>
        </w:tc>
        <w:tc>
          <w:tcPr>
            <w:tcW w:w="1620" w:type="dxa"/>
          </w:tcPr>
          <w:p w14:paraId="6D04D3CD" w14:textId="77777777" w:rsidR="00C561D0" w:rsidRPr="002F0687" w:rsidRDefault="00C561D0" w:rsidP="002965DE">
            <w:pPr>
              <w:pStyle w:val="CERnon-indent"/>
              <w:rPr>
                <w:color w:val="auto"/>
              </w:rPr>
            </w:pPr>
          </w:p>
        </w:tc>
        <w:tc>
          <w:tcPr>
            <w:tcW w:w="2772" w:type="dxa"/>
          </w:tcPr>
          <w:p w14:paraId="6D04D3CE" w14:textId="77777777" w:rsidR="00C561D0" w:rsidRPr="002F0687" w:rsidRDefault="00C561D0" w:rsidP="002965DE">
            <w:pPr>
              <w:pStyle w:val="CERnon-indent"/>
              <w:rPr>
                <w:color w:val="auto"/>
              </w:rPr>
            </w:pPr>
          </w:p>
        </w:tc>
      </w:tr>
      <w:tr w:rsidR="00C561D0" w:rsidRPr="002F0687" w14:paraId="6D04D3D4" w14:textId="77777777">
        <w:trPr>
          <w:trHeight w:val="300"/>
        </w:trPr>
        <w:tc>
          <w:tcPr>
            <w:tcW w:w="3528" w:type="dxa"/>
          </w:tcPr>
          <w:p w14:paraId="6D04D3D0" w14:textId="77777777" w:rsidR="00C561D0" w:rsidRPr="002F0687" w:rsidRDefault="00C561D0" w:rsidP="002965DE">
            <w:pPr>
              <w:pStyle w:val="CERnon-indent"/>
              <w:rPr>
                <w:color w:val="auto"/>
              </w:rPr>
            </w:pPr>
            <w:r w:rsidRPr="002F0687">
              <w:rPr>
                <w:color w:val="auto"/>
              </w:rPr>
              <w:t>Agreed Procedure 15 “Invoicing”,</w:t>
            </w:r>
          </w:p>
        </w:tc>
        <w:tc>
          <w:tcPr>
            <w:tcW w:w="1260" w:type="dxa"/>
          </w:tcPr>
          <w:p w14:paraId="6D04D3D1" w14:textId="77777777" w:rsidR="00C561D0" w:rsidRPr="002F0687" w:rsidRDefault="00C561D0" w:rsidP="002965DE">
            <w:pPr>
              <w:pStyle w:val="CERnon-indent"/>
              <w:rPr>
                <w:color w:val="auto"/>
              </w:rPr>
            </w:pPr>
          </w:p>
        </w:tc>
        <w:tc>
          <w:tcPr>
            <w:tcW w:w="1620" w:type="dxa"/>
          </w:tcPr>
          <w:p w14:paraId="6D04D3D2" w14:textId="77777777" w:rsidR="00C561D0" w:rsidRPr="002F0687" w:rsidRDefault="00C561D0" w:rsidP="002965DE">
            <w:pPr>
              <w:pStyle w:val="CERnon-indent"/>
              <w:rPr>
                <w:color w:val="auto"/>
              </w:rPr>
            </w:pPr>
          </w:p>
        </w:tc>
        <w:tc>
          <w:tcPr>
            <w:tcW w:w="2772" w:type="dxa"/>
          </w:tcPr>
          <w:p w14:paraId="6D04D3D3" w14:textId="77777777" w:rsidR="00C561D0" w:rsidRPr="002F0687" w:rsidRDefault="00C561D0" w:rsidP="002965DE">
            <w:pPr>
              <w:pStyle w:val="CERnon-indent"/>
              <w:rPr>
                <w:color w:val="auto"/>
              </w:rPr>
            </w:pPr>
          </w:p>
        </w:tc>
      </w:tr>
    </w:tbl>
    <w:p w14:paraId="6D04D3D5" w14:textId="77777777" w:rsidR="00CB756D" w:rsidRPr="002F0687" w:rsidRDefault="00CB756D" w:rsidP="002965DE">
      <w:pPr>
        <w:pStyle w:val="CERnon-indent"/>
        <w:rPr>
          <w:color w:val="auto"/>
        </w:rPr>
        <w:sectPr w:rsidR="00CB756D" w:rsidRPr="002F0687" w:rsidSect="00447056">
          <w:footerReference w:type="default" r:id="rId12"/>
          <w:footerReference w:type="first" r:id="rId13"/>
          <w:pgSz w:w="11907" w:h="16840" w:code="9"/>
          <w:pgMar w:top="1440" w:right="1440" w:bottom="1440" w:left="1440" w:header="720" w:footer="720" w:gutter="0"/>
          <w:pgNumType w:start="2"/>
          <w:cols w:space="720"/>
        </w:sectPr>
      </w:pPr>
    </w:p>
    <w:p w14:paraId="6D04D3D6" w14:textId="77777777" w:rsidR="00CB756D" w:rsidRPr="002F0687" w:rsidRDefault="00CB756D" w:rsidP="002965DE">
      <w:pPr>
        <w:pStyle w:val="APNUMHEAD1"/>
      </w:pPr>
      <w:bookmarkStart w:id="0" w:name="_Toc356218097"/>
      <w:r w:rsidRPr="002F0687">
        <w:t>Introduction</w:t>
      </w:r>
      <w:bookmarkEnd w:id="0"/>
    </w:p>
    <w:p w14:paraId="6D04D3D7" w14:textId="77777777" w:rsidR="00CB756D" w:rsidRPr="002F0687" w:rsidRDefault="00CB756D" w:rsidP="002965DE">
      <w:pPr>
        <w:pStyle w:val="APNUMHEAD2"/>
      </w:pPr>
      <w:bookmarkStart w:id="1" w:name="_Toc22548714"/>
      <w:bookmarkStart w:id="2" w:name="_Toc139788471"/>
      <w:bookmarkStart w:id="3" w:name="_Toc356218098"/>
      <w:r w:rsidRPr="002F0687">
        <w:t>Background &amp; Purpose</w:t>
      </w:r>
      <w:bookmarkEnd w:id="1"/>
      <w:bookmarkEnd w:id="2"/>
      <w:bookmarkEnd w:id="3"/>
    </w:p>
    <w:p w14:paraId="6D04D3D8" w14:textId="77777777" w:rsidR="00CB756D" w:rsidRPr="002F0687" w:rsidRDefault="00CB756D" w:rsidP="00C3396B">
      <w:pPr>
        <w:pStyle w:val="CERnon-indent"/>
        <w:rPr>
          <w:color w:val="auto"/>
        </w:rPr>
      </w:pPr>
      <w:r w:rsidRPr="002F0687">
        <w:rPr>
          <w:color w:val="auto"/>
        </w:rPr>
        <w:t xml:space="preserve">This Agreed Procedure describes the specific procedures for the banking arrangements under the Trading and Settlement Code (the “Code”) required for the financial settlement of the </w:t>
      </w:r>
      <w:r w:rsidR="008146E3" w:rsidRPr="002F0687">
        <w:rPr>
          <w:color w:val="auto"/>
        </w:rPr>
        <w:t>pool,</w:t>
      </w:r>
      <w:r w:rsidRPr="002F0687">
        <w:rPr>
          <w:color w:val="auto"/>
        </w:rPr>
        <w:t xml:space="preserve"> and describes how Participants will make payments, and how Participants will receive payments pursuant to their respective rights and obligations as set out in the Code. This Agreed Procedure also describes the procedures for the management of the Collateral Reserve Accounts. All parties to the Code must comply with this Agreed Procedure.</w:t>
      </w:r>
    </w:p>
    <w:p w14:paraId="6D04D3D9" w14:textId="77777777" w:rsidR="00CB756D" w:rsidRPr="002F0687" w:rsidRDefault="00CB756D" w:rsidP="00C3396B">
      <w:pPr>
        <w:pStyle w:val="APNUMHEAD2"/>
      </w:pPr>
      <w:bookmarkStart w:id="4" w:name="_Toc22548718"/>
      <w:bookmarkStart w:id="5" w:name="_Toc139788474"/>
      <w:bookmarkStart w:id="6" w:name="_Toc356218099"/>
      <w:r w:rsidRPr="002F0687">
        <w:t>Scope of Agreed Procedure</w:t>
      </w:r>
      <w:bookmarkEnd w:id="4"/>
      <w:bookmarkEnd w:id="5"/>
      <w:bookmarkEnd w:id="6"/>
    </w:p>
    <w:p w14:paraId="6D04D3DA" w14:textId="77777777" w:rsidR="00CB756D" w:rsidRPr="002F0687" w:rsidRDefault="00CB756D" w:rsidP="00C3396B">
      <w:pPr>
        <w:pStyle w:val="CERnon-indent"/>
        <w:rPr>
          <w:color w:val="auto"/>
        </w:rPr>
      </w:pPr>
      <w:r w:rsidRPr="002F0687">
        <w:rPr>
          <w:color w:val="auto"/>
        </w:rPr>
        <w:t xml:space="preserve">This Agreed Procedure </w:t>
      </w:r>
      <w:r w:rsidR="00C648D7" w:rsidRPr="002F0687">
        <w:rPr>
          <w:color w:val="auto"/>
        </w:rPr>
        <w:t xml:space="preserve">provides further detail relating to the banking arrangements under the Code and </w:t>
      </w:r>
      <w:r w:rsidRPr="002F0687">
        <w:rPr>
          <w:color w:val="auto"/>
        </w:rPr>
        <w:t>describes the procedural steps to be followed by the MO and by Participants. It forms an annexe to, and is governed by, the Code. This document is a statement of process and procedure. Parties’ rights and obligations are set out in the Code.</w:t>
      </w:r>
    </w:p>
    <w:p w14:paraId="6D04D3DB" w14:textId="77777777" w:rsidR="00CB756D" w:rsidRPr="002F0687" w:rsidRDefault="00CB756D" w:rsidP="00C3396B">
      <w:pPr>
        <w:pStyle w:val="APNUMHEAD2"/>
      </w:pPr>
      <w:bookmarkStart w:id="7" w:name="_Toc22359370"/>
      <w:bookmarkStart w:id="8" w:name="_Toc22545099"/>
      <w:bookmarkStart w:id="9" w:name="_Toc22548623"/>
      <w:bookmarkStart w:id="10" w:name="_Toc22548715"/>
      <w:bookmarkStart w:id="11" w:name="_Toc139788472"/>
      <w:bookmarkStart w:id="12" w:name="_Toc356218100"/>
      <w:r w:rsidRPr="002F0687">
        <w:t>Definitions</w:t>
      </w:r>
      <w:bookmarkEnd w:id="7"/>
      <w:bookmarkEnd w:id="8"/>
      <w:bookmarkEnd w:id="9"/>
      <w:bookmarkEnd w:id="10"/>
      <w:bookmarkEnd w:id="11"/>
      <w:bookmarkEnd w:id="12"/>
    </w:p>
    <w:p w14:paraId="6D04D3DC" w14:textId="77777777" w:rsidR="00CB756D" w:rsidRPr="002F0687" w:rsidRDefault="00CB756D" w:rsidP="00C3396B">
      <w:pPr>
        <w:pStyle w:val="CERnon-indent"/>
        <w:rPr>
          <w:color w:val="auto"/>
        </w:rPr>
      </w:pPr>
      <w:r w:rsidRPr="002F0687">
        <w:rPr>
          <w:color w:val="auto"/>
        </w:rPr>
        <w:t>Save as expressly defined, words and expressions defined in the Code shall have the same meanings when used in this Agreed Procedure.</w:t>
      </w:r>
    </w:p>
    <w:p w14:paraId="6D04D3DD" w14:textId="77777777" w:rsidR="00CB756D" w:rsidRPr="002F0687" w:rsidRDefault="00CB756D" w:rsidP="00C3396B">
      <w:pPr>
        <w:pStyle w:val="CERnon-indent"/>
        <w:rPr>
          <w:color w:val="auto"/>
        </w:rPr>
      </w:pPr>
      <w:r w:rsidRPr="002F0687">
        <w:rPr>
          <w:color w:val="auto"/>
        </w:rPr>
        <w:t>References to particular sections relate internally to this Agreed Procedure unless otherwise indicated.</w:t>
      </w:r>
    </w:p>
    <w:p w14:paraId="6D04D3DE" w14:textId="77777777" w:rsidR="00CB756D" w:rsidRPr="002F0687" w:rsidRDefault="00CB756D" w:rsidP="00C3396B">
      <w:pPr>
        <w:pStyle w:val="APNUMHEAD2"/>
      </w:pPr>
      <w:bookmarkStart w:id="13" w:name="_Toc22548719"/>
      <w:bookmarkStart w:id="14" w:name="_Toc139788475"/>
      <w:bookmarkStart w:id="15" w:name="_Toc356218101"/>
      <w:r w:rsidRPr="002F0687">
        <w:t>Compliance with Agreed Procedure</w:t>
      </w:r>
      <w:bookmarkEnd w:id="13"/>
      <w:bookmarkEnd w:id="14"/>
      <w:bookmarkEnd w:id="15"/>
    </w:p>
    <w:p w14:paraId="6D04D3DF" w14:textId="77777777" w:rsidR="00CB756D" w:rsidRPr="002F0687" w:rsidRDefault="00CB756D" w:rsidP="00C3396B">
      <w:pPr>
        <w:pStyle w:val="CERnon-indent"/>
        <w:rPr>
          <w:color w:val="auto"/>
        </w:rPr>
      </w:pPr>
      <w:r w:rsidRPr="002F0687">
        <w:rPr>
          <w:color w:val="auto"/>
        </w:rPr>
        <w:t>Compliance with this Agreed Procedure is required under the terms of the Code.</w:t>
      </w:r>
    </w:p>
    <w:p w14:paraId="6D04D3E0" w14:textId="77777777" w:rsidR="00CB756D" w:rsidRPr="002F0687" w:rsidRDefault="00CB756D" w:rsidP="00C3396B">
      <w:pPr>
        <w:pStyle w:val="APNUMHEAD1"/>
      </w:pPr>
      <w:bookmarkStart w:id="16" w:name="_Toc356218102"/>
      <w:r w:rsidRPr="002F0687">
        <w:t>Descriptive Overview</w:t>
      </w:r>
      <w:bookmarkEnd w:id="16"/>
    </w:p>
    <w:p w14:paraId="6D04D3E1" w14:textId="77777777" w:rsidR="00CB756D" w:rsidRPr="002F0687" w:rsidRDefault="00CB756D" w:rsidP="00C3396B">
      <w:pPr>
        <w:pStyle w:val="APNUMHEAD2"/>
        <w:rPr>
          <w:snapToGrid w:val="0"/>
        </w:rPr>
      </w:pPr>
      <w:bookmarkStart w:id="17" w:name="_Toc356218103"/>
      <w:r w:rsidRPr="002F0687">
        <w:rPr>
          <w:snapToGrid w:val="0"/>
        </w:rPr>
        <w:t>Banking Arrangements</w:t>
      </w:r>
      <w:bookmarkEnd w:id="17"/>
    </w:p>
    <w:p w14:paraId="6D04D3E2" w14:textId="77777777" w:rsidR="00CB756D" w:rsidRPr="002F0687" w:rsidRDefault="00CB756D" w:rsidP="00C3396B">
      <w:pPr>
        <w:pStyle w:val="CERnon-indent"/>
        <w:rPr>
          <w:color w:val="auto"/>
        </w:rPr>
      </w:pPr>
      <w:r w:rsidRPr="002F0687">
        <w:rPr>
          <w:color w:val="auto"/>
        </w:rPr>
        <w:t xml:space="preserve">The banking arrangements for financial settlement under the Code are set out in section 6 of the Code.  The banking arrangements have been put in place to ensure that both the Participants and the MO can meet their respective payment obligations set out in the Code. </w:t>
      </w:r>
    </w:p>
    <w:p w14:paraId="6D04D3E3" w14:textId="77777777" w:rsidR="00CB756D" w:rsidRPr="002F0687" w:rsidRDefault="00CB756D" w:rsidP="00C3396B">
      <w:pPr>
        <w:pStyle w:val="CERnon-indent"/>
        <w:rPr>
          <w:color w:val="auto"/>
        </w:rPr>
      </w:pPr>
      <w:r w:rsidRPr="002F0687">
        <w:rPr>
          <w:color w:val="auto"/>
        </w:rPr>
        <w:t>The SEM Bank is a bank that meets the requirements of the Code in relation to the financial standing and constitution of the SEM Bank.</w:t>
      </w:r>
    </w:p>
    <w:p w14:paraId="6D04D3E4" w14:textId="77777777" w:rsidR="00CB756D" w:rsidRPr="002F0687" w:rsidRDefault="00CB756D" w:rsidP="00C3396B">
      <w:pPr>
        <w:pStyle w:val="APNUMHEAD2"/>
      </w:pPr>
      <w:bookmarkStart w:id="18" w:name="_Toc356218104"/>
      <w:r w:rsidRPr="002F0687">
        <w:t>Elements of the Banking Arrangements</w:t>
      </w:r>
      <w:bookmarkEnd w:id="18"/>
      <w:r w:rsidRPr="002F0687">
        <w:t xml:space="preserve"> </w:t>
      </w:r>
    </w:p>
    <w:p w14:paraId="6D04D3E5" w14:textId="77777777" w:rsidR="00CB756D" w:rsidRPr="002F0687" w:rsidRDefault="00CB756D" w:rsidP="00C3396B">
      <w:pPr>
        <w:pStyle w:val="CERnon-indent"/>
        <w:rPr>
          <w:color w:val="auto"/>
        </w:rPr>
      </w:pPr>
      <w:r w:rsidRPr="002F0687">
        <w:rPr>
          <w:color w:val="auto"/>
        </w:rPr>
        <w:t>The banking arrangements consist of s</w:t>
      </w:r>
      <w:r w:rsidR="00191F06" w:rsidRPr="002F0687">
        <w:rPr>
          <w:color w:val="auto"/>
        </w:rPr>
        <w:t>even</w:t>
      </w:r>
      <w:r w:rsidRPr="002F0687">
        <w:rPr>
          <w:color w:val="auto"/>
        </w:rPr>
        <w:t xml:space="preserve"> major elements that impact or result from Participants’ activities:</w:t>
      </w:r>
    </w:p>
    <w:p w14:paraId="6D04D3E6" w14:textId="77777777" w:rsidR="00CB756D" w:rsidRPr="002F0687" w:rsidRDefault="00CB756D" w:rsidP="00C3396B">
      <w:pPr>
        <w:pStyle w:val="CERNONINDENTBULLET"/>
        <w:rPr>
          <w:color w:val="auto"/>
        </w:rPr>
      </w:pPr>
      <w:r w:rsidRPr="002F0687">
        <w:rPr>
          <w:color w:val="auto"/>
        </w:rPr>
        <w:t xml:space="preserve">Amounts to be paid by Participants under the Code </w:t>
      </w:r>
    </w:p>
    <w:p w14:paraId="6D04D3E7" w14:textId="77777777" w:rsidR="00CB756D" w:rsidRPr="002F0687" w:rsidRDefault="00CB756D" w:rsidP="00C3396B">
      <w:pPr>
        <w:pStyle w:val="CERNONINDENTBULLET"/>
        <w:rPr>
          <w:color w:val="auto"/>
        </w:rPr>
      </w:pPr>
      <w:r w:rsidRPr="002F0687">
        <w:rPr>
          <w:color w:val="auto"/>
        </w:rPr>
        <w:t>Amounts to be paid to Participants under the Code</w:t>
      </w:r>
    </w:p>
    <w:p w14:paraId="6D04D3E8" w14:textId="77777777" w:rsidR="00CB756D" w:rsidRPr="002F0687" w:rsidRDefault="00CB756D" w:rsidP="00C3396B">
      <w:pPr>
        <w:pStyle w:val="CERNONINDENTBULLET"/>
        <w:rPr>
          <w:color w:val="auto"/>
        </w:rPr>
      </w:pPr>
      <w:r w:rsidRPr="002F0687">
        <w:rPr>
          <w:color w:val="auto"/>
        </w:rPr>
        <w:t xml:space="preserve">Drawdown of cash collateral </w:t>
      </w:r>
    </w:p>
    <w:p w14:paraId="6D04D3E9" w14:textId="77777777" w:rsidR="00CB756D" w:rsidRPr="002F0687" w:rsidRDefault="00CB756D" w:rsidP="00C3396B">
      <w:pPr>
        <w:pStyle w:val="CERNONINDENTBULLET"/>
        <w:rPr>
          <w:color w:val="auto"/>
        </w:rPr>
      </w:pPr>
      <w:r w:rsidRPr="002F0687">
        <w:rPr>
          <w:color w:val="auto"/>
        </w:rPr>
        <w:t xml:space="preserve">Calls </w:t>
      </w:r>
      <w:r w:rsidR="002C763E" w:rsidRPr="002F0687">
        <w:rPr>
          <w:color w:val="auto"/>
        </w:rPr>
        <w:t xml:space="preserve">on </w:t>
      </w:r>
      <w:r w:rsidRPr="002F0687">
        <w:rPr>
          <w:color w:val="auto"/>
        </w:rPr>
        <w:t xml:space="preserve"> </w:t>
      </w:r>
      <w:r w:rsidR="002C763E" w:rsidRPr="002F0687">
        <w:rPr>
          <w:color w:val="auto"/>
        </w:rPr>
        <w:t>Letter of Credit</w:t>
      </w:r>
      <w:r w:rsidR="00191F06" w:rsidRPr="002F0687">
        <w:rPr>
          <w:color w:val="auto"/>
        </w:rPr>
        <w:t xml:space="preserve"> </w:t>
      </w:r>
      <w:r w:rsidR="002C763E" w:rsidRPr="002F0687">
        <w:rPr>
          <w:color w:val="auto"/>
        </w:rPr>
        <w:t>(</w:t>
      </w:r>
      <w:r w:rsidRPr="002F0687">
        <w:rPr>
          <w:color w:val="auto"/>
        </w:rPr>
        <w:t>LOC</w:t>
      </w:r>
      <w:r w:rsidR="002C763E" w:rsidRPr="002F0687">
        <w:rPr>
          <w:color w:val="auto"/>
        </w:rPr>
        <w:t>)</w:t>
      </w:r>
      <w:r w:rsidRPr="002F0687">
        <w:rPr>
          <w:color w:val="auto"/>
        </w:rPr>
        <w:t xml:space="preserve"> collateral</w:t>
      </w:r>
    </w:p>
    <w:p w14:paraId="6D04D3EA" w14:textId="77777777" w:rsidR="00CB756D" w:rsidRPr="002F0687" w:rsidRDefault="00CB756D" w:rsidP="00C3396B">
      <w:pPr>
        <w:pStyle w:val="CERNONINDENTBULLET"/>
        <w:rPr>
          <w:color w:val="auto"/>
        </w:rPr>
      </w:pPr>
      <w:r w:rsidRPr="002F0687">
        <w:rPr>
          <w:color w:val="auto"/>
        </w:rPr>
        <w:t>Deposits into Collateral Reserve Accounts</w:t>
      </w:r>
    </w:p>
    <w:p w14:paraId="6D04D3EB" w14:textId="77777777" w:rsidR="00236E0B" w:rsidRPr="002F0687" w:rsidRDefault="00CB756D" w:rsidP="00C3396B">
      <w:pPr>
        <w:pStyle w:val="CERNONINDENTBULLET"/>
        <w:rPr>
          <w:color w:val="auto"/>
        </w:rPr>
      </w:pPr>
      <w:r w:rsidRPr="002F0687">
        <w:rPr>
          <w:color w:val="auto"/>
        </w:rPr>
        <w:t>Deposit Interest and charges/fees on Collateral Reserve Accounts</w:t>
      </w:r>
    </w:p>
    <w:p w14:paraId="6D04D3EC" w14:textId="77777777" w:rsidR="00E83AE8" w:rsidRPr="002F0687" w:rsidRDefault="00236E0B" w:rsidP="00F90C37">
      <w:pPr>
        <w:pStyle w:val="APNUMHEAD3"/>
        <w:rPr>
          <w:color w:val="auto"/>
        </w:rPr>
      </w:pPr>
      <w:r w:rsidRPr="002F0687">
        <w:rPr>
          <w:color w:val="auto"/>
        </w:rPr>
        <w:t xml:space="preserve">Currency </w:t>
      </w:r>
      <w:r w:rsidR="00CF3A5A" w:rsidRPr="002F0687">
        <w:rPr>
          <w:color w:val="auto"/>
        </w:rPr>
        <w:t>Matters</w:t>
      </w:r>
      <w:r w:rsidRPr="002F0687">
        <w:rPr>
          <w:color w:val="auto"/>
        </w:rPr>
        <w:t xml:space="preserve"> </w:t>
      </w:r>
    </w:p>
    <w:p w14:paraId="6D04D3ED" w14:textId="77777777" w:rsidR="00E83AE8" w:rsidRPr="002F0687" w:rsidRDefault="00CF3A5A" w:rsidP="00C3396B">
      <w:pPr>
        <w:pStyle w:val="CERnon-indent"/>
        <w:rPr>
          <w:color w:val="auto"/>
        </w:rPr>
      </w:pPr>
      <w:r w:rsidRPr="002F0687">
        <w:rPr>
          <w:color w:val="auto"/>
        </w:rPr>
        <w:t>I</w:t>
      </w:r>
      <w:r w:rsidR="00236E0B" w:rsidRPr="002F0687">
        <w:rPr>
          <w:color w:val="auto"/>
        </w:rPr>
        <w:t xml:space="preserve">n order to </w:t>
      </w:r>
      <w:r w:rsidRPr="002F0687">
        <w:rPr>
          <w:color w:val="auto"/>
        </w:rPr>
        <w:t>deal with</w:t>
      </w:r>
      <w:r w:rsidR="00236E0B" w:rsidRPr="002F0687">
        <w:rPr>
          <w:color w:val="auto"/>
        </w:rPr>
        <w:t xml:space="preserve"> Currency Costs as defined in the Code and described in A</w:t>
      </w:r>
      <w:r w:rsidR="003321E6" w:rsidRPr="002F0687">
        <w:rPr>
          <w:color w:val="auto"/>
        </w:rPr>
        <w:t xml:space="preserve">greed </w:t>
      </w:r>
      <w:r w:rsidR="00236E0B" w:rsidRPr="002F0687">
        <w:rPr>
          <w:color w:val="auto"/>
        </w:rPr>
        <w:t>P</w:t>
      </w:r>
      <w:r w:rsidR="003321E6" w:rsidRPr="002F0687">
        <w:rPr>
          <w:color w:val="auto"/>
        </w:rPr>
        <w:t xml:space="preserve">rocedure </w:t>
      </w:r>
      <w:r w:rsidR="00236E0B" w:rsidRPr="002F0687">
        <w:rPr>
          <w:color w:val="auto"/>
        </w:rPr>
        <w:t>15</w:t>
      </w:r>
      <w:r w:rsidR="003321E6" w:rsidRPr="002F0687">
        <w:rPr>
          <w:color w:val="auto"/>
        </w:rPr>
        <w:t xml:space="preserve"> “Invoicing”</w:t>
      </w:r>
      <w:r w:rsidR="00236E0B" w:rsidRPr="002F0687">
        <w:rPr>
          <w:color w:val="auto"/>
        </w:rPr>
        <w:t xml:space="preserve">, </w:t>
      </w:r>
      <w:r w:rsidRPr="002F0687">
        <w:rPr>
          <w:color w:val="auto"/>
        </w:rPr>
        <w:t>the Bank will</w:t>
      </w:r>
      <w:r w:rsidR="00F90C37" w:rsidRPr="002F0687">
        <w:rPr>
          <w:color w:val="auto"/>
        </w:rPr>
        <w:t>:</w:t>
      </w:r>
      <w:r w:rsidRPr="002F0687">
        <w:rPr>
          <w:color w:val="auto"/>
        </w:rPr>
        <w:t xml:space="preserve"> </w:t>
      </w:r>
    </w:p>
    <w:p w14:paraId="6D04D3EE" w14:textId="77777777" w:rsidR="00E83AE8" w:rsidRPr="002F0687" w:rsidRDefault="00CF3A5A" w:rsidP="00C3396B">
      <w:pPr>
        <w:pStyle w:val="CERBULLET2"/>
      </w:pPr>
      <w:r w:rsidRPr="002F0687">
        <w:t xml:space="preserve">at the request of the MO purchase either Euro </w:t>
      </w:r>
      <w:r w:rsidR="00E83AE8" w:rsidRPr="002F0687">
        <w:t>or Pounds</w:t>
      </w:r>
      <w:r w:rsidR="001A5A31" w:rsidRPr="002F0687">
        <w:t xml:space="preserve"> </w:t>
      </w:r>
      <w:smartTag w:uri="urn:schemas-microsoft-com:office:smarttags" w:element="City">
        <w:smartTag w:uri="urn:schemas-microsoft-com:office:smarttags" w:element="place">
          <w:r w:rsidRPr="002F0687">
            <w:t>Sterling</w:t>
          </w:r>
        </w:smartTag>
      </w:smartTag>
      <w:r w:rsidRPr="002F0687">
        <w:t xml:space="preserve"> at an agreed rate of exchange</w:t>
      </w:r>
      <w:r w:rsidR="00E83AE8" w:rsidRPr="002F0687">
        <w:t>;</w:t>
      </w:r>
      <w:r w:rsidRPr="002F0687">
        <w:t xml:space="preserve"> and </w:t>
      </w:r>
    </w:p>
    <w:p w14:paraId="6D04D3EF" w14:textId="77777777" w:rsidR="00CB756D" w:rsidRPr="002F0687" w:rsidRDefault="00CF3A5A" w:rsidP="00C3396B">
      <w:pPr>
        <w:pStyle w:val="CERBULLET2"/>
      </w:pPr>
      <w:r w:rsidRPr="002F0687">
        <w:t>provide the MO with the appropriate rate of exchange required in order for the MO to publish the Trading Day Exchange Rate as required by the Code.</w:t>
      </w:r>
      <w:r w:rsidR="00CB756D" w:rsidRPr="002F0687">
        <w:t xml:space="preserve">  </w:t>
      </w:r>
    </w:p>
    <w:p w14:paraId="6D04D3F0" w14:textId="77777777" w:rsidR="00CB756D" w:rsidRPr="002F0687" w:rsidRDefault="00CB756D" w:rsidP="00F90C37">
      <w:pPr>
        <w:pStyle w:val="APNUMHEAD2"/>
      </w:pPr>
      <w:bookmarkStart w:id="19" w:name="_Toc356218105"/>
      <w:r w:rsidRPr="002F0687">
        <w:t>Bank Accounts</w:t>
      </w:r>
      <w:bookmarkEnd w:id="19"/>
    </w:p>
    <w:p w14:paraId="6D04D3F1" w14:textId="77777777" w:rsidR="00CB756D" w:rsidRPr="002F0687" w:rsidRDefault="00CB756D" w:rsidP="00F90C37">
      <w:pPr>
        <w:pStyle w:val="APNUMHEAD3"/>
        <w:rPr>
          <w:color w:val="auto"/>
        </w:rPr>
      </w:pPr>
      <w:r w:rsidRPr="002F0687">
        <w:rPr>
          <w:color w:val="auto"/>
        </w:rPr>
        <w:t>SEM Bank Accounts</w:t>
      </w:r>
    </w:p>
    <w:p w14:paraId="6D04D3F2" w14:textId="77777777" w:rsidR="00CB756D" w:rsidRPr="002F0687" w:rsidRDefault="00CB756D" w:rsidP="00C3396B">
      <w:pPr>
        <w:pStyle w:val="CERnon-indent"/>
        <w:rPr>
          <w:color w:val="auto"/>
        </w:rPr>
      </w:pPr>
      <w:r w:rsidRPr="002F0687">
        <w:rPr>
          <w:color w:val="auto"/>
        </w:rPr>
        <w:t xml:space="preserve">For each type of bank account listed below there will be both a Euro and </w:t>
      </w:r>
      <w:r w:rsidR="001A5A31" w:rsidRPr="002F0687">
        <w:rPr>
          <w:color w:val="auto"/>
        </w:rPr>
        <w:t xml:space="preserve">Pounds </w:t>
      </w:r>
      <w:r w:rsidRPr="002F0687">
        <w:rPr>
          <w:color w:val="auto"/>
        </w:rPr>
        <w:t xml:space="preserve">Sterling bank account.  The Euro accounts will be held with </w:t>
      </w:r>
      <w:r w:rsidR="00662E63">
        <w:rPr>
          <w:color w:val="auto"/>
        </w:rPr>
        <w:t xml:space="preserve">the SEM </w:t>
      </w:r>
      <w:r w:rsidRPr="002F0687">
        <w:rPr>
          <w:color w:val="auto"/>
        </w:rPr>
        <w:t xml:space="preserve">Bank in </w:t>
      </w:r>
      <w:r w:rsidR="00191F06" w:rsidRPr="002F0687">
        <w:rPr>
          <w:color w:val="auto"/>
        </w:rPr>
        <w:t xml:space="preserve">the </w:t>
      </w:r>
      <w:r w:rsidRPr="002F0687">
        <w:rPr>
          <w:color w:val="auto"/>
        </w:rPr>
        <w:t xml:space="preserve">Republic of Ireland and the </w:t>
      </w:r>
      <w:r w:rsidR="001A5A31" w:rsidRPr="002F0687">
        <w:rPr>
          <w:color w:val="auto"/>
        </w:rPr>
        <w:t xml:space="preserve">Pounds </w:t>
      </w:r>
      <w:r w:rsidRPr="002F0687">
        <w:rPr>
          <w:color w:val="auto"/>
        </w:rPr>
        <w:t xml:space="preserve">Sterling accounts will be held with </w:t>
      </w:r>
      <w:r w:rsidR="00662E63">
        <w:rPr>
          <w:color w:val="auto"/>
        </w:rPr>
        <w:t xml:space="preserve">the SEM </w:t>
      </w:r>
      <w:r w:rsidRPr="002F0687">
        <w:rPr>
          <w:color w:val="auto"/>
        </w:rPr>
        <w:t>Bank in</w:t>
      </w:r>
      <w:r w:rsidR="00662E63">
        <w:rPr>
          <w:color w:val="auto"/>
        </w:rPr>
        <w:t xml:space="preserve"> the United Kingdom</w:t>
      </w:r>
      <w:r w:rsidRPr="002F0687">
        <w:rPr>
          <w:color w:val="auto"/>
        </w:rPr>
        <w:t xml:space="preserve">.  Participants will pay into and/or receive funds from the bank account corresponding to the </w:t>
      </w:r>
      <w:r w:rsidR="00191F06" w:rsidRPr="002F0687">
        <w:rPr>
          <w:color w:val="auto"/>
        </w:rPr>
        <w:t xml:space="preserve">Currency Zone </w:t>
      </w:r>
      <w:r w:rsidR="002C763E" w:rsidRPr="002F0687">
        <w:rPr>
          <w:color w:val="auto"/>
        </w:rPr>
        <w:t xml:space="preserve">of </w:t>
      </w:r>
      <w:r w:rsidRPr="002F0687">
        <w:rPr>
          <w:color w:val="auto"/>
        </w:rPr>
        <w:t>that Participant.</w:t>
      </w:r>
    </w:p>
    <w:p w14:paraId="6D04D3F3" w14:textId="77777777" w:rsidR="001A5A31" w:rsidRPr="002F0687" w:rsidRDefault="00CB756D" w:rsidP="00F90C37">
      <w:pPr>
        <w:pStyle w:val="APNUMHEAD3"/>
        <w:rPr>
          <w:color w:val="auto"/>
        </w:rPr>
      </w:pPr>
      <w:r w:rsidRPr="002F0687">
        <w:rPr>
          <w:color w:val="auto"/>
        </w:rPr>
        <w:t>SEM Trading Clearing Accounts</w:t>
      </w:r>
    </w:p>
    <w:p w14:paraId="6D04D3F4" w14:textId="77777777" w:rsidR="00CB756D" w:rsidRPr="002F0687" w:rsidRDefault="00CB756D" w:rsidP="00C3396B">
      <w:pPr>
        <w:pStyle w:val="CERnon-indent"/>
        <w:rPr>
          <w:color w:val="auto"/>
        </w:rPr>
      </w:pPr>
      <w:r w:rsidRPr="002F0687">
        <w:rPr>
          <w:color w:val="auto"/>
        </w:rPr>
        <w:t xml:space="preserve">These accounts will be used to receive in and pay out all amounts in relation to </w:t>
      </w:r>
      <w:r w:rsidR="0066079A" w:rsidRPr="002F0687">
        <w:rPr>
          <w:color w:val="auto"/>
        </w:rPr>
        <w:t>Trading C</w:t>
      </w:r>
      <w:r w:rsidRPr="002F0687">
        <w:rPr>
          <w:color w:val="auto"/>
        </w:rPr>
        <w:t xml:space="preserve">harges and </w:t>
      </w:r>
      <w:r w:rsidR="00162383" w:rsidRPr="002F0687">
        <w:rPr>
          <w:color w:val="auto"/>
        </w:rPr>
        <w:t xml:space="preserve">Payments </w:t>
      </w:r>
      <w:r w:rsidRPr="002F0687">
        <w:rPr>
          <w:color w:val="auto"/>
        </w:rPr>
        <w:t>as calculated pursuant to the Code.  The accounts will be in the name of the MO and held on trust on the terms set out in the Code.</w:t>
      </w:r>
    </w:p>
    <w:p w14:paraId="6D04D3F5" w14:textId="77777777" w:rsidR="001A5A31" w:rsidRPr="002F0687" w:rsidRDefault="00CB756D" w:rsidP="00F90C37">
      <w:pPr>
        <w:pStyle w:val="APNUMHEAD3"/>
        <w:rPr>
          <w:color w:val="auto"/>
        </w:rPr>
      </w:pPr>
      <w:r w:rsidRPr="002F0687">
        <w:rPr>
          <w:color w:val="auto"/>
        </w:rPr>
        <w:t>SEM Capacity Clearing Accounts</w:t>
      </w:r>
    </w:p>
    <w:p w14:paraId="6D04D3F6" w14:textId="77777777" w:rsidR="00CB756D" w:rsidRPr="002F0687" w:rsidRDefault="00CB756D" w:rsidP="00C3396B">
      <w:pPr>
        <w:pStyle w:val="CERnon-indent"/>
        <w:rPr>
          <w:color w:val="auto"/>
        </w:rPr>
      </w:pPr>
      <w:r w:rsidRPr="002F0687">
        <w:rPr>
          <w:color w:val="auto"/>
        </w:rPr>
        <w:t>These accounts will be used to receive in and pay out all</w:t>
      </w:r>
      <w:r w:rsidR="008146E3" w:rsidRPr="002F0687">
        <w:rPr>
          <w:color w:val="auto"/>
        </w:rPr>
        <w:t xml:space="preserve"> </w:t>
      </w:r>
      <w:r w:rsidRPr="002F0687">
        <w:rPr>
          <w:color w:val="auto"/>
        </w:rPr>
        <w:t xml:space="preserve">amounts in relation to Capacity </w:t>
      </w:r>
      <w:r w:rsidR="0066079A" w:rsidRPr="002F0687">
        <w:rPr>
          <w:color w:val="auto"/>
        </w:rPr>
        <w:t>C</w:t>
      </w:r>
      <w:r w:rsidRPr="002F0687">
        <w:rPr>
          <w:color w:val="auto"/>
        </w:rPr>
        <w:t xml:space="preserve">harges and </w:t>
      </w:r>
      <w:r w:rsidR="0066079A" w:rsidRPr="002F0687">
        <w:rPr>
          <w:color w:val="auto"/>
        </w:rPr>
        <w:t>P</w:t>
      </w:r>
      <w:r w:rsidRPr="002F0687">
        <w:rPr>
          <w:color w:val="auto"/>
        </w:rPr>
        <w:t>ayments as calculated pursuant to the Code.  The accounts will be in the name of the MO and held on trust on the terms set out in the Code.</w:t>
      </w:r>
    </w:p>
    <w:p w14:paraId="6D04D3F7" w14:textId="77777777" w:rsidR="001A5A31" w:rsidRPr="002F0687" w:rsidRDefault="00CB756D" w:rsidP="00F90C37">
      <w:pPr>
        <w:pStyle w:val="APNUMHEAD3"/>
        <w:rPr>
          <w:color w:val="auto"/>
        </w:rPr>
      </w:pPr>
      <w:r w:rsidRPr="002F0687">
        <w:rPr>
          <w:color w:val="auto"/>
        </w:rPr>
        <w:t>Collateral Reserve Accounts</w:t>
      </w:r>
    </w:p>
    <w:p w14:paraId="6D04D3F8" w14:textId="77777777" w:rsidR="00874FD1" w:rsidRDefault="00CB756D" w:rsidP="00C3396B">
      <w:pPr>
        <w:pStyle w:val="CERnon-indent"/>
      </w:pPr>
      <w:r w:rsidRPr="002F0687">
        <w:rPr>
          <w:color w:val="auto"/>
        </w:rPr>
        <w:t xml:space="preserve">These accounts will be set up where a Participant decides to post some or all of its Required Credit Cover in the form of cash collateral.  </w:t>
      </w:r>
      <w:r w:rsidR="00874FD1" w:rsidRPr="002B665E">
        <w:t xml:space="preserve">If a Participant </w:t>
      </w:r>
      <w:r w:rsidR="00874FD1">
        <w:t>elects</w:t>
      </w:r>
      <w:r w:rsidR="00874FD1" w:rsidRPr="002B665E">
        <w:t xml:space="preserve"> to </w:t>
      </w:r>
      <w:r w:rsidR="00874FD1">
        <w:t xml:space="preserve">provide a cash deposit as </w:t>
      </w:r>
      <w:r w:rsidR="00874FD1" w:rsidRPr="002B665E">
        <w:t xml:space="preserve">part of its Credit Cover, then it </w:t>
      </w:r>
      <w:r w:rsidR="00874FD1">
        <w:t>shall fully comply with the requirements in relation to the provision of cash collateral as set out in paragraphs 6.19, 6.20 and 6.21 and in paragraphs 6.160-</w:t>
      </w:r>
      <w:r w:rsidR="00874FD1">
        <w:tab/>
        <w:t xml:space="preserve">6.162 of the Code (including, without limitation, the Deed of Charge and Account Security and/or any other Account Security </w:t>
      </w:r>
      <w:r w:rsidR="00874FD1">
        <w:tab/>
        <w:t xml:space="preserve">Requirement).  </w:t>
      </w:r>
    </w:p>
    <w:p w14:paraId="6D04D3F9" w14:textId="77777777" w:rsidR="00CB756D" w:rsidRPr="002F0687" w:rsidRDefault="00CB756D" w:rsidP="00C3396B">
      <w:pPr>
        <w:pStyle w:val="CERnon-indent"/>
        <w:rPr>
          <w:color w:val="auto"/>
        </w:rPr>
      </w:pPr>
      <w:r w:rsidRPr="002F0687">
        <w:rPr>
          <w:color w:val="auto"/>
        </w:rPr>
        <w:t xml:space="preserve">The accounts will be held in the </w:t>
      </w:r>
      <w:r w:rsidR="00564582" w:rsidRPr="002F0687">
        <w:rPr>
          <w:color w:val="auto"/>
        </w:rPr>
        <w:t xml:space="preserve">sole </w:t>
      </w:r>
      <w:r w:rsidRPr="002F0687">
        <w:rPr>
          <w:color w:val="auto"/>
        </w:rPr>
        <w:t xml:space="preserve">name of the MO and will be held on trust as further described in the Code.  </w:t>
      </w:r>
      <w:r w:rsidR="002C763E" w:rsidRPr="002F0687">
        <w:rPr>
          <w:color w:val="auto"/>
        </w:rPr>
        <w:t xml:space="preserve">The SEM Bank, the Participant and the MO will sign a form of Bank Mandate which shall irrevocably instruct the SEM Bank to make payment against the sole instruction of the MO.  </w:t>
      </w:r>
      <w:r w:rsidRPr="002F0687">
        <w:rPr>
          <w:color w:val="auto"/>
        </w:rPr>
        <w:t>In the event of a Shortfall, the MO may drawdown funds from these accounts to meet such Shortfall</w:t>
      </w:r>
      <w:r w:rsidR="0066079A" w:rsidRPr="002F0687">
        <w:rPr>
          <w:color w:val="auto"/>
        </w:rPr>
        <w:t xml:space="preserve"> as further described in the Code</w:t>
      </w:r>
      <w:r w:rsidRPr="002F0687">
        <w:rPr>
          <w:color w:val="auto"/>
        </w:rPr>
        <w:t xml:space="preserve">. </w:t>
      </w:r>
    </w:p>
    <w:p w14:paraId="6D04D3FA" w14:textId="77777777" w:rsidR="001A5A31" w:rsidRPr="002F0687" w:rsidRDefault="00CB756D" w:rsidP="004163B1">
      <w:pPr>
        <w:pStyle w:val="APNUMHEAD3"/>
        <w:rPr>
          <w:color w:val="auto"/>
        </w:rPr>
      </w:pPr>
      <w:r w:rsidRPr="002F0687">
        <w:rPr>
          <w:color w:val="auto"/>
        </w:rPr>
        <w:t>Market Operator Charge Accounts</w:t>
      </w:r>
    </w:p>
    <w:p w14:paraId="6D04D3FB" w14:textId="77777777" w:rsidR="00CB756D" w:rsidRPr="002F0687" w:rsidRDefault="00CB756D" w:rsidP="00C3396B">
      <w:pPr>
        <w:pStyle w:val="CERnon-indent"/>
        <w:rPr>
          <w:color w:val="auto"/>
        </w:rPr>
      </w:pPr>
      <w:r w:rsidRPr="002F0687">
        <w:rPr>
          <w:color w:val="auto"/>
        </w:rPr>
        <w:t xml:space="preserve">These accounts will be used to receive all payments due under the Code for the Fixed and Variable Market Operator </w:t>
      </w:r>
      <w:r w:rsidR="001A5A31" w:rsidRPr="002F0687">
        <w:rPr>
          <w:color w:val="auto"/>
        </w:rPr>
        <w:t>Charges</w:t>
      </w:r>
      <w:r w:rsidRPr="002F0687">
        <w:rPr>
          <w:color w:val="auto"/>
        </w:rPr>
        <w:t xml:space="preserve">.  </w:t>
      </w:r>
    </w:p>
    <w:p w14:paraId="6D04D3FC" w14:textId="77777777" w:rsidR="00CB756D" w:rsidRPr="002F0687" w:rsidRDefault="00CB756D" w:rsidP="00C3396B">
      <w:pPr>
        <w:pStyle w:val="CERnon-indent"/>
        <w:rPr>
          <w:color w:val="auto"/>
        </w:rPr>
      </w:pPr>
      <w:r w:rsidRPr="002F0687">
        <w:rPr>
          <w:color w:val="auto"/>
        </w:rPr>
        <w:t>The Market Operator Charge Accounts will not be held in Trust as they are set up to receive payment of Market Operator charges to which the MO is beneficially entitled.</w:t>
      </w:r>
    </w:p>
    <w:p w14:paraId="6D04D3FD" w14:textId="77777777" w:rsidR="00CB756D" w:rsidRPr="002F0687" w:rsidRDefault="00CB756D" w:rsidP="00C3396B">
      <w:pPr>
        <w:pStyle w:val="CERnon-indent"/>
        <w:rPr>
          <w:color w:val="auto"/>
        </w:rPr>
      </w:pPr>
      <w:r w:rsidRPr="002F0687">
        <w:rPr>
          <w:color w:val="auto"/>
        </w:rPr>
        <w:t>A general illustration of how these accounts will be set up is illustrated below:</w:t>
      </w:r>
    </w:p>
    <w:p w14:paraId="6D04D3FE" w14:textId="77777777" w:rsidR="004163B1" w:rsidRPr="002F0687" w:rsidRDefault="004163B1" w:rsidP="00C3396B">
      <w:pPr>
        <w:pStyle w:val="CERnon-indent"/>
        <w:rPr>
          <w:color w:val="auto"/>
        </w:rPr>
      </w:pPr>
    </w:p>
    <w:p w14:paraId="6D04D3FF" w14:textId="77777777" w:rsidR="00CB756D" w:rsidRPr="002F0687" w:rsidRDefault="00CB756D">
      <w:pPr>
        <w:jc w:val="center"/>
        <w:rPr>
          <w:rFonts w:cs="Arial"/>
        </w:rPr>
      </w:pPr>
      <w:r w:rsidRPr="002F0687">
        <w:rPr>
          <w:rFonts w:cs="Arial"/>
        </w:rPr>
        <w:object w:dxaOrig="7978" w:dyaOrig="5981" w14:anchorId="6D04D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05pt;height:201.85pt" o:ole="">
            <v:imagedata r:id="rId14" o:title=""/>
          </v:shape>
          <o:OLEObject Type="Embed" ProgID="Visio.Drawing.11" ShapeID="_x0000_i1025" DrawAspect="Content" ObjectID="_1789474258" r:id="rId15"/>
        </w:object>
      </w:r>
    </w:p>
    <w:p w14:paraId="6D04D400" w14:textId="77777777" w:rsidR="00CB756D" w:rsidRPr="002F0687" w:rsidRDefault="00CB756D" w:rsidP="004163B1">
      <w:pPr>
        <w:pStyle w:val="CERTableHeader"/>
      </w:pPr>
      <w:r w:rsidRPr="002F0687">
        <w:t>Figure 1 – Bank Account Set up for MO</w:t>
      </w:r>
    </w:p>
    <w:p w14:paraId="6D04D401" w14:textId="77777777" w:rsidR="00CB756D" w:rsidRPr="002F0687" w:rsidRDefault="00CB756D" w:rsidP="004163B1">
      <w:pPr>
        <w:pStyle w:val="APNUMHEAD2"/>
      </w:pPr>
      <w:bookmarkStart w:id="20" w:name="_Toc356218106"/>
      <w:r w:rsidRPr="002F0687">
        <w:t>Online Banking</w:t>
      </w:r>
      <w:bookmarkEnd w:id="20"/>
    </w:p>
    <w:p w14:paraId="6D04D402" w14:textId="77777777" w:rsidR="00CB756D" w:rsidRPr="002F0687" w:rsidRDefault="00CB756D" w:rsidP="004163B1">
      <w:pPr>
        <w:pStyle w:val="CERnon-indent"/>
        <w:rPr>
          <w:color w:val="auto"/>
        </w:rPr>
      </w:pPr>
      <w:r w:rsidRPr="002F0687">
        <w:rPr>
          <w:color w:val="auto"/>
        </w:rPr>
        <w:t xml:space="preserve">The MO will use the Business </w:t>
      </w:r>
      <w:proofErr w:type="spellStart"/>
      <w:r w:rsidRPr="002F0687">
        <w:rPr>
          <w:color w:val="auto"/>
        </w:rPr>
        <w:t>eBanking</w:t>
      </w:r>
      <w:proofErr w:type="spellEnd"/>
      <w:r w:rsidRPr="002F0687">
        <w:rPr>
          <w:color w:val="auto"/>
        </w:rPr>
        <w:t xml:space="preserve"> Application provided by the SEM Bank. This application will allow same day and standard payments in both jurisdictions, download statements and provide for the monitoring </w:t>
      </w:r>
      <w:r w:rsidR="0092249E" w:rsidRPr="002F0687">
        <w:rPr>
          <w:color w:val="auto"/>
        </w:rPr>
        <w:t xml:space="preserve">as provided by the Code </w:t>
      </w:r>
      <w:r w:rsidRPr="002F0687">
        <w:rPr>
          <w:color w:val="auto"/>
        </w:rPr>
        <w:t>of both the Collateral Reserve Account balances and the posted LOCs. The application is accessed over the internet via a secure website.</w:t>
      </w:r>
    </w:p>
    <w:p w14:paraId="6D04D403" w14:textId="77777777" w:rsidR="00CB756D" w:rsidRPr="002F0687" w:rsidRDefault="00CB756D" w:rsidP="004163B1">
      <w:pPr>
        <w:pStyle w:val="CERnon-indent"/>
        <w:rPr>
          <w:color w:val="auto"/>
        </w:rPr>
      </w:pPr>
      <w:r w:rsidRPr="002F0687">
        <w:rPr>
          <w:color w:val="auto"/>
        </w:rPr>
        <w:t xml:space="preserve">Agreed Procedure </w:t>
      </w:r>
      <w:r w:rsidR="00036792" w:rsidRPr="002F0687">
        <w:rPr>
          <w:color w:val="auto"/>
        </w:rPr>
        <w:t>15</w:t>
      </w:r>
      <w:r w:rsidRPr="002F0687">
        <w:rPr>
          <w:color w:val="auto"/>
        </w:rPr>
        <w:t xml:space="preserve"> </w:t>
      </w:r>
      <w:r w:rsidR="003321E6" w:rsidRPr="002F0687">
        <w:rPr>
          <w:color w:val="auto"/>
        </w:rPr>
        <w:t xml:space="preserve">“Invoicing” </w:t>
      </w:r>
      <w:r w:rsidRPr="002F0687">
        <w:rPr>
          <w:color w:val="auto"/>
        </w:rPr>
        <w:t>describes in detail the timelines applicable for payment, however, for present purposes, the most relevant is the payment of Invoices (issued by the MO to Participants</w:t>
      </w:r>
      <w:r w:rsidR="00B52C44" w:rsidRPr="002F0687">
        <w:rPr>
          <w:color w:val="auto"/>
        </w:rPr>
        <w:t xml:space="preserve"> in respect of </w:t>
      </w:r>
      <w:r w:rsidR="00E84ABE" w:rsidRPr="002F0687">
        <w:rPr>
          <w:color w:val="auto"/>
        </w:rPr>
        <w:t>sums due to be paid to the MO</w:t>
      </w:r>
      <w:r w:rsidRPr="002F0687">
        <w:rPr>
          <w:color w:val="auto"/>
        </w:rPr>
        <w:t xml:space="preserve">) that must be paid by the relevant Participant by 1200hrs 3 Working Days after issue. The MO must then pay Self Billing Invoices (issued by the MO to </w:t>
      </w:r>
      <w:r w:rsidR="00E84ABE" w:rsidRPr="002F0687">
        <w:rPr>
          <w:color w:val="auto"/>
        </w:rPr>
        <w:t>SEM Creditors</w:t>
      </w:r>
      <w:r w:rsidRPr="002F0687">
        <w:rPr>
          <w:color w:val="auto"/>
        </w:rPr>
        <w:t>) by 1700 hrs on the next Working Day.</w:t>
      </w:r>
    </w:p>
    <w:p w14:paraId="6D04D404" w14:textId="77777777" w:rsidR="00CB756D" w:rsidRPr="002F0687" w:rsidRDefault="00CB756D" w:rsidP="004163B1">
      <w:pPr>
        <w:pStyle w:val="CERnon-indent"/>
        <w:rPr>
          <w:color w:val="auto"/>
        </w:rPr>
      </w:pPr>
      <w:r w:rsidRPr="002F0687">
        <w:rPr>
          <w:color w:val="auto"/>
        </w:rPr>
        <w:t xml:space="preserve">To meet with payment timelines for </w:t>
      </w:r>
      <w:proofErr w:type="spellStart"/>
      <w:r w:rsidRPr="002F0687">
        <w:rPr>
          <w:color w:val="auto"/>
        </w:rPr>
        <w:t>Self Billing</w:t>
      </w:r>
      <w:proofErr w:type="spellEnd"/>
      <w:r w:rsidRPr="002F0687">
        <w:rPr>
          <w:color w:val="auto"/>
        </w:rPr>
        <w:t xml:space="preserve"> Invoices as set out in the Code the MO will need to effect same day </w:t>
      </w:r>
      <w:r w:rsidR="001A5A31" w:rsidRPr="002F0687">
        <w:rPr>
          <w:color w:val="auto"/>
        </w:rPr>
        <w:t>Electronic Funds Transfer (</w:t>
      </w:r>
      <w:r w:rsidRPr="002F0687">
        <w:rPr>
          <w:color w:val="auto"/>
        </w:rPr>
        <w:t>EFT</w:t>
      </w:r>
      <w:r w:rsidR="001A5A31" w:rsidRPr="002F0687">
        <w:rPr>
          <w:color w:val="auto"/>
        </w:rPr>
        <w:t>)</w:t>
      </w:r>
      <w:r w:rsidRPr="002F0687">
        <w:rPr>
          <w:color w:val="auto"/>
        </w:rPr>
        <w:t xml:space="preserve"> payments to Participants.  The Business </w:t>
      </w:r>
      <w:proofErr w:type="spellStart"/>
      <w:r w:rsidRPr="002F0687">
        <w:rPr>
          <w:color w:val="auto"/>
        </w:rPr>
        <w:t>eBanking</w:t>
      </w:r>
      <w:proofErr w:type="spellEnd"/>
      <w:r w:rsidRPr="002F0687">
        <w:rPr>
          <w:color w:val="auto"/>
        </w:rPr>
        <w:t xml:space="preserve"> Application is essential to enable the MO to submit payment files (which has to be done by 15:30 on the Working Day that payment is made </w:t>
      </w:r>
      <w:r w:rsidR="00B52C44" w:rsidRPr="002F0687">
        <w:rPr>
          <w:color w:val="auto"/>
        </w:rPr>
        <w:t>to</w:t>
      </w:r>
      <w:r w:rsidRPr="002F0687">
        <w:rPr>
          <w:color w:val="auto"/>
        </w:rPr>
        <w:t xml:space="preserve"> </w:t>
      </w:r>
      <w:r w:rsidR="00B52C44" w:rsidRPr="002F0687">
        <w:rPr>
          <w:color w:val="auto"/>
        </w:rPr>
        <w:t>P</w:t>
      </w:r>
      <w:r w:rsidRPr="002F0687">
        <w:rPr>
          <w:color w:val="auto"/>
        </w:rPr>
        <w:t xml:space="preserve">articipants against </w:t>
      </w:r>
      <w:r w:rsidR="00B52C44" w:rsidRPr="002F0687">
        <w:rPr>
          <w:color w:val="auto"/>
        </w:rPr>
        <w:t>Self Billing I</w:t>
      </w:r>
      <w:r w:rsidRPr="002F0687">
        <w:rPr>
          <w:color w:val="auto"/>
        </w:rPr>
        <w:t>nvoices) to ensure that payment to Participants is made against the relevant Self Billing Invoice by 1700hrs on th</w:t>
      </w:r>
      <w:r w:rsidR="00B52C44" w:rsidRPr="002F0687">
        <w:rPr>
          <w:color w:val="auto"/>
        </w:rPr>
        <w:t xml:space="preserve">at </w:t>
      </w:r>
      <w:r w:rsidRPr="002F0687">
        <w:rPr>
          <w:color w:val="auto"/>
        </w:rPr>
        <w:t xml:space="preserve">Working Day.   </w:t>
      </w:r>
      <w:r w:rsidR="0092249E" w:rsidRPr="002F0687">
        <w:rPr>
          <w:color w:val="auto"/>
        </w:rPr>
        <w:t>T</w:t>
      </w:r>
      <w:r w:rsidRPr="002F0687">
        <w:rPr>
          <w:color w:val="auto"/>
        </w:rPr>
        <w:t>his</w:t>
      </w:r>
      <w:r w:rsidR="00FD75BA" w:rsidRPr="002F0687">
        <w:rPr>
          <w:color w:val="auto"/>
        </w:rPr>
        <w:t xml:space="preserve"> electronic</w:t>
      </w:r>
      <w:r w:rsidRPr="002F0687">
        <w:rPr>
          <w:color w:val="auto"/>
        </w:rPr>
        <w:t xml:space="preserve"> file will be generated by the Financial Application after</w:t>
      </w:r>
      <w:r w:rsidR="00FD75BA" w:rsidRPr="002F0687">
        <w:rPr>
          <w:color w:val="auto"/>
        </w:rPr>
        <w:t xml:space="preserve"> the initial </w:t>
      </w:r>
      <w:r w:rsidRPr="002F0687">
        <w:rPr>
          <w:color w:val="auto"/>
        </w:rPr>
        <w:t>approval</w:t>
      </w:r>
      <w:r w:rsidR="0092249E" w:rsidRPr="002F0687">
        <w:rPr>
          <w:color w:val="auto"/>
        </w:rPr>
        <w:t xml:space="preserve"> by the MO</w:t>
      </w:r>
      <w:r w:rsidRPr="002F0687">
        <w:rPr>
          <w:color w:val="auto"/>
        </w:rPr>
        <w:t>, encrypted and securely sent to the Bank.  This</w:t>
      </w:r>
      <w:r w:rsidR="00FD75BA" w:rsidRPr="002F0687">
        <w:rPr>
          <w:color w:val="auto"/>
        </w:rPr>
        <w:t xml:space="preserve"> electronic</w:t>
      </w:r>
      <w:r w:rsidRPr="002F0687">
        <w:rPr>
          <w:color w:val="auto"/>
        </w:rPr>
        <w:t xml:space="preserve"> file will then </w:t>
      </w:r>
      <w:r w:rsidR="00FD75BA" w:rsidRPr="002F0687">
        <w:rPr>
          <w:color w:val="auto"/>
        </w:rPr>
        <w:t xml:space="preserve">have subsequent MO </w:t>
      </w:r>
      <w:r w:rsidRPr="002F0687">
        <w:rPr>
          <w:color w:val="auto"/>
        </w:rPr>
        <w:t>approv</w:t>
      </w:r>
      <w:r w:rsidR="00FD75BA" w:rsidRPr="002F0687">
        <w:rPr>
          <w:color w:val="auto"/>
        </w:rPr>
        <w:t>al</w:t>
      </w:r>
      <w:r w:rsidRPr="002F0687">
        <w:rPr>
          <w:color w:val="auto"/>
        </w:rPr>
        <w:t xml:space="preserve"> on the Business </w:t>
      </w:r>
      <w:proofErr w:type="spellStart"/>
      <w:r w:rsidRPr="002F0687">
        <w:rPr>
          <w:color w:val="auto"/>
        </w:rPr>
        <w:t>eBanking</w:t>
      </w:r>
      <w:proofErr w:type="spellEnd"/>
      <w:r w:rsidRPr="002F0687">
        <w:rPr>
          <w:color w:val="auto"/>
        </w:rPr>
        <w:t xml:space="preserve"> Application</w:t>
      </w:r>
      <w:r w:rsidR="00FD75BA" w:rsidRPr="002F0687">
        <w:rPr>
          <w:color w:val="auto"/>
        </w:rPr>
        <w:t xml:space="preserve">. Checks will be made by the MO that the file approved from the Finance Application has been correctly loaded into the Business </w:t>
      </w:r>
      <w:proofErr w:type="spellStart"/>
      <w:r w:rsidR="00FD75BA" w:rsidRPr="002F0687">
        <w:rPr>
          <w:color w:val="auto"/>
        </w:rPr>
        <w:t>eBanking</w:t>
      </w:r>
      <w:proofErr w:type="spellEnd"/>
      <w:r w:rsidR="00FD75BA" w:rsidRPr="002F0687">
        <w:rPr>
          <w:color w:val="auto"/>
        </w:rPr>
        <w:t xml:space="preserve"> Application.  Once verified and approved</w:t>
      </w:r>
      <w:r w:rsidRPr="002F0687">
        <w:rPr>
          <w:color w:val="auto"/>
        </w:rPr>
        <w:t xml:space="preserve"> </w:t>
      </w:r>
      <w:r w:rsidR="00FD75BA" w:rsidRPr="002F0687">
        <w:rPr>
          <w:color w:val="auto"/>
        </w:rPr>
        <w:t xml:space="preserve">the payment file </w:t>
      </w:r>
      <w:r w:rsidRPr="002F0687">
        <w:rPr>
          <w:color w:val="auto"/>
        </w:rPr>
        <w:t xml:space="preserve">will from that point be “processed”.  The Bank will then make the payments as instructed.  </w:t>
      </w:r>
    </w:p>
    <w:p w14:paraId="6D04D405" w14:textId="77777777" w:rsidR="00CB756D" w:rsidRPr="002F0687" w:rsidRDefault="00CB756D" w:rsidP="004163B1">
      <w:pPr>
        <w:pStyle w:val="APNUMHEAD2"/>
      </w:pPr>
      <w:bookmarkStart w:id="21" w:name="_Toc356218107"/>
      <w:r w:rsidRPr="002F0687">
        <w:t>Payments from Participants</w:t>
      </w:r>
      <w:bookmarkEnd w:id="21"/>
    </w:p>
    <w:p w14:paraId="6D04D406" w14:textId="77777777" w:rsidR="00CB756D" w:rsidRPr="002F0687" w:rsidRDefault="00CB756D" w:rsidP="004163B1">
      <w:pPr>
        <w:pStyle w:val="CERnon-indent"/>
        <w:rPr>
          <w:color w:val="auto"/>
        </w:rPr>
      </w:pPr>
      <w:r w:rsidRPr="002F0687">
        <w:rPr>
          <w:color w:val="auto"/>
        </w:rPr>
        <w:t xml:space="preserve">Payments by Participants in relation to Units will </w:t>
      </w:r>
      <w:r w:rsidR="0092249E" w:rsidRPr="002F0687">
        <w:rPr>
          <w:color w:val="auto"/>
        </w:rPr>
        <w:t xml:space="preserve">in respect of those Units </w:t>
      </w:r>
      <w:r w:rsidRPr="002F0687">
        <w:rPr>
          <w:color w:val="auto"/>
        </w:rPr>
        <w:t xml:space="preserve">be made according to the </w:t>
      </w:r>
      <w:r w:rsidR="002C763E" w:rsidRPr="002F0687">
        <w:rPr>
          <w:color w:val="auto"/>
        </w:rPr>
        <w:t xml:space="preserve">Currency Zone </w:t>
      </w:r>
      <w:r w:rsidRPr="002F0687">
        <w:rPr>
          <w:color w:val="auto"/>
        </w:rPr>
        <w:t xml:space="preserve">in which that Participant has registered such Unit and the payment type to which the invoice relates.  There are three payment types: Trading, Capacity and Market Operator.  Each payment type has a corresponding bank account; </w:t>
      </w:r>
    </w:p>
    <w:p w14:paraId="6D04D407" w14:textId="77777777" w:rsidR="00CB756D" w:rsidRPr="002F0687" w:rsidRDefault="00CB756D" w:rsidP="004163B1">
      <w:pPr>
        <w:pStyle w:val="CERNONINDENTBULLET"/>
        <w:rPr>
          <w:color w:val="auto"/>
        </w:rPr>
      </w:pPr>
      <w:r w:rsidRPr="002F0687">
        <w:rPr>
          <w:color w:val="auto"/>
        </w:rPr>
        <w:t xml:space="preserve">Trading Payments – SEM Trading Clearing Account; </w:t>
      </w:r>
    </w:p>
    <w:p w14:paraId="6D04D408" w14:textId="77777777" w:rsidR="00CB756D" w:rsidRPr="002F0687" w:rsidRDefault="00CB756D" w:rsidP="004163B1">
      <w:pPr>
        <w:pStyle w:val="CERNONINDENTBULLET"/>
        <w:rPr>
          <w:color w:val="auto"/>
        </w:rPr>
      </w:pPr>
      <w:r w:rsidRPr="002F0687">
        <w:rPr>
          <w:color w:val="auto"/>
        </w:rPr>
        <w:t xml:space="preserve">Capacity Payments – SEM Capacity Clearing Account; </w:t>
      </w:r>
    </w:p>
    <w:p w14:paraId="6D04D409" w14:textId="77777777" w:rsidR="00CB756D" w:rsidRPr="002F0687" w:rsidRDefault="00CB756D" w:rsidP="004163B1">
      <w:pPr>
        <w:pStyle w:val="CERNONINDENTBULLET"/>
        <w:rPr>
          <w:color w:val="auto"/>
        </w:rPr>
      </w:pPr>
      <w:r w:rsidRPr="002F0687">
        <w:rPr>
          <w:color w:val="auto"/>
        </w:rPr>
        <w:t xml:space="preserve">Market Operator Payments – Market Operator Charge Account.  </w:t>
      </w:r>
    </w:p>
    <w:p w14:paraId="6D04D40A" w14:textId="77777777" w:rsidR="00CB756D" w:rsidRPr="002F0687" w:rsidRDefault="00CB756D" w:rsidP="004163B1">
      <w:pPr>
        <w:pStyle w:val="CERnon-indent"/>
        <w:rPr>
          <w:color w:val="auto"/>
        </w:rPr>
      </w:pPr>
      <w:r w:rsidRPr="002F0687">
        <w:rPr>
          <w:color w:val="auto"/>
        </w:rPr>
        <w:t>The Participants with Units registered in Northern Ireland will</w:t>
      </w:r>
      <w:r w:rsidR="0092249E" w:rsidRPr="002F0687">
        <w:rPr>
          <w:color w:val="auto"/>
        </w:rPr>
        <w:t xml:space="preserve"> in respect of those Units</w:t>
      </w:r>
      <w:r w:rsidRPr="002F0687">
        <w:rPr>
          <w:color w:val="auto"/>
        </w:rPr>
        <w:t xml:space="preserve"> pay into the corresponding bank account at </w:t>
      </w:r>
      <w:r w:rsidR="00662E63">
        <w:rPr>
          <w:color w:val="auto"/>
        </w:rPr>
        <w:t xml:space="preserve">the SEM </w:t>
      </w:r>
      <w:r w:rsidRPr="002F0687">
        <w:rPr>
          <w:color w:val="auto"/>
        </w:rPr>
        <w:t xml:space="preserve">Bank in </w:t>
      </w:r>
      <w:r w:rsidR="001A5A31" w:rsidRPr="002F0687">
        <w:rPr>
          <w:color w:val="auto"/>
        </w:rPr>
        <w:t xml:space="preserve">Pounds </w:t>
      </w:r>
      <w:r w:rsidRPr="002F0687">
        <w:rPr>
          <w:color w:val="auto"/>
        </w:rPr>
        <w:t xml:space="preserve">Sterling and Participants with Units registered in the Republic of Ireland will </w:t>
      </w:r>
      <w:r w:rsidR="0092249E" w:rsidRPr="002F0687">
        <w:rPr>
          <w:color w:val="auto"/>
        </w:rPr>
        <w:t xml:space="preserve">in respect of those Units </w:t>
      </w:r>
      <w:r w:rsidRPr="002F0687">
        <w:rPr>
          <w:color w:val="auto"/>
        </w:rPr>
        <w:t xml:space="preserve">pay in Euro into the corresponding bank account at </w:t>
      </w:r>
      <w:r w:rsidR="00662E63">
        <w:rPr>
          <w:color w:val="auto"/>
        </w:rPr>
        <w:t>the SEM</w:t>
      </w:r>
      <w:r w:rsidRPr="002F0687">
        <w:rPr>
          <w:color w:val="auto"/>
        </w:rPr>
        <w:t xml:space="preserve"> Bank</w:t>
      </w:r>
      <w:r w:rsidR="00662E63">
        <w:rPr>
          <w:color w:val="auto"/>
        </w:rPr>
        <w:t xml:space="preserve"> in the Republic of Ireland</w:t>
      </w:r>
      <w:r w:rsidRPr="002F0687">
        <w:rPr>
          <w:color w:val="auto"/>
        </w:rPr>
        <w:t>.</w:t>
      </w:r>
    </w:p>
    <w:p w14:paraId="6D04D40B" w14:textId="77777777" w:rsidR="00CB756D" w:rsidRPr="002F0687" w:rsidRDefault="00CB756D" w:rsidP="004163B1">
      <w:pPr>
        <w:pStyle w:val="APNUMHEAD3"/>
        <w:rPr>
          <w:color w:val="auto"/>
        </w:rPr>
      </w:pPr>
      <w:bookmarkStart w:id="22" w:name="_Ref165967826"/>
      <w:r w:rsidRPr="002F0687">
        <w:rPr>
          <w:color w:val="auto"/>
        </w:rPr>
        <w:t>Method of Payment</w:t>
      </w:r>
      <w:bookmarkEnd w:id="22"/>
    </w:p>
    <w:p w14:paraId="6D04D40C" w14:textId="77777777" w:rsidR="00CB756D" w:rsidRPr="002F0687" w:rsidRDefault="00CB756D" w:rsidP="004163B1">
      <w:pPr>
        <w:pStyle w:val="CERnon-indent"/>
        <w:rPr>
          <w:color w:val="auto"/>
        </w:rPr>
      </w:pPr>
      <w:r w:rsidRPr="002F0687">
        <w:rPr>
          <w:color w:val="auto"/>
        </w:rPr>
        <w:t xml:space="preserve">It is a requirement upon the MO that all payments made will be by way of EFT.  Any other forms of payment will not be accepted. </w:t>
      </w:r>
    </w:p>
    <w:p w14:paraId="6D04D40D" w14:textId="77777777" w:rsidR="00CB756D" w:rsidRPr="002F0687" w:rsidRDefault="00CB756D" w:rsidP="004163B1">
      <w:pPr>
        <w:pStyle w:val="CERnon-indent"/>
        <w:rPr>
          <w:color w:val="auto"/>
        </w:rPr>
      </w:pPr>
      <w:r w:rsidRPr="002F0687">
        <w:rPr>
          <w:color w:val="auto"/>
        </w:rPr>
        <w:t>The following EFT payment methods can be used to effect a payment under the Code</w:t>
      </w:r>
      <w:r w:rsidR="00034B09" w:rsidRPr="002F0687">
        <w:rPr>
          <w:color w:val="auto"/>
        </w:rPr>
        <w:t xml:space="preserve">. The Participant must consider </w:t>
      </w:r>
      <w:r w:rsidRPr="002F0687">
        <w:rPr>
          <w:color w:val="auto"/>
        </w:rPr>
        <w:t xml:space="preserve">the relevant payment </w:t>
      </w:r>
      <w:r w:rsidR="00034B09" w:rsidRPr="002F0687">
        <w:rPr>
          <w:color w:val="auto"/>
        </w:rPr>
        <w:t xml:space="preserve">cycle to </w:t>
      </w:r>
      <w:r w:rsidRPr="002F0687">
        <w:rPr>
          <w:color w:val="auto"/>
        </w:rPr>
        <w:t>allow payment to be met</w:t>
      </w:r>
      <w:r w:rsidR="00034B09" w:rsidRPr="002F0687">
        <w:rPr>
          <w:color w:val="auto"/>
        </w:rPr>
        <w:t xml:space="preserve"> by the relevant due date.</w:t>
      </w:r>
      <w:r w:rsidRPr="002F0687">
        <w:rPr>
          <w:color w:val="auto"/>
        </w:rPr>
        <w:t xml:space="preserve">: </w:t>
      </w:r>
    </w:p>
    <w:p w14:paraId="6D04D40E" w14:textId="77777777" w:rsidR="00CB756D" w:rsidRPr="002F0687" w:rsidRDefault="00CB756D" w:rsidP="004163B1">
      <w:pPr>
        <w:pStyle w:val="CERnon-indent"/>
        <w:rPr>
          <w:color w:val="auto"/>
        </w:rPr>
      </w:pPr>
      <w:r w:rsidRPr="002F0687">
        <w:rPr>
          <w:color w:val="auto"/>
        </w:rPr>
        <w:t>Standard payment methods:</w:t>
      </w:r>
    </w:p>
    <w:p w14:paraId="6D04D40F" w14:textId="77777777" w:rsidR="00CB756D" w:rsidRPr="002F0687" w:rsidRDefault="00CB756D" w:rsidP="004163B1">
      <w:pPr>
        <w:pStyle w:val="CERNONINDENTBULLET"/>
        <w:rPr>
          <w:color w:val="auto"/>
        </w:rPr>
      </w:pPr>
      <w:r w:rsidRPr="002F0687">
        <w:rPr>
          <w:color w:val="auto"/>
        </w:rPr>
        <w:t>BACS (</w:t>
      </w:r>
      <w:smartTag w:uri="urn:schemas-microsoft-com:office:smarttags" w:element="country-region">
        <w:smartTag w:uri="urn:schemas-microsoft-com:office:smarttags" w:element="place">
          <w:r w:rsidRPr="002F0687">
            <w:rPr>
              <w:color w:val="auto"/>
            </w:rPr>
            <w:t>UK</w:t>
          </w:r>
        </w:smartTag>
      </w:smartTag>
      <w:r w:rsidRPr="002F0687">
        <w:rPr>
          <w:color w:val="auto"/>
        </w:rPr>
        <w:t xml:space="preserve">) – </w:t>
      </w:r>
      <w:r w:rsidR="00034B09" w:rsidRPr="002F0687">
        <w:rPr>
          <w:color w:val="auto"/>
        </w:rPr>
        <w:t xml:space="preserve">normally a </w:t>
      </w:r>
      <w:r w:rsidRPr="002F0687">
        <w:rPr>
          <w:color w:val="auto"/>
        </w:rPr>
        <w:t>3 day cycle, standard payment</w:t>
      </w:r>
    </w:p>
    <w:p w14:paraId="6D04D410" w14:textId="77777777" w:rsidR="00CB756D" w:rsidRPr="002F0687" w:rsidRDefault="00CB756D" w:rsidP="004163B1">
      <w:pPr>
        <w:pStyle w:val="CERNONINDENTBULLET"/>
        <w:rPr>
          <w:color w:val="auto"/>
        </w:rPr>
      </w:pPr>
      <w:r w:rsidRPr="002F0687">
        <w:rPr>
          <w:color w:val="auto"/>
        </w:rPr>
        <w:t>EFT (</w:t>
      </w:r>
      <w:smartTag w:uri="urn:schemas-microsoft-com:office:smarttags" w:element="country-region">
        <w:smartTag w:uri="urn:schemas-microsoft-com:office:smarttags" w:element="place">
          <w:r w:rsidR="001E2111" w:rsidRPr="002F0687">
            <w:rPr>
              <w:color w:val="auto"/>
            </w:rPr>
            <w:t>Ireland</w:t>
          </w:r>
        </w:smartTag>
      </w:smartTag>
      <w:r w:rsidRPr="002F0687">
        <w:rPr>
          <w:color w:val="auto"/>
        </w:rPr>
        <w:t xml:space="preserve">) – </w:t>
      </w:r>
      <w:r w:rsidR="00034B09" w:rsidRPr="002F0687">
        <w:rPr>
          <w:color w:val="auto"/>
        </w:rPr>
        <w:t xml:space="preserve">normally a </w:t>
      </w:r>
      <w:r w:rsidRPr="002F0687">
        <w:rPr>
          <w:color w:val="auto"/>
        </w:rPr>
        <w:t>2 day cycle, standard payment</w:t>
      </w:r>
    </w:p>
    <w:p w14:paraId="6D04D411" w14:textId="77777777" w:rsidR="00CB756D" w:rsidRPr="002F0687" w:rsidRDefault="00CB756D" w:rsidP="004163B1">
      <w:pPr>
        <w:pStyle w:val="CERnon-indent"/>
        <w:rPr>
          <w:color w:val="auto"/>
        </w:rPr>
      </w:pPr>
      <w:r w:rsidRPr="002F0687">
        <w:rPr>
          <w:color w:val="auto"/>
        </w:rPr>
        <w:t>Same day payment methods:</w:t>
      </w:r>
    </w:p>
    <w:p w14:paraId="6D04D412" w14:textId="77777777" w:rsidR="00CB756D" w:rsidRPr="002F0687" w:rsidRDefault="00CB756D" w:rsidP="004163B1">
      <w:pPr>
        <w:pStyle w:val="CERNONINDENTBULLET"/>
        <w:rPr>
          <w:color w:val="auto"/>
        </w:rPr>
      </w:pPr>
      <w:r w:rsidRPr="002F0687">
        <w:rPr>
          <w:color w:val="auto"/>
        </w:rPr>
        <w:t>CHAPS (</w:t>
      </w:r>
      <w:smartTag w:uri="urn:schemas-microsoft-com:office:smarttags" w:element="country-region">
        <w:smartTag w:uri="urn:schemas-microsoft-com:office:smarttags" w:element="place">
          <w:r w:rsidRPr="002F0687">
            <w:rPr>
              <w:color w:val="auto"/>
            </w:rPr>
            <w:t>UK</w:t>
          </w:r>
        </w:smartTag>
      </w:smartTag>
      <w:r w:rsidRPr="002F0687">
        <w:rPr>
          <w:color w:val="auto"/>
        </w:rPr>
        <w:t>) – 1 day cycle, same day payment</w:t>
      </w:r>
    </w:p>
    <w:p w14:paraId="6D04D413" w14:textId="77777777" w:rsidR="00CB756D" w:rsidRPr="002F0687" w:rsidRDefault="00CB756D" w:rsidP="004163B1">
      <w:pPr>
        <w:pStyle w:val="CERNONINDENTBULLET"/>
        <w:rPr>
          <w:color w:val="auto"/>
        </w:rPr>
      </w:pPr>
      <w:r w:rsidRPr="002F0687">
        <w:rPr>
          <w:color w:val="auto"/>
        </w:rPr>
        <w:t>Same day payments (</w:t>
      </w:r>
      <w:smartTag w:uri="urn:schemas-microsoft-com:office:smarttags" w:element="country-region">
        <w:smartTag w:uri="urn:schemas-microsoft-com:office:smarttags" w:element="place">
          <w:r w:rsidR="001E2111" w:rsidRPr="002F0687">
            <w:rPr>
              <w:color w:val="auto"/>
            </w:rPr>
            <w:t>Ireland</w:t>
          </w:r>
        </w:smartTag>
      </w:smartTag>
      <w:r w:rsidRPr="002F0687">
        <w:rPr>
          <w:color w:val="auto"/>
        </w:rPr>
        <w:t>) – 1 day cycle, same day payment</w:t>
      </w:r>
    </w:p>
    <w:p w14:paraId="6D04D414" w14:textId="77777777" w:rsidR="00CB756D" w:rsidRPr="002F0687" w:rsidRDefault="00CB756D" w:rsidP="004163B1">
      <w:pPr>
        <w:pStyle w:val="CERnon-indent"/>
        <w:rPr>
          <w:color w:val="auto"/>
        </w:rPr>
      </w:pPr>
      <w:r w:rsidRPr="002F0687">
        <w:rPr>
          <w:color w:val="auto"/>
        </w:rPr>
        <w:t xml:space="preserve">Payments are to be made within three working days of issuing an invoice.  </w:t>
      </w:r>
      <w:r w:rsidR="002F4DE8" w:rsidRPr="002F0687">
        <w:rPr>
          <w:color w:val="auto"/>
        </w:rPr>
        <w:t>Based on these payment cycles, t</w:t>
      </w:r>
      <w:r w:rsidRPr="002F0687">
        <w:rPr>
          <w:color w:val="auto"/>
        </w:rPr>
        <w:t xml:space="preserve">o ensure payments are made on time, a BACS instruction needs to be presented on the invoice date, an EFT instruction on invoice date +1 day and using the CHAPS or same day facility would mean sending an instruction on invoice date +2 days.  </w:t>
      </w:r>
    </w:p>
    <w:p w14:paraId="6D04D415" w14:textId="77777777" w:rsidR="00CB756D" w:rsidRPr="002F0687" w:rsidRDefault="00CB756D" w:rsidP="004163B1">
      <w:pPr>
        <w:pStyle w:val="CERnon-indent"/>
        <w:rPr>
          <w:color w:val="auto"/>
        </w:rPr>
      </w:pPr>
      <w:r w:rsidRPr="002F0687">
        <w:rPr>
          <w:color w:val="auto"/>
        </w:rPr>
        <w:t xml:space="preserve">Example:  </w:t>
      </w:r>
    </w:p>
    <w:p w14:paraId="6D04D416" w14:textId="77777777" w:rsidR="00CB756D" w:rsidRPr="002F0687" w:rsidRDefault="00E16CA1" w:rsidP="004163B1">
      <w:pPr>
        <w:pStyle w:val="CERNONINDENTBULLET"/>
        <w:rPr>
          <w:color w:val="auto"/>
        </w:rPr>
      </w:pPr>
      <w:r w:rsidRPr="002F0687">
        <w:rPr>
          <w:color w:val="auto"/>
        </w:rPr>
        <w:t xml:space="preserve">Trading </w:t>
      </w:r>
      <w:r w:rsidR="00CB756D" w:rsidRPr="002F0687">
        <w:rPr>
          <w:color w:val="auto"/>
        </w:rPr>
        <w:t>Charge Invoice is raised on Billing Period +5 12:00, Friday</w:t>
      </w:r>
    </w:p>
    <w:p w14:paraId="6D04D417" w14:textId="77777777" w:rsidR="00CB756D" w:rsidRPr="002F0687" w:rsidRDefault="00CB756D" w:rsidP="004163B1">
      <w:pPr>
        <w:pStyle w:val="CERNONINDENTBULLET"/>
        <w:rPr>
          <w:color w:val="auto"/>
        </w:rPr>
      </w:pPr>
      <w:r w:rsidRPr="002F0687">
        <w:rPr>
          <w:color w:val="auto"/>
        </w:rPr>
        <w:t>Payment is then due on Billing Period +8 12:00, Wednesday</w:t>
      </w:r>
    </w:p>
    <w:p w14:paraId="6D04D418" w14:textId="77777777" w:rsidR="00CB756D" w:rsidRPr="002F0687" w:rsidRDefault="00CB756D" w:rsidP="004163B1">
      <w:pPr>
        <w:pStyle w:val="CERNONINDENTBULLET"/>
        <w:rPr>
          <w:color w:val="auto"/>
        </w:rPr>
      </w:pPr>
      <w:r w:rsidRPr="002F0687">
        <w:rPr>
          <w:color w:val="auto"/>
        </w:rPr>
        <w:t>To meet 12:00 Wednesday deadline</w:t>
      </w:r>
    </w:p>
    <w:p w14:paraId="6D04D419" w14:textId="77777777" w:rsidR="00CB756D" w:rsidRPr="002F0687" w:rsidRDefault="00CB756D" w:rsidP="004163B1">
      <w:pPr>
        <w:pStyle w:val="CERNONINDENTBULLET2"/>
        <w:rPr>
          <w:color w:val="auto"/>
        </w:rPr>
      </w:pPr>
      <w:r w:rsidRPr="002F0687">
        <w:rPr>
          <w:color w:val="auto"/>
        </w:rPr>
        <w:t>BACS – submit Friday, presented 3WD later, Wednesday morning</w:t>
      </w:r>
    </w:p>
    <w:p w14:paraId="6D04D41A" w14:textId="77777777" w:rsidR="00CB756D" w:rsidRPr="002F0687" w:rsidRDefault="00CB756D" w:rsidP="004163B1">
      <w:pPr>
        <w:pStyle w:val="CERNONINDENTBULLET2"/>
        <w:rPr>
          <w:color w:val="auto"/>
        </w:rPr>
      </w:pPr>
      <w:r w:rsidRPr="002F0687">
        <w:rPr>
          <w:color w:val="auto"/>
        </w:rPr>
        <w:t>EFT – submit Monday, presented 2 WD later, Wednesday morning</w:t>
      </w:r>
    </w:p>
    <w:p w14:paraId="6D04D41B" w14:textId="77777777" w:rsidR="00CB756D" w:rsidRPr="002F0687" w:rsidRDefault="00CB756D" w:rsidP="004163B1">
      <w:pPr>
        <w:pStyle w:val="CERNONINDENTBULLET2"/>
        <w:rPr>
          <w:color w:val="auto"/>
        </w:rPr>
      </w:pPr>
      <w:r w:rsidRPr="002F0687">
        <w:rPr>
          <w:color w:val="auto"/>
        </w:rPr>
        <w:t>Same day – submit Tuesday, presented on the same day, Tuesday evening.</w:t>
      </w:r>
    </w:p>
    <w:p w14:paraId="6D04D41C" w14:textId="77777777" w:rsidR="00CB756D" w:rsidRPr="002F0687" w:rsidRDefault="00CB756D" w:rsidP="00A43595">
      <w:pPr>
        <w:pStyle w:val="CERNONINDENTBULLET3"/>
        <w:numPr>
          <w:ilvl w:val="0"/>
          <w:numId w:val="0"/>
        </w:numPr>
        <w:tabs>
          <w:tab w:val="left" w:pos="720"/>
        </w:tabs>
        <w:spacing w:before="240"/>
        <w:rPr>
          <w:color w:val="auto"/>
        </w:rPr>
      </w:pPr>
      <w:r w:rsidRPr="002F0687">
        <w:rPr>
          <w:color w:val="auto"/>
        </w:rPr>
        <w:t>If submitted Wednesday, the payment will not be presented until after 12:00</w:t>
      </w:r>
    </w:p>
    <w:p w14:paraId="6D04D41D" w14:textId="77777777" w:rsidR="001F7942" w:rsidRPr="002F0687" w:rsidRDefault="001F7942" w:rsidP="001F7942">
      <w:pPr>
        <w:pStyle w:val="APNUMHEAD3"/>
        <w:numPr>
          <w:ilvl w:val="0"/>
          <w:numId w:val="0"/>
        </w:numPr>
        <w:ind w:left="900" w:hanging="900"/>
        <w:rPr>
          <w:color w:val="auto"/>
        </w:rPr>
      </w:pPr>
      <w:r w:rsidRPr="002F0687">
        <w:rPr>
          <w:color w:val="auto"/>
        </w:rPr>
        <w:t>2.5.1A</w:t>
      </w:r>
      <w:r w:rsidRPr="002F0687">
        <w:rPr>
          <w:color w:val="auto"/>
        </w:rPr>
        <w:tab/>
      </w:r>
      <w:r w:rsidRPr="002F0687">
        <w:rPr>
          <w:color w:val="auto"/>
        </w:rPr>
        <w:tab/>
        <w:t>Aggregated Payments</w:t>
      </w:r>
    </w:p>
    <w:p w14:paraId="6D04D41E" w14:textId="77777777" w:rsidR="001F7942" w:rsidRPr="002F0687" w:rsidRDefault="001F7942" w:rsidP="00A43595">
      <w:pPr>
        <w:pStyle w:val="CERNONINDENTBULLET3"/>
        <w:numPr>
          <w:ilvl w:val="0"/>
          <w:numId w:val="0"/>
        </w:numPr>
        <w:tabs>
          <w:tab w:val="left" w:pos="720"/>
        </w:tabs>
        <w:spacing w:before="240"/>
        <w:rPr>
          <w:color w:val="auto"/>
        </w:rPr>
      </w:pPr>
      <w:r w:rsidRPr="002F0687">
        <w:rPr>
          <w:color w:val="auto"/>
        </w:rPr>
        <w:t>To reduce the number of payments a Participant needs to make, the option is available for the Participant to aggregate payments that are for the same Account, for the same Invoice type (namely, each of the Trading Charge, Capacity Charge or Market Operator Charge Invoice types) and fall on the same due date.</w:t>
      </w:r>
    </w:p>
    <w:p w14:paraId="6D04D41F" w14:textId="77777777" w:rsidR="001F7942" w:rsidRPr="002F0687" w:rsidRDefault="001F7942" w:rsidP="00A43595">
      <w:pPr>
        <w:pStyle w:val="CERNONINDENTBULLET3"/>
        <w:numPr>
          <w:ilvl w:val="0"/>
          <w:numId w:val="0"/>
        </w:numPr>
        <w:tabs>
          <w:tab w:val="left" w:pos="720"/>
        </w:tabs>
        <w:spacing w:before="240"/>
        <w:rPr>
          <w:color w:val="auto"/>
        </w:rPr>
      </w:pPr>
      <w:r w:rsidRPr="002F0687">
        <w:rPr>
          <w:color w:val="auto"/>
        </w:rPr>
        <w:t>This option shall be deemed to have been exercised in the event that the payment submitted exceeds the amount of the Invoice identified in the associated payment reference.</w:t>
      </w:r>
    </w:p>
    <w:p w14:paraId="6D04D420" w14:textId="77777777" w:rsidR="001F7942" w:rsidRPr="002F0687" w:rsidRDefault="001F7942" w:rsidP="00A43595">
      <w:pPr>
        <w:pStyle w:val="CERNONINDENTBULLET3"/>
        <w:numPr>
          <w:ilvl w:val="0"/>
          <w:numId w:val="0"/>
        </w:numPr>
        <w:tabs>
          <w:tab w:val="left" w:pos="720"/>
        </w:tabs>
        <w:spacing w:before="240"/>
        <w:rPr>
          <w:color w:val="auto"/>
        </w:rPr>
      </w:pPr>
      <w:r w:rsidRPr="002F0687">
        <w:rPr>
          <w:color w:val="auto"/>
        </w:rPr>
        <w:t>Note: For avoidance of doubt:</w:t>
      </w:r>
    </w:p>
    <w:p w14:paraId="6D04D421" w14:textId="77777777" w:rsidR="001F7942" w:rsidRPr="002F0687" w:rsidRDefault="001F7942" w:rsidP="00CA22CA">
      <w:pPr>
        <w:pStyle w:val="CERNONINDENTBULLET3"/>
        <w:numPr>
          <w:ilvl w:val="0"/>
          <w:numId w:val="15"/>
        </w:numPr>
        <w:spacing w:before="240"/>
        <w:rPr>
          <w:color w:val="auto"/>
        </w:rPr>
      </w:pPr>
      <w:r w:rsidRPr="002F0687">
        <w:rPr>
          <w:color w:val="auto"/>
        </w:rPr>
        <w:t>The ‘same Account’ in this case refers to the Invoices that are for the same Account ID e.g. PT 400999.</w:t>
      </w:r>
    </w:p>
    <w:p w14:paraId="6D04D422" w14:textId="77777777" w:rsidR="001F7942" w:rsidRPr="002F0687" w:rsidRDefault="001F7942" w:rsidP="00CA22CA">
      <w:pPr>
        <w:pStyle w:val="CERNONINDENTBULLET3"/>
        <w:numPr>
          <w:ilvl w:val="0"/>
          <w:numId w:val="15"/>
        </w:numPr>
        <w:spacing w:before="240"/>
        <w:rPr>
          <w:color w:val="auto"/>
        </w:rPr>
      </w:pPr>
      <w:r w:rsidRPr="002F0687">
        <w:rPr>
          <w:color w:val="auto"/>
        </w:rPr>
        <w:t xml:space="preserve">Aggregate payments can only be made for Invoices. </w:t>
      </w:r>
      <w:proofErr w:type="spellStart"/>
      <w:r w:rsidRPr="002F0687">
        <w:rPr>
          <w:color w:val="auto"/>
        </w:rPr>
        <w:t>Self Billing</w:t>
      </w:r>
      <w:proofErr w:type="spellEnd"/>
      <w:r w:rsidRPr="002F0687">
        <w:rPr>
          <w:color w:val="auto"/>
        </w:rPr>
        <w:t xml:space="preserve"> Invoices cannot be netted off Invoices due.</w:t>
      </w:r>
    </w:p>
    <w:p w14:paraId="6D04D423" w14:textId="77777777" w:rsidR="001F7942" w:rsidRPr="002F0687" w:rsidRDefault="001F7942" w:rsidP="001F7942">
      <w:pPr>
        <w:pStyle w:val="CERNONINDENTBULLET3"/>
        <w:numPr>
          <w:ilvl w:val="0"/>
          <w:numId w:val="0"/>
        </w:numPr>
        <w:spacing w:before="240"/>
        <w:rPr>
          <w:color w:val="auto"/>
        </w:rPr>
      </w:pPr>
      <w:r w:rsidRPr="002F0687">
        <w:rPr>
          <w:color w:val="auto"/>
        </w:rPr>
        <w:t>When an aggregate payment is made, Invoices will be settled for payment for the same Participant, same Invoice type and same due date as the Invoice number used in the payment reference.</w:t>
      </w:r>
    </w:p>
    <w:p w14:paraId="6D04D424" w14:textId="77777777" w:rsidR="001F7942" w:rsidRPr="002F0687" w:rsidRDefault="001F7942" w:rsidP="001F7942">
      <w:pPr>
        <w:pStyle w:val="CERNONINDENTBULLET3"/>
        <w:numPr>
          <w:ilvl w:val="0"/>
          <w:numId w:val="0"/>
        </w:numPr>
        <w:spacing w:before="240"/>
        <w:rPr>
          <w:color w:val="auto"/>
        </w:rPr>
      </w:pPr>
      <w:r w:rsidRPr="002F0687">
        <w:rPr>
          <w:color w:val="auto"/>
        </w:rPr>
        <w:t>If the amount paid exceeds the amount of the Invoice identified in the relevant payment reference then any surplus will be applied to outstanding Invoices for the same Account, for the same Invoice type and for the same due date in order of decreasing Invoice value.</w:t>
      </w:r>
    </w:p>
    <w:p w14:paraId="6D04D425" w14:textId="77777777" w:rsidR="001F7942" w:rsidRPr="002F0687" w:rsidRDefault="001F7942" w:rsidP="001F7942">
      <w:pPr>
        <w:pStyle w:val="CERNONINDENTBULLET3"/>
        <w:numPr>
          <w:ilvl w:val="0"/>
          <w:numId w:val="0"/>
        </w:numPr>
        <w:spacing w:before="240"/>
        <w:rPr>
          <w:color w:val="auto"/>
        </w:rPr>
      </w:pPr>
      <w:r w:rsidRPr="002F0687">
        <w:rPr>
          <w:color w:val="auto"/>
        </w:rPr>
        <w:t>If the Participant’s aggregate payment is less than the total amount required to settle all Invoices that are due for the given Invoice type and due date, then the Participant will be subject to the normal payment default processes for the unpaid Invoices as defined in Section 6 of the Code.</w:t>
      </w:r>
    </w:p>
    <w:p w14:paraId="6D04D426" w14:textId="77777777" w:rsidR="001F7942" w:rsidRPr="002F0687" w:rsidRDefault="001F7942" w:rsidP="001F7942">
      <w:pPr>
        <w:pStyle w:val="CERNONINDENTBULLET3"/>
        <w:numPr>
          <w:ilvl w:val="0"/>
          <w:numId w:val="0"/>
        </w:numPr>
        <w:spacing w:before="240"/>
        <w:rPr>
          <w:color w:val="auto"/>
        </w:rPr>
      </w:pPr>
      <w:r w:rsidRPr="002F0687">
        <w:rPr>
          <w:color w:val="auto"/>
        </w:rPr>
        <w:t>If the Participant’s aggregated payment is greater than the total amount required to settle all Invoices that are due for the given</w:t>
      </w:r>
      <w:r w:rsidR="005E2744" w:rsidRPr="002F0687">
        <w:rPr>
          <w:color w:val="auto"/>
        </w:rPr>
        <w:t xml:space="preserve"> Invoice type and due date, then the normal overpayment process as defined in Section 6 of the Code will apply.</w:t>
      </w:r>
    </w:p>
    <w:p w14:paraId="6D04D427" w14:textId="77777777" w:rsidR="005E2744" w:rsidRPr="002F0687" w:rsidRDefault="005E2744" w:rsidP="001F7942">
      <w:pPr>
        <w:pStyle w:val="CERNONINDENTBULLET3"/>
        <w:numPr>
          <w:ilvl w:val="0"/>
          <w:numId w:val="0"/>
        </w:numPr>
        <w:spacing w:before="240"/>
        <w:rPr>
          <w:color w:val="auto"/>
        </w:rPr>
      </w:pPr>
      <w:r w:rsidRPr="002F0687">
        <w:rPr>
          <w:color w:val="auto"/>
        </w:rPr>
        <w:t>To allow the MO to quickly and accurately reconcile payments the payment references for aggregated payments should be as detailed in Section 2.5.3 and 2.5.4.</w:t>
      </w:r>
    </w:p>
    <w:p w14:paraId="6D04D428" w14:textId="77777777" w:rsidR="001F7942" w:rsidRPr="002F0687" w:rsidRDefault="001F7942" w:rsidP="00A43595">
      <w:pPr>
        <w:pStyle w:val="CERNONINDENTBULLET3"/>
        <w:numPr>
          <w:ilvl w:val="0"/>
          <w:numId w:val="0"/>
        </w:numPr>
        <w:tabs>
          <w:tab w:val="left" w:pos="720"/>
        </w:tabs>
        <w:spacing w:before="240"/>
        <w:rPr>
          <w:color w:val="auto"/>
        </w:rPr>
      </w:pPr>
    </w:p>
    <w:p w14:paraId="6D04D429" w14:textId="77777777" w:rsidR="00CB756D" w:rsidRPr="002F0687" w:rsidRDefault="00CB756D" w:rsidP="00CD26A1">
      <w:pPr>
        <w:pStyle w:val="APNUMHEAD3"/>
        <w:rPr>
          <w:color w:val="auto"/>
        </w:rPr>
      </w:pPr>
      <w:r w:rsidRPr="002F0687">
        <w:rPr>
          <w:color w:val="auto"/>
        </w:rPr>
        <w:t>Payment References</w:t>
      </w:r>
    </w:p>
    <w:p w14:paraId="6D04D42A" w14:textId="77777777" w:rsidR="00CB756D" w:rsidRPr="002F0687" w:rsidRDefault="00CB756D" w:rsidP="00CD26A1">
      <w:pPr>
        <w:pStyle w:val="CERnon-indent"/>
        <w:rPr>
          <w:rFonts w:cs="Arial"/>
          <w:color w:val="auto"/>
        </w:rPr>
      </w:pPr>
      <w:r w:rsidRPr="002F0687">
        <w:rPr>
          <w:rFonts w:cs="Arial"/>
          <w:color w:val="auto"/>
        </w:rPr>
        <w:t xml:space="preserve">Participants </w:t>
      </w:r>
      <w:r w:rsidR="00012539" w:rsidRPr="002F0687">
        <w:rPr>
          <w:rFonts w:cs="Arial"/>
          <w:color w:val="auto"/>
        </w:rPr>
        <w:t>shall</w:t>
      </w:r>
      <w:r w:rsidRPr="002F0687">
        <w:rPr>
          <w:rFonts w:cs="Arial"/>
          <w:color w:val="auto"/>
        </w:rPr>
        <w:t xml:space="preserve"> process their payments using a reference that the MO will use</w:t>
      </w:r>
      <w:r w:rsidR="00E16CA1" w:rsidRPr="002F0687">
        <w:rPr>
          <w:rFonts w:cs="Arial"/>
          <w:color w:val="auto"/>
        </w:rPr>
        <w:t xml:space="preserve"> to identify</w:t>
      </w:r>
      <w:r w:rsidRPr="002F0687">
        <w:rPr>
          <w:rFonts w:cs="Arial"/>
          <w:color w:val="auto"/>
        </w:rPr>
        <w:t xml:space="preserve"> these payments.  Depending on the chosen method of payment there will be a requirement to provide a different reference</w:t>
      </w:r>
      <w:r w:rsidR="00012539" w:rsidRPr="002F0687">
        <w:rPr>
          <w:rFonts w:cs="Arial"/>
          <w:color w:val="auto"/>
        </w:rPr>
        <w:t xml:space="preserve"> as detailed below</w:t>
      </w:r>
      <w:r w:rsidRPr="002F0687">
        <w:rPr>
          <w:rFonts w:cs="Arial"/>
          <w:color w:val="auto"/>
        </w:rPr>
        <w:t>.</w:t>
      </w:r>
      <w:r w:rsidR="00012539" w:rsidRPr="002F0687">
        <w:rPr>
          <w:rFonts w:cs="Arial"/>
          <w:color w:val="auto"/>
        </w:rPr>
        <w:t xml:space="preserve">  </w:t>
      </w:r>
      <w:r w:rsidRPr="002F0687">
        <w:rPr>
          <w:rFonts w:cs="Arial"/>
          <w:color w:val="auto"/>
        </w:rPr>
        <w:t xml:space="preserve">This </w:t>
      </w:r>
      <w:r w:rsidR="00012539" w:rsidRPr="002F0687">
        <w:rPr>
          <w:rFonts w:cs="Arial"/>
          <w:color w:val="auto"/>
        </w:rPr>
        <w:t xml:space="preserve">reference </w:t>
      </w:r>
      <w:r w:rsidRPr="002F0687">
        <w:rPr>
          <w:rFonts w:cs="Arial"/>
          <w:color w:val="auto"/>
        </w:rPr>
        <w:t xml:space="preserve">is essential to allow the MO to quickly reconcile the accounts in order to give enough time to process the payment obligations that the MO has to Participants in respect of Self </w:t>
      </w:r>
      <w:r w:rsidR="00012539" w:rsidRPr="002F0687">
        <w:rPr>
          <w:rFonts w:cs="Arial"/>
          <w:color w:val="auto"/>
        </w:rPr>
        <w:t>B</w:t>
      </w:r>
      <w:r w:rsidRPr="002F0687">
        <w:rPr>
          <w:rFonts w:cs="Arial"/>
          <w:color w:val="auto"/>
        </w:rPr>
        <w:t xml:space="preserve">illing Invoices the following </w:t>
      </w:r>
      <w:r w:rsidR="00012539" w:rsidRPr="002F0687">
        <w:rPr>
          <w:rFonts w:cs="Arial"/>
          <w:color w:val="auto"/>
        </w:rPr>
        <w:t>Working D</w:t>
      </w:r>
      <w:r w:rsidRPr="002F0687">
        <w:rPr>
          <w:rFonts w:cs="Arial"/>
          <w:color w:val="auto"/>
        </w:rPr>
        <w:t xml:space="preserve">ay.  </w:t>
      </w:r>
    </w:p>
    <w:p w14:paraId="6D04D42B" w14:textId="77777777" w:rsidR="00CB756D" w:rsidRPr="002F0687" w:rsidRDefault="00CB756D" w:rsidP="00CD26A1">
      <w:pPr>
        <w:pStyle w:val="CERnon-indent"/>
        <w:rPr>
          <w:rFonts w:cs="Arial"/>
          <w:color w:val="auto"/>
        </w:rPr>
      </w:pPr>
      <w:r w:rsidRPr="002F0687">
        <w:rPr>
          <w:rFonts w:cs="Arial"/>
          <w:color w:val="auto"/>
        </w:rPr>
        <w:t xml:space="preserve">As noted in </w:t>
      </w:r>
      <w:r w:rsidR="008F18F5">
        <w:fldChar w:fldCharType="begin"/>
      </w:r>
      <w:r w:rsidR="008F18F5">
        <w:instrText xml:space="preserve"> REF _Ref165967826 \r \h  \* MERGEFORMAT </w:instrText>
      </w:r>
      <w:r w:rsidR="008F18F5">
        <w:fldChar w:fldCharType="separate"/>
      </w:r>
      <w:r w:rsidR="00BF0300" w:rsidRPr="002F0687">
        <w:rPr>
          <w:rFonts w:cs="Arial"/>
          <w:color w:val="auto"/>
        </w:rPr>
        <w:t>2.5.1</w:t>
      </w:r>
      <w:r w:rsidR="008F18F5">
        <w:fldChar w:fldCharType="end"/>
      </w:r>
      <w:r w:rsidRPr="002F0687">
        <w:rPr>
          <w:rFonts w:cs="Arial"/>
          <w:color w:val="auto"/>
        </w:rPr>
        <w:t xml:space="preserve"> there are two EFT standard payment methods in the </w:t>
      </w:r>
      <w:smartTag w:uri="urn:schemas-microsoft-com:office:smarttags" w:element="country-region">
        <w:r w:rsidRPr="002F0687">
          <w:rPr>
            <w:rFonts w:cs="Arial"/>
            <w:color w:val="auto"/>
          </w:rPr>
          <w:t>UK</w:t>
        </w:r>
      </w:smartTag>
      <w:r w:rsidRPr="002F0687">
        <w:rPr>
          <w:rFonts w:cs="Arial"/>
          <w:color w:val="auto"/>
        </w:rPr>
        <w:t xml:space="preserve"> and </w:t>
      </w:r>
      <w:proofErr w:type="gramStart"/>
      <w:r w:rsidR="001E2111" w:rsidRPr="002F0687">
        <w:rPr>
          <w:rFonts w:cs="Arial"/>
          <w:color w:val="auto"/>
        </w:rPr>
        <w:t>Ireland</w:t>
      </w:r>
      <w:proofErr w:type="gramEnd"/>
      <w:r w:rsidRPr="002F0687">
        <w:rPr>
          <w:rFonts w:cs="Arial"/>
          <w:color w:val="auto"/>
        </w:rPr>
        <w:t xml:space="preserve"> and they use the same referencing on payments. All banks in the </w:t>
      </w:r>
      <w:smartTag w:uri="urn:schemas-microsoft-com:office:smarttags" w:element="country-region">
        <w:r w:rsidR="00012539" w:rsidRPr="002F0687">
          <w:rPr>
            <w:rFonts w:cs="Arial"/>
            <w:color w:val="auto"/>
          </w:rPr>
          <w:t>Northern Ireland</w:t>
        </w:r>
      </w:smartTag>
      <w:r w:rsidR="00012539" w:rsidRPr="002F0687">
        <w:rPr>
          <w:rFonts w:cs="Arial"/>
          <w:color w:val="auto"/>
        </w:rPr>
        <w:t xml:space="preserve"> </w:t>
      </w:r>
      <w:r w:rsidRPr="002F0687">
        <w:rPr>
          <w:rFonts w:cs="Arial"/>
          <w:color w:val="auto"/>
        </w:rPr>
        <w:t xml:space="preserve">and </w:t>
      </w:r>
      <w:smartTag w:uri="urn:schemas-microsoft-com:office:smarttags" w:element="country-region">
        <w:smartTag w:uri="urn:schemas-microsoft-com:office:smarttags" w:element="place">
          <w:r w:rsidR="00012539" w:rsidRPr="002F0687">
            <w:rPr>
              <w:rFonts w:cs="Arial"/>
              <w:color w:val="auto"/>
            </w:rPr>
            <w:t>Ireland</w:t>
          </w:r>
        </w:smartTag>
      </w:smartTag>
      <w:r w:rsidR="00012539" w:rsidRPr="002F0687">
        <w:rPr>
          <w:rFonts w:cs="Arial"/>
          <w:color w:val="auto"/>
        </w:rPr>
        <w:t xml:space="preserve"> </w:t>
      </w:r>
      <w:r w:rsidRPr="002F0687">
        <w:rPr>
          <w:rFonts w:cs="Arial"/>
          <w:color w:val="auto"/>
        </w:rPr>
        <w:t xml:space="preserve">use this standard referencing.  </w:t>
      </w:r>
    </w:p>
    <w:p w14:paraId="6D04D42C" w14:textId="77777777" w:rsidR="00CB756D" w:rsidRPr="002F0687" w:rsidRDefault="00CB756D" w:rsidP="00CD26A1">
      <w:pPr>
        <w:pStyle w:val="CERnon-indent"/>
        <w:rPr>
          <w:rFonts w:cs="Arial"/>
          <w:color w:val="auto"/>
        </w:rPr>
      </w:pPr>
      <w:r w:rsidRPr="002F0687">
        <w:rPr>
          <w:rFonts w:cs="Arial"/>
          <w:color w:val="auto"/>
        </w:rPr>
        <w:t>When using a standard payment method</w:t>
      </w:r>
      <w:r w:rsidR="00133708" w:rsidRPr="002F0687">
        <w:rPr>
          <w:rFonts w:cs="Arial"/>
          <w:color w:val="auto"/>
        </w:rPr>
        <w:t xml:space="preserve">, as described in section </w:t>
      </w:r>
      <w:r w:rsidR="008F18F5">
        <w:fldChar w:fldCharType="begin"/>
      </w:r>
      <w:r w:rsidR="008F18F5">
        <w:instrText xml:space="preserve"> REF _Ref165967826 \r \h  \* MERGEFORMAT </w:instrText>
      </w:r>
      <w:r w:rsidR="008F18F5">
        <w:fldChar w:fldCharType="separate"/>
      </w:r>
      <w:r w:rsidR="00BF0300" w:rsidRPr="002F0687">
        <w:rPr>
          <w:rFonts w:cs="Arial"/>
          <w:color w:val="auto"/>
        </w:rPr>
        <w:t>2.5.1</w:t>
      </w:r>
      <w:r w:rsidR="008F18F5">
        <w:fldChar w:fldCharType="end"/>
      </w:r>
      <w:r w:rsidRPr="002F0687">
        <w:rPr>
          <w:rFonts w:cs="Arial"/>
          <w:color w:val="auto"/>
        </w:rPr>
        <w:t>, the Participant’s bank will allow a payment reference of 18 characters that will appear on the relevant MO’s bank account statement.  This reference will be prescribed by the MO</w:t>
      </w:r>
      <w:r w:rsidR="00133708" w:rsidRPr="002F0687">
        <w:rPr>
          <w:rFonts w:cs="Arial"/>
          <w:color w:val="auto"/>
        </w:rPr>
        <w:t xml:space="preserve"> and must be used by Participants, as detailed in section </w:t>
      </w:r>
      <w:r w:rsidR="008F18F5">
        <w:fldChar w:fldCharType="begin"/>
      </w:r>
      <w:r w:rsidR="008F18F5">
        <w:instrText xml:space="preserve"> REF _Ref165967975 \r \h  \* MERGEFORMAT </w:instrText>
      </w:r>
      <w:r w:rsidR="008F18F5">
        <w:fldChar w:fldCharType="separate"/>
      </w:r>
      <w:r w:rsidR="00BF0300" w:rsidRPr="002F0687">
        <w:rPr>
          <w:rFonts w:cs="Arial"/>
          <w:color w:val="auto"/>
        </w:rPr>
        <w:t>2.5.4</w:t>
      </w:r>
      <w:r w:rsidR="008F18F5">
        <w:fldChar w:fldCharType="end"/>
      </w:r>
      <w:r w:rsidR="00133708" w:rsidRPr="002F0687">
        <w:rPr>
          <w:rFonts w:cs="Arial"/>
          <w:color w:val="auto"/>
        </w:rPr>
        <w:t>.</w:t>
      </w:r>
      <w:r w:rsidRPr="002F0687">
        <w:rPr>
          <w:rFonts w:cs="Arial"/>
          <w:color w:val="auto"/>
        </w:rPr>
        <w:t xml:space="preserve"> </w:t>
      </w:r>
      <w:r w:rsidR="00133708" w:rsidRPr="002F0687">
        <w:rPr>
          <w:rFonts w:cs="Arial"/>
          <w:color w:val="auto"/>
        </w:rPr>
        <w:t xml:space="preserve"> This </w:t>
      </w:r>
      <w:r w:rsidRPr="002F0687">
        <w:rPr>
          <w:rFonts w:cs="Arial"/>
          <w:color w:val="auto"/>
        </w:rPr>
        <w:t xml:space="preserve">will be used to allocate the receipt to the </w:t>
      </w:r>
      <w:r w:rsidR="00133708" w:rsidRPr="002F0687">
        <w:rPr>
          <w:rFonts w:cs="Arial"/>
          <w:color w:val="auto"/>
        </w:rPr>
        <w:t>relevant</w:t>
      </w:r>
      <w:r w:rsidRPr="002F0687">
        <w:rPr>
          <w:rFonts w:cs="Arial"/>
          <w:color w:val="auto"/>
        </w:rPr>
        <w:t xml:space="preserve"> Invoice  </w:t>
      </w:r>
    </w:p>
    <w:p w14:paraId="6D04D42D" w14:textId="77777777" w:rsidR="00CB756D" w:rsidRPr="002F0687" w:rsidRDefault="00CB756D" w:rsidP="00CD26A1">
      <w:pPr>
        <w:pStyle w:val="CERnon-indent"/>
        <w:rPr>
          <w:rFonts w:cs="Arial"/>
          <w:color w:val="auto"/>
        </w:rPr>
      </w:pPr>
      <w:r w:rsidRPr="002F0687">
        <w:rPr>
          <w:rFonts w:cs="Arial"/>
          <w:color w:val="auto"/>
        </w:rPr>
        <w:t xml:space="preserve">When using a same day payment method the Participant’s bank will allow up to 4 lines of text each with up to 35 characters.  </w:t>
      </w:r>
      <w:proofErr w:type="gramStart"/>
      <w:r w:rsidRPr="002F0687">
        <w:rPr>
          <w:rFonts w:cs="Arial"/>
          <w:color w:val="auto"/>
        </w:rPr>
        <w:t>Again</w:t>
      </w:r>
      <w:proofErr w:type="gramEnd"/>
      <w:r w:rsidRPr="002F0687">
        <w:rPr>
          <w:rFonts w:cs="Arial"/>
          <w:color w:val="auto"/>
        </w:rPr>
        <w:t xml:space="preserve"> part of this reference must contain the prescribed reference</w:t>
      </w:r>
      <w:r w:rsidR="00FF4600" w:rsidRPr="002F0687">
        <w:rPr>
          <w:rFonts w:cs="Arial"/>
          <w:color w:val="auto"/>
        </w:rPr>
        <w:t xml:space="preserve">, as described in section </w:t>
      </w:r>
      <w:r w:rsidR="008F18F5">
        <w:fldChar w:fldCharType="begin"/>
      </w:r>
      <w:r w:rsidR="008F18F5">
        <w:instrText xml:space="preserve"> REF _Ref165968360 \r \h  \* MERGEFORMAT </w:instrText>
      </w:r>
      <w:r w:rsidR="008F18F5">
        <w:fldChar w:fldCharType="separate"/>
      </w:r>
      <w:r w:rsidR="00BF0300" w:rsidRPr="002F0687">
        <w:rPr>
          <w:rFonts w:cs="Arial"/>
          <w:color w:val="auto"/>
        </w:rPr>
        <w:t>2.5.5</w:t>
      </w:r>
      <w:r w:rsidR="008F18F5">
        <w:fldChar w:fldCharType="end"/>
      </w:r>
      <w:r w:rsidR="00FF4600" w:rsidRPr="002F0687">
        <w:rPr>
          <w:rFonts w:cs="Arial"/>
          <w:color w:val="auto"/>
        </w:rPr>
        <w:t>,</w:t>
      </w:r>
      <w:r w:rsidRPr="002F0687">
        <w:rPr>
          <w:rFonts w:cs="Arial"/>
          <w:color w:val="auto"/>
        </w:rPr>
        <w:t xml:space="preserve"> that the MO will use to use allocate the receipt to the correct Invoice. </w:t>
      </w:r>
    </w:p>
    <w:p w14:paraId="6D04D42E" w14:textId="77777777" w:rsidR="00CB756D" w:rsidRPr="002F0687" w:rsidRDefault="00CB756D" w:rsidP="00CD26A1">
      <w:pPr>
        <w:pStyle w:val="APNUMHEAD3"/>
        <w:rPr>
          <w:color w:val="auto"/>
        </w:rPr>
      </w:pPr>
      <w:r w:rsidRPr="002F0687">
        <w:rPr>
          <w:color w:val="auto"/>
        </w:rPr>
        <w:t>References used by the MO</w:t>
      </w:r>
    </w:p>
    <w:p w14:paraId="6D04D42F" w14:textId="77777777" w:rsidR="00CB756D" w:rsidRPr="002F0687" w:rsidRDefault="00CB756D" w:rsidP="00CD26A1">
      <w:pPr>
        <w:pStyle w:val="CERnon-indent"/>
        <w:rPr>
          <w:rFonts w:cs="Arial"/>
          <w:color w:val="auto"/>
        </w:rPr>
      </w:pPr>
      <w:r w:rsidRPr="002F0687">
        <w:rPr>
          <w:rFonts w:cs="Arial"/>
          <w:color w:val="auto"/>
        </w:rPr>
        <w:t xml:space="preserve">Participants will on registration be given a Participant Identification Number or Short Name (Participant ID).  This will be in the format </w:t>
      </w:r>
      <w:proofErr w:type="spellStart"/>
      <w:r w:rsidRPr="002F0687">
        <w:rPr>
          <w:rFonts w:cs="Arial"/>
          <w:color w:val="auto"/>
        </w:rPr>
        <w:t>PT_nnnnnn</w:t>
      </w:r>
      <w:proofErr w:type="spellEnd"/>
      <w:r w:rsidRPr="002F0687">
        <w:rPr>
          <w:rFonts w:cs="Arial"/>
          <w:color w:val="auto"/>
        </w:rPr>
        <w:t xml:space="preserve">, where </w:t>
      </w:r>
      <w:proofErr w:type="spellStart"/>
      <w:r w:rsidRPr="002F0687">
        <w:rPr>
          <w:rFonts w:cs="Arial"/>
          <w:color w:val="auto"/>
        </w:rPr>
        <w:t>nnnnnn</w:t>
      </w:r>
      <w:proofErr w:type="spellEnd"/>
      <w:r w:rsidRPr="002F0687">
        <w:rPr>
          <w:rFonts w:cs="Arial"/>
          <w:color w:val="auto"/>
        </w:rPr>
        <w:t xml:space="preserve"> is a six digit, unique integer.  </w:t>
      </w:r>
    </w:p>
    <w:p w14:paraId="6D04D430" w14:textId="77777777" w:rsidR="00CB756D" w:rsidRPr="002F0687" w:rsidRDefault="00CB756D" w:rsidP="00CD26A1">
      <w:pPr>
        <w:pStyle w:val="CERnon-indent"/>
        <w:rPr>
          <w:rFonts w:cs="Arial"/>
          <w:color w:val="auto"/>
        </w:rPr>
      </w:pPr>
      <w:r w:rsidRPr="002F0687">
        <w:rPr>
          <w:rFonts w:cs="Arial"/>
          <w:color w:val="auto"/>
        </w:rPr>
        <w:t xml:space="preserve">Invoices will be raised with a format of </w:t>
      </w:r>
      <w:proofErr w:type="spellStart"/>
      <w:r w:rsidRPr="002F0687">
        <w:rPr>
          <w:rFonts w:cs="Arial"/>
          <w:color w:val="auto"/>
        </w:rPr>
        <w:t>mmmmmmmmmm</w:t>
      </w:r>
      <w:proofErr w:type="spellEnd"/>
      <w:r w:rsidRPr="002F0687">
        <w:rPr>
          <w:rFonts w:cs="Arial"/>
          <w:color w:val="auto"/>
        </w:rPr>
        <w:t xml:space="preserve"> (10 </w:t>
      </w:r>
      <w:r w:rsidR="000466AF" w:rsidRPr="002F0687">
        <w:rPr>
          <w:rFonts w:cs="Arial"/>
          <w:color w:val="auto"/>
        </w:rPr>
        <w:t>digits</w:t>
      </w:r>
      <w:r w:rsidRPr="002F0687">
        <w:rPr>
          <w:rFonts w:cs="Arial"/>
          <w:color w:val="auto"/>
        </w:rPr>
        <w:t xml:space="preserve">).  </w:t>
      </w:r>
    </w:p>
    <w:p w14:paraId="6D04D431" w14:textId="77777777" w:rsidR="00CB756D" w:rsidRPr="002F0687" w:rsidRDefault="00CB756D" w:rsidP="00CD26A1">
      <w:pPr>
        <w:pStyle w:val="CERnon-indent"/>
        <w:rPr>
          <w:rFonts w:cs="Arial"/>
          <w:color w:val="auto"/>
        </w:rPr>
      </w:pPr>
      <w:r w:rsidRPr="002F0687">
        <w:rPr>
          <w:rFonts w:cs="Arial"/>
          <w:color w:val="auto"/>
        </w:rPr>
        <w:t xml:space="preserve">In order to successfully identify both the Participant and the Invoice that is being paid a combination of both the Participant ID and the invoice number </w:t>
      </w:r>
      <w:r w:rsidR="000466AF" w:rsidRPr="002F0687">
        <w:rPr>
          <w:rFonts w:cs="Arial"/>
          <w:color w:val="auto"/>
        </w:rPr>
        <w:t>is</w:t>
      </w:r>
      <w:r w:rsidRPr="002F0687">
        <w:rPr>
          <w:rFonts w:cs="Arial"/>
          <w:color w:val="auto"/>
        </w:rPr>
        <w:t xml:space="preserve"> required to be used as the payment reference. </w:t>
      </w:r>
    </w:p>
    <w:p w14:paraId="6D04D432" w14:textId="77777777" w:rsidR="00CB756D" w:rsidRPr="002F0687" w:rsidRDefault="00CB756D" w:rsidP="00CD26A1">
      <w:pPr>
        <w:pStyle w:val="APNUMHEAD3"/>
        <w:rPr>
          <w:color w:val="auto"/>
        </w:rPr>
      </w:pPr>
      <w:bookmarkStart w:id="23" w:name="_Ref165967975"/>
      <w:r w:rsidRPr="002F0687">
        <w:rPr>
          <w:color w:val="auto"/>
        </w:rPr>
        <w:t>Standard Payments</w:t>
      </w:r>
      <w:bookmarkEnd w:id="23"/>
    </w:p>
    <w:p w14:paraId="6D04D433" w14:textId="77777777" w:rsidR="00CB756D" w:rsidRPr="002F0687" w:rsidRDefault="00AB67B7" w:rsidP="00CD26A1">
      <w:pPr>
        <w:pStyle w:val="CERnon-indent"/>
        <w:rPr>
          <w:rFonts w:cs="Arial"/>
          <w:color w:val="auto"/>
        </w:rPr>
      </w:pPr>
      <w:r w:rsidRPr="002F0687">
        <w:rPr>
          <w:rFonts w:cs="Arial"/>
          <w:color w:val="auto"/>
        </w:rPr>
        <w:t>Participants us</w:t>
      </w:r>
      <w:r w:rsidR="001E29A6" w:rsidRPr="002F0687">
        <w:rPr>
          <w:rFonts w:cs="Arial"/>
          <w:color w:val="auto"/>
        </w:rPr>
        <w:t>ing the standard payment method</w:t>
      </w:r>
      <w:r w:rsidRPr="002F0687">
        <w:rPr>
          <w:rFonts w:cs="Arial"/>
          <w:color w:val="auto"/>
        </w:rPr>
        <w:t xml:space="preserve"> shall use the following format:</w:t>
      </w:r>
    </w:p>
    <w:p w14:paraId="6D04D434" w14:textId="77777777" w:rsidR="00CB756D" w:rsidRPr="002F0687" w:rsidRDefault="00CB756D" w:rsidP="00CD26A1">
      <w:pPr>
        <w:pStyle w:val="CERNORMAL"/>
        <w:rPr>
          <w:color w:val="auto"/>
        </w:rPr>
      </w:pPr>
      <w:r w:rsidRPr="002F0687">
        <w:rPr>
          <w:color w:val="auto"/>
        </w:rPr>
        <w:t xml:space="preserve">Format: </w:t>
      </w:r>
      <w:r w:rsidRPr="002F0687">
        <w:rPr>
          <w:color w:val="auto"/>
        </w:rPr>
        <w:tab/>
      </w:r>
      <w:r w:rsidRPr="002F0687">
        <w:rPr>
          <w:color w:val="auto"/>
        </w:rPr>
        <w:tab/>
      </w:r>
      <w:r w:rsidR="00574033" w:rsidRPr="002F0687">
        <w:rPr>
          <w:color w:val="auto"/>
        </w:rPr>
        <w:t>N</w:t>
      </w:r>
      <w:r w:rsidRPr="002F0687">
        <w:rPr>
          <w:color w:val="auto"/>
        </w:rPr>
        <w:t>[Invoice number]A[Participant ID (without any PT_ prefix)]</w:t>
      </w:r>
    </w:p>
    <w:p w14:paraId="6D04D435" w14:textId="77777777" w:rsidR="00CB756D" w:rsidRPr="002F0687" w:rsidRDefault="00CB756D" w:rsidP="00CD26A1">
      <w:pPr>
        <w:pStyle w:val="CERnon-indent"/>
        <w:rPr>
          <w:rFonts w:cs="Arial"/>
          <w:color w:val="auto"/>
        </w:rPr>
      </w:pPr>
      <w:r w:rsidRPr="002F0687">
        <w:rPr>
          <w:rFonts w:cs="Arial"/>
          <w:color w:val="auto"/>
        </w:rPr>
        <w:t>Example:</w:t>
      </w:r>
      <w:r w:rsidRPr="002F0687">
        <w:rPr>
          <w:rFonts w:cs="Arial"/>
          <w:color w:val="auto"/>
        </w:rPr>
        <w:tab/>
      </w:r>
    </w:p>
    <w:p w14:paraId="6D04D436" w14:textId="77777777" w:rsidR="00CB756D" w:rsidRPr="002F0687" w:rsidRDefault="00CB756D" w:rsidP="00CD26A1">
      <w:pPr>
        <w:pStyle w:val="CERNONINDENTBULLET2"/>
        <w:rPr>
          <w:color w:val="auto"/>
        </w:rPr>
      </w:pPr>
      <w:r w:rsidRPr="002F0687">
        <w:rPr>
          <w:color w:val="auto"/>
        </w:rPr>
        <w:t>Participant PT_</w:t>
      </w:r>
      <w:r w:rsidR="00D1654C" w:rsidRPr="002F0687">
        <w:rPr>
          <w:color w:val="auto"/>
        </w:rPr>
        <w:t>000</w:t>
      </w:r>
      <w:r w:rsidRPr="002F0687">
        <w:rPr>
          <w:color w:val="auto"/>
        </w:rPr>
        <w:t>321 must pay Invoice 0987654321</w:t>
      </w:r>
    </w:p>
    <w:p w14:paraId="6D04D437" w14:textId="77777777" w:rsidR="00382422" w:rsidRPr="002F0687" w:rsidRDefault="009A2ABD" w:rsidP="00382422">
      <w:pPr>
        <w:pStyle w:val="CERNONINDENTBULLET2"/>
        <w:rPr>
          <w:color w:val="auto"/>
        </w:rPr>
      </w:pPr>
      <w:r w:rsidRPr="002F0687">
        <w:rPr>
          <w:color w:val="auto"/>
        </w:rPr>
        <w:t xml:space="preserve">The Participant </w:t>
      </w:r>
      <w:r w:rsidR="00CB756D" w:rsidRPr="002F0687">
        <w:rPr>
          <w:color w:val="auto"/>
        </w:rPr>
        <w:t>suppl</w:t>
      </w:r>
      <w:r w:rsidRPr="002F0687">
        <w:rPr>
          <w:color w:val="auto"/>
        </w:rPr>
        <w:t>ies</w:t>
      </w:r>
      <w:r w:rsidR="00CB756D" w:rsidRPr="002F0687">
        <w:rPr>
          <w:color w:val="auto"/>
        </w:rPr>
        <w:t xml:space="preserve"> a payment reference </w:t>
      </w:r>
      <w:r w:rsidR="00574033" w:rsidRPr="002F0687">
        <w:rPr>
          <w:color w:val="auto"/>
        </w:rPr>
        <w:t>N</w:t>
      </w:r>
      <w:r w:rsidR="00CB756D" w:rsidRPr="002F0687">
        <w:rPr>
          <w:color w:val="auto"/>
        </w:rPr>
        <w:t>0987654321A</w:t>
      </w:r>
      <w:r w:rsidR="00D1654C" w:rsidRPr="002F0687">
        <w:rPr>
          <w:color w:val="auto"/>
        </w:rPr>
        <w:t>000</w:t>
      </w:r>
      <w:r w:rsidR="00CB756D" w:rsidRPr="002F0687">
        <w:rPr>
          <w:color w:val="auto"/>
        </w:rPr>
        <w:t>321</w:t>
      </w:r>
    </w:p>
    <w:p w14:paraId="6D04D438" w14:textId="77777777" w:rsidR="00E279B7" w:rsidRPr="002F0687" w:rsidRDefault="00E279B7" w:rsidP="00E279B7">
      <w:pPr>
        <w:pStyle w:val="CERNONINDENTBULLET2"/>
        <w:numPr>
          <w:ilvl w:val="0"/>
          <w:numId w:val="0"/>
        </w:numPr>
      </w:pPr>
      <w:r w:rsidRPr="002F0687">
        <w:t>For aggregate payments the Invoice number should be for the highest priority Invoice that needs payment for the given Account, Invoice type and due date.</w:t>
      </w:r>
    </w:p>
    <w:p w14:paraId="6D04D439" w14:textId="77777777" w:rsidR="00CA22CA" w:rsidRPr="002F0687" w:rsidRDefault="00CA22CA" w:rsidP="00E279B7">
      <w:pPr>
        <w:pStyle w:val="CERNONINDENTBULLET2"/>
        <w:numPr>
          <w:ilvl w:val="0"/>
          <w:numId w:val="0"/>
        </w:numPr>
      </w:pPr>
    </w:p>
    <w:p w14:paraId="6D04D43A" w14:textId="77777777" w:rsidR="00CB756D" w:rsidRPr="002F0687" w:rsidRDefault="00CB756D" w:rsidP="00CD26A1">
      <w:pPr>
        <w:pStyle w:val="APNUMHEAD3"/>
        <w:rPr>
          <w:color w:val="auto"/>
        </w:rPr>
      </w:pPr>
      <w:bookmarkStart w:id="24" w:name="_Ref165968360"/>
      <w:r w:rsidRPr="002F0687">
        <w:rPr>
          <w:color w:val="auto"/>
        </w:rPr>
        <w:t>Same Day Payments</w:t>
      </w:r>
      <w:bookmarkEnd w:id="24"/>
    </w:p>
    <w:p w14:paraId="6D04D43B" w14:textId="77777777" w:rsidR="001E29A6" w:rsidRPr="002F0687" w:rsidRDefault="001E29A6" w:rsidP="00CD26A1">
      <w:pPr>
        <w:pStyle w:val="CERnon-indent"/>
        <w:rPr>
          <w:rFonts w:cs="Arial"/>
          <w:color w:val="auto"/>
        </w:rPr>
      </w:pPr>
      <w:r w:rsidRPr="002F0687">
        <w:rPr>
          <w:rFonts w:cs="Arial"/>
          <w:color w:val="auto"/>
        </w:rPr>
        <w:t>Participants using the same day payment method shall use the following format</w:t>
      </w:r>
      <w:r w:rsidR="00574033" w:rsidRPr="002F0687">
        <w:rPr>
          <w:rFonts w:cs="Arial"/>
          <w:color w:val="auto"/>
          <w:szCs w:val="22"/>
        </w:rPr>
        <w:t xml:space="preserve"> in the description (4 lines of free text available on Same Day Payment Advice)</w:t>
      </w:r>
      <w:r w:rsidRPr="002F0687">
        <w:rPr>
          <w:rFonts w:cs="Arial"/>
          <w:color w:val="auto"/>
        </w:rPr>
        <w:t>:</w:t>
      </w:r>
    </w:p>
    <w:p w14:paraId="6D04D43C" w14:textId="77777777" w:rsidR="00CB756D" w:rsidRPr="002F0687" w:rsidRDefault="00CB756D" w:rsidP="00CD26A1">
      <w:pPr>
        <w:pStyle w:val="CERNORMAL"/>
        <w:rPr>
          <w:color w:val="auto"/>
        </w:rPr>
      </w:pPr>
      <w:r w:rsidRPr="002F0687">
        <w:rPr>
          <w:color w:val="auto"/>
        </w:rPr>
        <w:t xml:space="preserve">Format: </w:t>
      </w:r>
      <w:r w:rsidRPr="002F0687">
        <w:rPr>
          <w:color w:val="auto"/>
        </w:rPr>
        <w:tab/>
      </w:r>
      <w:r w:rsidRPr="002F0687">
        <w:rPr>
          <w:color w:val="auto"/>
        </w:rPr>
        <w:tab/>
        <w:t>&lt;SMO&gt;</w:t>
      </w:r>
      <w:r w:rsidR="00574033" w:rsidRPr="002F0687">
        <w:rPr>
          <w:color w:val="auto"/>
        </w:rPr>
        <w:t>N</w:t>
      </w:r>
      <w:r w:rsidRPr="002F0687">
        <w:rPr>
          <w:color w:val="auto"/>
        </w:rPr>
        <w:t>[Invoice number]A[Participant ID (without any PT_ prefix)]&lt;/SMO&gt;</w:t>
      </w:r>
    </w:p>
    <w:p w14:paraId="6D04D43D" w14:textId="77777777" w:rsidR="00CB756D" w:rsidRPr="002F0687" w:rsidRDefault="00CB756D" w:rsidP="00CD26A1">
      <w:pPr>
        <w:pStyle w:val="CERnon-indent"/>
        <w:rPr>
          <w:color w:val="auto"/>
        </w:rPr>
      </w:pPr>
      <w:r w:rsidRPr="002F0687">
        <w:rPr>
          <w:color w:val="auto"/>
        </w:rPr>
        <w:t>Example:</w:t>
      </w:r>
      <w:r w:rsidRPr="002F0687">
        <w:rPr>
          <w:color w:val="auto"/>
        </w:rPr>
        <w:tab/>
      </w:r>
    </w:p>
    <w:p w14:paraId="6D04D43E" w14:textId="77777777" w:rsidR="00CB756D" w:rsidRPr="002F0687" w:rsidRDefault="00CB756D" w:rsidP="00CD26A1">
      <w:pPr>
        <w:pStyle w:val="CERNONINDENTBULLET2"/>
        <w:rPr>
          <w:color w:val="auto"/>
        </w:rPr>
      </w:pPr>
      <w:r w:rsidRPr="002F0687">
        <w:rPr>
          <w:color w:val="auto"/>
        </w:rPr>
        <w:t xml:space="preserve">Participant PT_012345 must pay Invoice 0123456789 </w:t>
      </w:r>
    </w:p>
    <w:p w14:paraId="6D04D43F" w14:textId="77777777" w:rsidR="00CB756D" w:rsidRPr="002F0687" w:rsidRDefault="001E29A6" w:rsidP="00CD26A1">
      <w:pPr>
        <w:pStyle w:val="CERNONINDENTBULLET2"/>
        <w:rPr>
          <w:color w:val="auto"/>
        </w:rPr>
      </w:pPr>
      <w:r w:rsidRPr="002F0687">
        <w:rPr>
          <w:color w:val="auto"/>
        </w:rPr>
        <w:t>The Participant</w:t>
      </w:r>
      <w:r w:rsidR="00CB756D" w:rsidRPr="002F0687">
        <w:rPr>
          <w:color w:val="auto"/>
        </w:rPr>
        <w:t xml:space="preserve"> suppl</w:t>
      </w:r>
      <w:r w:rsidRPr="002F0687">
        <w:rPr>
          <w:color w:val="auto"/>
        </w:rPr>
        <w:t>ies</w:t>
      </w:r>
      <w:r w:rsidR="00CB756D" w:rsidRPr="002F0687">
        <w:rPr>
          <w:color w:val="auto"/>
        </w:rPr>
        <w:t xml:space="preserve"> the user reference &lt;SMO&gt;</w:t>
      </w:r>
      <w:r w:rsidR="00574033" w:rsidRPr="002F0687">
        <w:rPr>
          <w:color w:val="auto"/>
        </w:rPr>
        <w:t>N</w:t>
      </w:r>
      <w:r w:rsidR="00CB756D" w:rsidRPr="002F0687">
        <w:rPr>
          <w:color w:val="auto"/>
        </w:rPr>
        <w:t>0123456789A012345&lt;/SMO&gt;</w:t>
      </w:r>
    </w:p>
    <w:p w14:paraId="6D04D440" w14:textId="77777777" w:rsidR="00E279B7" w:rsidRPr="002F0687" w:rsidRDefault="00E279B7" w:rsidP="00E279B7">
      <w:pPr>
        <w:pStyle w:val="CERNONINDENTBULLET2"/>
        <w:numPr>
          <w:ilvl w:val="0"/>
          <w:numId w:val="0"/>
        </w:numPr>
        <w:rPr>
          <w:color w:val="auto"/>
        </w:rPr>
      </w:pPr>
      <w:r w:rsidRPr="002F0687">
        <w:rPr>
          <w:color w:val="auto"/>
        </w:rPr>
        <w:t>For aggregate payments t</w:t>
      </w:r>
      <w:r w:rsidR="00AE3D0A" w:rsidRPr="002F0687">
        <w:rPr>
          <w:color w:val="auto"/>
        </w:rPr>
        <w:t>he</w:t>
      </w:r>
      <w:r w:rsidRPr="002F0687">
        <w:rPr>
          <w:color w:val="auto"/>
        </w:rPr>
        <w:t xml:space="preserve"> Invoice number should be for the highest priority Invoice that needs payment for the given Account, Invoice type and due date.</w:t>
      </w:r>
    </w:p>
    <w:p w14:paraId="6D04D441" w14:textId="77777777" w:rsidR="00574033" w:rsidRPr="002F0687" w:rsidRDefault="00CB756D" w:rsidP="00574033">
      <w:pPr>
        <w:rPr>
          <w:rFonts w:cs="Arial"/>
          <w:szCs w:val="22"/>
        </w:rPr>
      </w:pPr>
      <w:r w:rsidRPr="002F0687">
        <w:t>Participants are not required to provide further information on the 4 lines of text available for messages, however, the above reference in the required format must appear somewhere within those 4 lines.</w:t>
      </w:r>
      <w:r w:rsidR="001E29A6" w:rsidRPr="002F0687">
        <w:t xml:space="preserve">  Nothing but the reference shall be recognised by the MO.</w:t>
      </w:r>
      <w:r w:rsidR="00574033" w:rsidRPr="002F0687">
        <w:rPr>
          <w:rFonts w:cs="Arial"/>
          <w:szCs w:val="22"/>
        </w:rPr>
        <w:t xml:space="preserve"> </w:t>
      </w:r>
    </w:p>
    <w:p w14:paraId="6D04D442" w14:textId="77777777" w:rsidR="00574033" w:rsidRPr="002F0687" w:rsidRDefault="00574033" w:rsidP="00574033">
      <w:pPr>
        <w:rPr>
          <w:rFonts w:cs="Arial"/>
        </w:rPr>
      </w:pPr>
      <w:r w:rsidRPr="002F0687">
        <w:rPr>
          <w:rFonts w:cs="Arial"/>
          <w:szCs w:val="22"/>
        </w:rPr>
        <w:t>Market Participants should comply with the above requirements for the details required for Same Day Payments. If, and only if,  technical constraints on the Participant’s Banks Payment system mean this is not possible, then they should use the 18 character reference field on the Same Day Payment Advice to specify the Invoice and Participant ID</w:t>
      </w:r>
    </w:p>
    <w:p w14:paraId="6D04D443" w14:textId="77777777" w:rsidR="00574033" w:rsidRPr="002F0687" w:rsidRDefault="00574033" w:rsidP="00574033">
      <w:pPr>
        <w:rPr>
          <w:rFonts w:cs="Arial"/>
          <w:szCs w:val="22"/>
        </w:rPr>
      </w:pPr>
      <w:r w:rsidRPr="002F0687">
        <w:rPr>
          <w:rFonts w:cs="Arial"/>
          <w:szCs w:val="22"/>
        </w:rPr>
        <w:t>Format: N[Invoice number]A[Participant ID (without any PT_ prefix)]</w:t>
      </w:r>
    </w:p>
    <w:p w14:paraId="6D04D444" w14:textId="77777777" w:rsidR="00574033" w:rsidRPr="002F0687" w:rsidRDefault="00574033" w:rsidP="00574033">
      <w:pPr>
        <w:rPr>
          <w:rFonts w:cs="Arial"/>
          <w:szCs w:val="22"/>
        </w:rPr>
      </w:pPr>
      <w:r w:rsidRPr="002F0687">
        <w:rPr>
          <w:rFonts w:cs="Arial"/>
          <w:szCs w:val="22"/>
        </w:rPr>
        <w:t>Example:</w:t>
      </w:r>
    </w:p>
    <w:p w14:paraId="6D04D445" w14:textId="77777777" w:rsidR="00574033" w:rsidRPr="002F0687" w:rsidRDefault="00574033" w:rsidP="00574033">
      <w:pPr>
        <w:rPr>
          <w:rFonts w:cs="Arial"/>
          <w:szCs w:val="22"/>
        </w:rPr>
      </w:pPr>
      <w:r w:rsidRPr="002F0687">
        <w:rPr>
          <w:rFonts w:ascii="Symbol" w:hAnsi="Symbol" w:cs="Symbol"/>
          <w:szCs w:val="22"/>
        </w:rPr>
        <w:t></w:t>
      </w:r>
      <w:r w:rsidRPr="002F0687">
        <w:rPr>
          <w:rFonts w:ascii="Symbol" w:hAnsi="Symbol" w:cs="Symbol"/>
          <w:szCs w:val="22"/>
        </w:rPr>
        <w:t></w:t>
      </w:r>
      <w:r w:rsidRPr="002F0687">
        <w:rPr>
          <w:rFonts w:cs="Arial"/>
          <w:szCs w:val="22"/>
        </w:rPr>
        <w:t>Participant PT_000321 must pay Invoice 0987654321</w:t>
      </w:r>
    </w:p>
    <w:p w14:paraId="6D04D446" w14:textId="77777777" w:rsidR="00CB756D" w:rsidRPr="002F0687" w:rsidRDefault="00574033" w:rsidP="00574033">
      <w:pPr>
        <w:pStyle w:val="CERnon-indent"/>
        <w:rPr>
          <w:color w:val="auto"/>
        </w:rPr>
      </w:pPr>
      <w:r w:rsidRPr="002F0687">
        <w:rPr>
          <w:rFonts w:ascii="Symbol" w:hAnsi="Symbol" w:cs="Symbol"/>
          <w:color w:val="auto"/>
          <w:szCs w:val="22"/>
        </w:rPr>
        <w:t></w:t>
      </w:r>
      <w:r w:rsidRPr="002F0687">
        <w:rPr>
          <w:rFonts w:ascii="Symbol" w:hAnsi="Symbol" w:cs="Symbol"/>
          <w:color w:val="auto"/>
          <w:szCs w:val="22"/>
        </w:rPr>
        <w:t></w:t>
      </w:r>
      <w:r w:rsidRPr="002F0687">
        <w:rPr>
          <w:rFonts w:cs="Arial"/>
          <w:color w:val="auto"/>
          <w:szCs w:val="22"/>
        </w:rPr>
        <w:t>The Participant supplies a payment reference N0987654321A000321</w:t>
      </w:r>
    </w:p>
    <w:p w14:paraId="6D04D447" w14:textId="77777777" w:rsidR="00CB756D" w:rsidRPr="002F0687" w:rsidRDefault="00CB756D" w:rsidP="00CD26A1">
      <w:pPr>
        <w:pStyle w:val="APNUMHEAD2"/>
      </w:pPr>
      <w:bookmarkStart w:id="25" w:name="_Toc356218108"/>
      <w:r w:rsidRPr="002F0687">
        <w:t>Payments to Participants</w:t>
      </w:r>
      <w:bookmarkEnd w:id="25"/>
    </w:p>
    <w:p w14:paraId="6D04D448" w14:textId="77777777" w:rsidR="00CB756D" w:rsidRPr="002F0687" w:rsidRDefault="00CB756D" w:rsidP="00CD26A1">
      <w:pPr>
        <w:pStyle w:val="CERnon-indent"/>
        <w:rPr>
          <w:color w:val="auto"/>
        </w:rPr>
      </w:pPr>
      <w:r w:rsidRPr="002F0687">
        <w:rPr>
          <w:color w:val="auto"/>
        </w:rPr>
        <w:t xml:space="preserve">All payments made to Participants will be made by same day payments in order to comply with the payment timelines of the Code. The MO will use the 4 lines of text on each payment as described in </w:t>
      </w:r>
      <w:r w:rsidR="00296FB6" w:rsidRPr="002F0687">
        <w:rPr>
          <w:color w:val="auto"/>
        </w:rPr>
        <w:t>2</w:t>
      </w:r>
      <w:r w:rsidRPr="002F0687">
        <w:rPr>
          <w:color w:val="auto"/>
        </w:rPr>
        <w:t xml:space="preserve">.5.2 to provide information to the Participant. The information provided will include the name of the MO, the name of the Participant, the Self Billing Invoice number being paid and the payment type to which the invoice relates (Trading, Capacity or Market Operator).  </w:t>
      </w:r>
    </w:p>
    <w:p w14:paraId="6D04D449" w14:textId="77777777" w:rsidR="003A7D79" w:rsidRPr="002F0687" w:rsidRDefault="00CB756D" w:rsidP="00CD26A1">
      <w:pPr>
        <w:pStyle w:val="CERnon-indent"/>
        <w:rPr>
          <w:color w:val="auto"/>
        </w:rPr>
      </w:pPr>
      <w:r w:rsidRPr="002F0687">
        <w:rPr>
          <w:color w:val="auto"/>
        </w:rPr>
        <w:t xml:space="preserve">In accordance with the Code, payments due to Participants will be made by </w:t>
      </w:r>
      <w:r w:rsidR="003A7D79" w:rsidRPr="002F0687">
        <w:rPr>
          <w:color w:val="auto"/>
        </w:rPr>
        <w:t xml:space="preserve">17:00 </w:t>
      </w:r>
      <w:r w:rsidRPr="002F0687">
        <w:rPr>
          <w:color w:val="auto"/>
        </w:rPr>
        <w:t xml:space="preserve">on the </w:t>
      </w:r>
      <w:r w:rsidR="003A7D79" w:rsidRPr="002F0687">
        <w:rPr>
          <w:color w:val="auto"/>
        </w:rPr>
        <w:t>Self Billing Invoice</w:t>
      </w:r>
      <w:r w:rsidRPr="002F0687">
        <w:rPr>
          <w:color w:val="auto"/>
        </w:rPr>
        <w:t xml:space="preserve"> due date.</w:t>
      </w:r>
    </w:p>
    <w:p w14:paraId="6D04D44A" w14:textId="77777777" w:rsidR="00CB756D" w:rsidRPr="002F0687" w:rsidRDefault="00F82D67" w:rsidP="00CD26A1">
      <w:pPr>
        <w:pStyle w:val="CERnon-indent"/>
        <w:rPr>
          <w:color w:val="auto"/>
        </w:rPr>
      </w:pPr>
      <w:r w:rsidRPr="002F0687">
        <w:rPr>
          <w:color w:val="auto"/>
        </w:rPr>
        <w:t xml:space="preserve">The </w:t>
      </w:r>
      <w:r w:rsidR="003A7D79" w:rsidRPr="002F0687">
        <w:rPr>
          <w:color w:val="auto"/>
        </w:rPr>
        <w:t xml:space="preserve">MO will assume that </w:t>
      </w:r>
      <w:r w:rsidRPr="002F0687">
        <w:rPr>
          <w:color w:val="auto"/>
        </w:rPr>
        <w:t xml:space="preserve">the accounts specified by Participants for the receipt of </w:t>
      </w:r>
      <w:r w:rsidR="003A7D79" w:rsidRPr="002F0687">
        <w:rPr>
          <w:color w:val="auto"/>
        </w:rPr>
        <w:t xml:space="preserve">payments will be </w:t>
      </w:r>
      <w:r w:rsidRPr="002F0687">
        <w:rPr>
          <w:color w:val="auto"/>
        </w:rPr>
        <w:t>opened in the same currency as their Currency Zone.</w:t>
      </w:r>
    </w:p>
    <w:p w14:paraId="6D04D44B" w14:textId="77777777" w:rsidR="00CB756D" w:rsidRPr="002F0687" w:rsidRDefault="00CB756D" w:rsidP="00CD26A1">
      <w:pPr>
        <w:pStyle w:val="APNUMHEAD2"/>
      </w:pPr>
      <w:bookmarkStart w:id="26" w:name="_Toc356218109"/>
      <w:r w:rsidRPr="002F0687">
        <w:t xml:space="preserve">Collateral </w:t>
      </w:r>
      <w:r w:rsidR="002C763E" w:rsidRPr="002F0687">
        <w:t xml:space="preserve">Reserve </w:t>
      </w:r>
      <w:r w:rsidRPr="002F0687">
        <w:t>Accounts</w:t>
      </w:r>
      <w:bookmarkEnd w:id="26"/>
    </w:p>
    <w:p w14:paraId="6D04D44C" w14:textId="77777777" w:rsidR="00CB756D" w:rsidRDefault="00CB756D" w:rsidP="00CD26A1">
      <w:pPr>
        <w:pStyle w:val="CERnon-indent"/>
        <w:rPr>
          <w:color w:val="auto"/>
        </w:rPr>
      </w:pPr>
      <w:r w:rsidRPr="002F0687">
        <w:rPr>
          <w:color w:val="auto"/>
        </w:rPr>
        <w:t xml:space="preserve">Under the Code, if a Participant chooses to hold their Required Credit Cover in the form of cash then they will need to open a Collateral Reserve Account, which will be held in the </w:t>
      </w:r>
      <w:r w:rsidR="00564582" w:rsidRPr="002F0687">
        <w:rPr>
          <w:color w:val="auto"/>
        </w:rPr>
        <w:t xml:space="preserve">sole </w:t>
      </w:r>
      <w:r w:rsidRPr="002F0687">
        <w:rPr>
          <w:color w:val="auto"/>
        </w:rPr>
        <w:t xml:space="preserve">name of the MO, with the SEM Bank.  The Collateral Reserve Account will be held on trust in accordance with the Code.  </w:t>
      </w:r>
    </w:p>
    <w:p w14:paraId="6D04D44D" w14:textId="77777777" w:rsidR="00874FD1" w:rsidRPr="002F0687" w:rsidRDefault="00874FD1" w:rsidP="00CD26A1">
      <w:pPr>
        <w:pStyle w:val="CERnon-indent"/>
        <w:rPr>
          <w:color w:val="auto"/>
        </w:rPr>
      </w:pPr>
      <w:r w:rsidRPr="002B665E">
        <w:t xml:space="preserve">If a Participant </w:t>
      </w:r>
      <w:r>
        <w:t>elects</w:t>
      </w:r>
      <w:r w:rsidRPr="002B665E">
        <w:t xml:space="preserve"> to </w:t>
      </w:r>
      <w:r>
        <w:t xml:space="preserve">provide a cash deposit as </w:t>
      </w:r>
      <w:r w:rsidRPr="002B665E">
        <w:t xml:space="preserve">part of its Credit Cover, then it </w:t>
      </w:r>
      <w:r>
        <w:t>shall fully comply with the requirements in relation to the provision of cash collateral as set out in paragraphs 6.19, 6.20 and 6.21 and in paragraphs 6.160-6.162 of the Code including, without limitation, the Deed of Charge and Account Security and/or any other Account Security Requirement).</w:t>
      </w:r>
    </w:p>
    <w:p w14:paraId="6D04D44E" w14:textId="77777777" w:rsidR="00CB756D" w:rsidRPr="002F0687" w:rsidRDefault="00CB756D" w:rsidP="00CD26A1">
      <w:pPr>
        <w:pStyle w:val="CERnon-indent"/>
        <w:rPr>
          <w:color w:val="auto"/>
        </w:rPr>
      </w:pPr>
      <w:r w:rsidRPr="002F0687">
        <w:rPr>
          <w:color w:val="auto"/>
        </w:rPr>
        <w:t>The Participants may also have all or part of their Required Credit Cover in the form of a LOC.  If this is the case, then the LOC must be held with a bank whereby the MO can make a Credit Call.</w:t>
      </w:r>
    </w:p>
    <w:p w14:paraId="6D04D44F" w14:textId="77777777" w:rsidR="00C5114B" w:rsidRPr="002F0687" w:rsidRDefault="00C5114B" w:rsidP="00CD26A1">
      <w:pPr>
        <w:pStyle w:val="CERnon-indent"/>
        <w:rPr>
          <w:color w:val="auto"/>
        </w:rPr>
      </w:pPr>
      <w:r w:rsidRPr="002F0687">
        <w:rPr>
          <w:color w:val="auto"/>
        </w:rPr>
        <w:t xml:space="preserve">The Collateral Reserve Account may be set up at registration, in which case the Participant shall complete the required Collateral Reserve Account </w:t>
      </w:r>
      <w:r w:rsidR="00564582" w:rsidRPr="002F0687">
        <w:rPr>
          <w:color w:val="auto"/>
        </w:rPr>
        <w:t xml:space="preserve">bank </w:t>
      </w:r>
      <w:r w:rsidR="005A04F5" w:rsidRPr="002F0687">
        <w:rPr>
          <w:color w:val="auto"/>
        </w:rPr>
        <w:t xml:space="preserve">account </w:t>
      </w:r>
      <w:r w:rsidRPr="002F0687">
        <w:rPr>
          <w:color w:val="auto"/>
        </w:rPr>
        <w:t>mandate as part of the registration package, or following registration, in which case a mandate shall be completed subsequent to registration.</w:t>
      </w:r>
    </w:p>
    <w:p w14:paraId="6D04D450" w14:textId="77777777" w:rsidR="00306236" w:rsidRPr="002F0687" w:rsidRDefault="00C5114B" w:rsidP="00CD26A1">
      <w:pPr>
        <w:pStyle w:val="CERnon-indent"/>
        <w:rPr>
          <w:color w:val="auto"/>
        </w:rPr>
      </w:pPr>
      <w:r w:rsidRPr="002F0687">
        <w:rPr>
          <w:color w:val="auto"/>
        </w:rPr>
        <w:t xml:space="preserve">The form shall be held on the </w:t>
      </w:r>
      <w:r w:rsidR="00564582" w:rsidRPr="002F0687">
        <w:rPr>
          <w:color w:val="auto"/>
        </w:rPr>
        <w:t>Market Operator</w:t>
      </w:r>
      <w:r w:rsidRPr="002F0687">
        <w:rPr>
          <w:color w:val="auto"/>
        </w:rPr>
        <w:t xml:space="preserve"> Website and shall be downloaded by the Participant, completed and signed before being sent to the Market Operator.  </w:t>
      </w:r>
    </w:p>
    <w:p w14:paraId="6D04D451" w14:textId="77777777" w:rsidR="00306236" w:rsidRPr="002F0687" w:rsidRDefault="00C5114B" w:rsidP="00CD26A1">
      <w:pPr>
        <w:pStyle w:val="CERnon-indent"/>
        <w:rPr>
          <w:color w:val="auto"/>
        </w:rPr>
      </w:pPr>
      <w:r w:rsidRPr="002F0687">
        <w:rPr>
          <w:color w:val="auto"/>
        </w:rPr>
        <w:t>The M</w:t>
      </w:r>
      <w:r w:rsidR="005A04F5" w:rsidRPr="002F0687">
        <w:rPr>
          <w:color w:val="auto"/>
        </w:rPr>
        <w:t xml:space="preserve">arket </w:t>
      </w:r>
      <w:r w:rsidRPr="002F0687">
        <w:rPr>
          <w:color w:val="auto"/>
        </w:rPr>
        <w:t>O</w:t>
      </w:r>
      <w:r w:rsidR="005A04F5" w:rsidRPr="002F0687">
        <w:rPr>
          <w:color w:val="auto"/>
        </w:rPr>
        <w:t xml:space="preserve">perator shall </w:t>
      </w:r>
      <w:r w:rsidRPr="002F0687">
        <w:rPr>
          <w:color w:val="auto"/>
        </w:rPr>
        <w:t xml:space="preserve">check that the </w:t>
      </w:r>
      <w:r w:rsidR="00306236" w:rsidRPr="002F0687">
        <w:rPr>
          <w:color w:val="auto"/>
        </w:rPr>
        <w:t xml:space="preserve">Participant has </w:t>
      </w:r>
      <w:r w:rsidRPr="002F0687">
        <w:rPr>
          <w:color w:val="auto"/>
        </w:rPr>
        <w:t xml:space="preserve">completed </w:t>
      </w:r>
      <w:r w:rsidR="00306236" w:rsidRPr="002F0687">
        <w:rPr>
          <w:color w:val="auto"/>
        </w:rPr>
        <w:t xml:space="preserve">the form </w:t>
      </w:r>
      <w:r w:rsidRPr="002F0687">
        <w:rPr>
          <w:color w:val="auto"/>
        </w:rPr>
        <w:t>correctly</w:t>
      </w:r>
      <w:r w:rsidR="00306236" w:rsidRPr="002F0687">
        <w:rPr>
          <w:color w:val="auto"/>
        </w:rPr>
        <w:t>.</w:t>
      </w:r>
      <w:r w:rsidRPr="002F0687">
        <w:rPr>
          <w:color w:val="auto"/>
        </w:rPr>
        <w:t xml:space="preserve">  </w:t>
      </w:r>
    </w:p>
    <w:p w14:paraId="6D04D452" w14:textId="77777777" w:rsidR="00306236" w:rsidRPr="002F0687" w:rsidRDefault="00306236" w:rsidP="00CD26A1">
      <w:pPr>
        <w:pStyle w:val="CERnon-indent"/>
        <w:rPr>
          <w:color w:val="auto"/>
        </w:rPr>
      </w:pPr>
      <w:r w:rsidRPr="002F0687">
        <w:rPr>
          <w:color w:val="auto"/>
        </w:rPr>
        <w:t xml:space="preserve">If the Participant has not completed the </w:t>
      </w:r>
      <w:r w:rsidR="005A04F5" w:rsidRPr="002F0687">
        <w:rPr>
          <w:color w:val="auto"/>
        </w:rPr>
        <w:t xml:space="preserve">form </w:t>
      </w:r>
      <w:r w:rsidRPr="002F0687">
        <w:rPr>
          <w:color w:val="auto"/>
        </w:rPr>
        <w:t>correctly the MO shall return it to the Participant who will need to re-submit the form.</w:t>
      </w:r>
    </w:p>
    <w:p w14:paraId="6D04D453" w14:textId="77777777" w:rsidR="005A04F5" w:rsidRPr="002F0687" w:rsidRDefault="00C5114B" w:rsidP="00CD26A1">
      <w:pPr>
        <w:pStyle w:val="CERnon-indent"/>
        <w:rPr>
          <w:color w:val="auto"/>
        </w:rPr>
      </w:pPr>
      <w:r w:rsidRPr="002F0687">
        <w:rPr>
          <w:color w:val="auto"/>
        </w:rPr>
        <w:t xml:space="preserve">If the form is </w:t>
      </w:r>
      <w:r w:rsidR="00306236" w:rsidRPr="002F0687">
        <w:rPr>
          <w:color w:val="auto"/>
        </w:rPr>
        <w:t>complete, t</w:t>
      </w:r>
      <w:r w:rsidRPr="002F0687">
        <w:rPr>
          <w:color w:val="auto"/>
        </w:rPr>
        <w:t xml:space="preserve">he MO shall </w:t>
      </w:r>
      <w:r w:rsidR="00306236" w:rsidRPr="002F0687">
        <w:rPr>
          <w:color w:val="auto"/>
        </w:rPr>
        <w:t xml:space="preserve">countersign it and then </w:t>
      </w:r>
      <w:r w:rsidRPr="002F0687">
        <w:rPr>
          <w:color w:val="auto"/>
        </w:rPr>
        <w:t xml:space="preserve">send the form to </w:t>
      </w:r>
      <w:r w:rsidR="005A04F5" w:rsidRPr="002F0687">
        <w:rPr>
          <w:color w:val="auto"/>
        </w:rPr>
        <w:t>the appropriate SEM bank for that</w:t>
      </w:r>
      <w:r w:rsidRPr="002F0687">
        <w:rPr>
          <w:color w:val="auto"/>
        </w:rPr>
        <w:t xml:space="preserve"> Participant’s Currency Zone.</w:t>
      </w:r>
      <w:r w:rsidR="00306236" w:rsidRPr="002F0687">
        <w:rPr>
          <w:color w:val="auto"/>
        </w:rPr>
        <w:t xml:space="preserve">  </w:t>
      </w:r>
    </w:p>
    <w:p w14:paraId="6D04D454" w14:textId="77777777" w:rsidR="00E25FA9" w:rsidRPr="002F0687" w:rsidRDefault="00306236" w:rsidP="00CD26A1">
      <w:pPr>
        <w:pStyle w:val="CERnon-indent"/>
        <w:rPr>
          <w:color w:val="auto"/>
        </w:rPr>
      </w:pPr>
      <w:r w:rsidRPr="002F0687">
        <w:rPr>
          <w:color w:val="auto"/>
        </w:rPr>
        <w:t xml:space="preserve">The SEM </w:t>
      </w:r>
      <w:r w:rsidR="005A04F5" w:rsidRPr="002F0687">
        <w:rPr>
          <w:color w:val="auto"/>
        </w:rPr>
        <w:t>bank shall</w:t>
      </w:r>
      <w:r w:rsidRPr="002F0687">
        <w:rPr>
          <w:color w:val="auto"/>
        </w:rPr>
        <w:t xml:space="preserve"> set up the account and inform the Market Operator and the Participant</w:t>
      </w:r>
      <w:r w:rsidR="005A04F5" w:rsidRPr="002F0687">
        <w:rPr>
          <w:color w:val="auto"/>
        </w:rPr>
        <w:t>.</w:t>
      </w:r>
      <w:r w:rsidRPr="002F0687">
        <w:rPr>
          <w:color w:val="auto"/>
        </w:rPr>
        <w:t xml:space="preserve"> </w:t>
      </w:r>
    </w:p>
    <w:p w14:paraId="6D04D455" w14:textId="77777777" w:rsidR="00CB756D" w:rsidRPr="002F0687" w:rsidRDefault="00CB756D" w:rsidP="00CD26A1">
      <w:pPr>
        <w:pStyle w:val="APNUMHEAD3"/>
        <w:rPr>
          <w:color w:val="auto"/>
        </w:rPr>
      </w:pPr>
      <w:r w:rsidRPr="002F0687">
        <w:rPr>
          <w:color w:val="auto"/>
        </w:rPr>
        <w:t>Drawdown of Cash Collateral from Collateral Reserve Accounts</w:t>
      </w:r>
    </w:p>
    <w:p w14:paraId="6D04D456" w14:textId="77777777" w:rsidR="00CB756D" w:rsidRPr="002F0687" w:rsidRDefault="009A5EBF" w:rsidP="00CD26A1">
      <w:pPr>
        <w:pStyle w:val="CERnon-indent"/>
        <w:rPr>
          <w:color w:val="auto"/>
        </w:rPr>
      </w:pPr>
      <w:r w:rsidRPr="002F0687">
        <w:rPr>
          <w:color w:val="auto"/>
        </w:rPr>
        <w:t>If the MO is required to make a call against a Participant’s Credit Cover</w:t>
      </w:r>
      <w:r w:rsidR="001E2111" w:rsidRPr="002F0687">
        <w:rPr>
          <w:color w:val="auto"/>
        </w:rPr>
        <w:t xml:space="preserve"> it </w:t>
      </w:r>
      <w:r w:rsidR="00CB756D" w:rsidRPr="002F0687">
        <w:rPr>
          <w:color w:val="auto"/>
        </w:rPr>
        <w:t xml:space="preserve">may involve the MO drawing down on </w:t>
      </w:r>
      <w:r w:rsidRPr="002F0687">
        <w:rPr>
          <w:color w:val="auto"/>
        </w:rPr>
        <w:t>a</w:t>
      </w:r>
      <w:r w:rsidR="00CB756D" w:rsidRPr="002F0687">
        <w:rPr>
          <w:color w:val="auto"/>
        </w:rPr>
        <w:t xml:space="preserve"> Participant</w:t>
      </w:r>
      <w:r w:rsidRPr="002F0687">
        <w:rPr>
          <w:color w:val="auto"/>
        </w:rPr>
        <w:t>’</w:t>
      </w:r>
      <w:r w:rsidR="00CB756D" w:rsidRPr="002F0687">
        <w:rPr>
          <w:color w:val="auto"/>
        </w:rPr>
        <w:t xml:space="preserve">s cash collateral up to the value of the Shortfall or to the extent available.  This will be done at the instruction of the MO via the Business </w:t>
      </w:r>
      <w:proofErr w:type="spellStart"/>
      <w:r w:rsidR="00CB756D" w:rsidRPr="002F0687">
        <w:rPr>
          <w:color w:val="auto"/>
        </w:rPr>
        <w:t>eBanking</w:t>
      </w:r>
      <w:proofErr w:type="spellEnd"/>
      <w:r w:rsidR="00CB756D" w:rsidRPr="002F0687">
        <w:rPr>
          <w:color w:val="auto"/>
        </w:rPr>
        <w:t xml:space="preserve"> Application and will be in the form of a transfer of funds from the Participant’s Collateral Reserve Account to the appropriate SEM bank account according to the payment type in respect of which the Shortfall has occurred.  </w:t>
      </w:r>
    </w:p>
    <w:p w14:paraId="6D04D457" w14:textId="77777777" w:rsidR="00CB756D" w:rsidRPr="002F0687" w:rsidRDefault="00CB756D" w:rsidP="00CD26A1">
      <w:pPr>
        <w:pStyle w:val="CERnon-indent"/>
        <w:rPr>
          <w:color w:val="auto"/>
        </w:rPr>
      </w:pPr>
      <w:r w:rsidRPr="002F0687">
        <w:rPr>
          <w:color w:val="auto"/>
        </w:rPr>
        <w:t xml:space="preserve">The transfer of funds will be made by way of a same day payment.  </w:t>
      </w:r>
    </w:p>
    <w:p w14:paraId="6D04D458" w14:textId="77777777" w:rsidR="00CB756D" w:rsidRPr="002F0687" w:rsidRDefault="00CB756D" w:rsidP="00CD26A1">
      <w:pPr>
        <w:pStyle w:val="CERnon-indent"/>
        <w:rPr>
          <w:color w:val="auto"/>
        </w:rPr>
      </w:pPr>
      <w:r w:rsidRPr="002F0687">
        <w:rPr>
          <w:color w:val="auto"/>
        </w:rPr>
        <w:t xml:space="preserve">The reference that will be used by the MO will be in the format: </w:t>
      </w:r>
    </w:p>
    <w:p w14:paraId="6D04D459" w14:textId="77777777" w:rsidR="00CB756D" w:rsidRPr="002F0687" w:rsidRDefault="00CB756D" w:rsidP="00133DA4">
      <w:pPr>
        <w:pStyle w:val="CERNORMAL"/>
        <w:rPr>
          <w:color w:val="auto"/>
        </w:rPr>
      </w:pPr>
      <w:r w:rsidRPr="002F0687">
        <w:rPr>
          <w:color w:val="auto"/>
        </w:rPr>
        <w:t>&lt;SMO&gt;COLL[Participant ID (without any PT_ prefix)]&lt;/SMO&gt;.</w:t>
      </w:r>
    </w:p>
    <w:p w14:paraId="6D04D45A" w14:textId="77777777" w:rsidR="00CB756D" w:rsidRPr="002F0687" w:rsidRDefault="00CB756D" w:rsidP="00CD26A1">
      <w:pPr>
        <w:pStyle w:val="CERnon-indent"/>
        <w:rPr>
          <w:color w:val="auto"/>
        </w:rPr>
      </w:pPr>
      <w:r w:rsidRPr="002F0687">
        <w:rPr>
          <w:color w:val="auto"/>
        </w:rPr>
        <w:t>Participants will be able to see this on any statements provided to them by the Bank.</w:t>
      </w:r>
    </w:p>
    <w:p w14:paraId="6D04D45B" w14:textId="77777777" w:rsidR="00CB756D" w:rsidRPr="002F0687" w:rsidRDefault="00CB756D" w:rsidP="00133DA4">
      <w:pPr>
        <w:pStyle w:val="APNUMHEAD3"/>
        <w:rPr>
          <w:color w:val="auto"/>
        </w:rPr>
      </w:pPr>
      <w:r w:rsidRPr="002F0687">
        <w:rPr>
          <w:color w:val="auto"/>
        </w:rPr>
        <w:t>Calls on a Letter of Credit</w:t>
      </w:r>
    </w:p>
    <w:p w14:paraId="6D04D45C" w14:textId="77777777" w:rsidR="00E36E7F" w:rsidRPr="002F0687" w:rsidRDefault="00CB756D" w:rsidP="00CD26A1">
      <w:pPr>
        <w:pStyle w:val="CERnon-indent"/>
        <w:rPr>
          <w:color w:val="auto"/>
        </w:rPr>
      </w:pPr>
      <w:r w:rsidRPr="002F0687">
        <w:rPr>
          <w:color w:val="auto"/>
        </w:rPr>
        <w:t xml:space="preserve">A Participant may hold all or part of their Required Credit Cover in the form of an LOC. </w:t>
      </w:r>
      <w:r w:rsidR="00736893" w:rsidRPr="002F0687">
        <w:rPr>
          <w:color w:val="auto"/>
        </w:rPr>
        <w:t xml:space="preserve">The LOC must be in the form provided for </w:t>
      </w:r>
      <w:r w:rsidR="00296FB6" w:rsidRPr="002F0687">
        <w:rPr>
          <w:color w:val="auto"/>
        </w:rPr>
        <w:t xml:space="preserve">in </w:t>
      </w:r>
      <w:r w:rsidR="00736893" w:rsidRPr="002F0687">
        <w:rPr>
          <w:color w:val="auto"/>
        </w:rPr>
        <w:t xml:space="preserve">Appendix A to the Code and the Participant must ensure that it is issued by a bank that fulfils the </w:t>
      </w:r>
      <w:r w:rsidR="00B46095" w:rsidRPr="002F0687">
        <w:rPr>
          <w:color w:val="auto"/>
        </w:rPr>
        <w:t>Banking Eligibility Requirements.</w:t>
      </w:r>
      <w:r w:rsidR="00736893" w:rsidRPr="002F0687">
        <w:rPr>
          <w:color w:val="auto"/>
        </w:rPr>
        <w:t xml:space="preserve"> </w:t>
      </w:r>
    </w:p>
    <w:p w14:paraId="6D04D45D" w14:textId="77777777" w:rsidR="00CB756D" w:rsidRPr="002F0687" w:rsidRDefault="00CB756D" w:rsidP="00CD26A1">
      <w:pPr>
        <w:pStyle w:val="CERnon-indent"/>
        <w:rPr>
          <w:color w:val="auto"/>
        </w:rPr>
      </w:pPr>
      <w:r w:rsidRPr="002F0687">
        <w:rPr>
          <w:color w:val="auto"/>
        </w:rPr>
        <w:t>If the Participant defaults on any payment obligation and causes a Shortfall, the MO will make a Credit Call which may involve calling on the LOC.  If this happens then the LOC will be called for the value of the Shortfall or to the extent required.  The funds will be transferred into the appropriate SEM bank account according to the payment type in respect of which the Shortfall has occurred.</w:t>
      </w:r>
    </w:p>
    <w:p w14:paraId="6D04D45E" w14:textId="77777777" w:rsidR="00736893" w:rsidRPr="002F0687" w:rsidRDefault="00736893" w:rsidP="00CD26A1">
      <w:pPr>
        <w:pStyle w:val="CERnon-indent"/>
        <w:rPr>
          <w:color w:val="auto"/>
        </w:rPr>
      </w:pPr>
      <w:r w:rsidRPr="002F0687">
        <w:rPr>
          <w:color w:val="auto"/>
        </w:rPr>
        <w:t xml:space="preserve">When required to make a Credit Call against an LOC, the MO will procure that an authorised person presents a </w:t>
      </w:r>
      <w:r w:rsidR="00E36E7F" w:rsidRPr="002F0687">
        <w:rPr>
          <w:color w:val="auto"/>
        </w:rPr>
        <w:t>B</w:t>
      </w:r>
      <w:r w:rsidRPr="002F0687">
        <w:rPr>
          <w:color w:val="auto"/>
        </w:rPr>
        <w:t>eneficiary Statement to the LOC bank in the form set out in Appendix A to the Code. The Beneficiary Statement will set out, with respect to each relevant Settlement Period</w:t>
      </w:r>
      <w:r w:rsidR="00E36E7F" w:rsidRPr="002F0687">
        <w:rPr>
          <w:color w:val="auto"/>
        </w:rPr>
        <w:t>,</w:t>
      </w:r>
      <w:r w:rsidRPr="002F0687">
        <w:rPr>
          <w:color w:val="auto"/>
        </w:rPr>
        <w:t xml:space="preserve"> the amount of the Shortfall in accordance with the Code.</w:t>
      </w:r>
    </w:p>
    <w:p w14:paraId="6D04D45F" w14:textId="77777777" w:rsidR="00CB756D" w:rsidRPr="002F0687" w:rsidRDefault="00CB756D" w:rsidP="00133DA4">
      <w:pPr>
        <w:pStyle w:val="APNUMHEAD3"/>
        <w:rPr>
          <w:color w:val="auto"/>
        </w:rPr>
      </w:pPr>
      <w:r w:rsidRPr="002F0687">
        <w:rPr>
          <w:color w:val="auto"/>
        </w:rPr>
        <w:t>Deposits to and from Collateral Reserve Accounts</w:t>
      </w:r>
    </w:p>
    <w:p w14:paraId="6D04D460" w14:textId="77777777" w:rsidR="00CB756D" w:rsidRPr="002F0687" w:rsidRDefault="00CB756D" w:rsidP="00CD26A1">
      <w:pPr>
        <w:pStyle w:val="CERnon-indent"/>
        <w:rPr>
          <w:color w:val="auto"/>
        </w:rPr>
      </w:pPr>
      <w:r w:rsidRPr="002F0687">
        <w:rPr>
          <w:color w:val="auto"/>
        </w:rPr>
        <w:t xml:space="preserve">When a Participant has acceded to the Code, they will be required to have a minimum level of Required Credit Cover.  Where a Participant has posted cash collateral in a Collateral Reserve account they may </w:t>
      </w:r>
      <w:r w:rsidR="002E2713" w:rsidRPr="002F0687">
        <w:rPr>
          <w:color w:val="auto"/>
        </w:rPr>
        <w:t>wish</w:t>
      </w:r>
      <w:r w:rsidRPr="002F0687">
        <w:rPr>
          <w:color w:val="auto"/>
        </w:rPr>
        <w:t xml:space="preserve"> to top this up from time to time. Likewise they may also be entitled to reduce the amount</w:t>
      </w:r>
      <w:r w:rsidR="0086372C" w:rsidRPr="002F0687">
        <w:rPr>
          <w:color w:val="auto"/>
        </w:rPr>
        <w:t xml:space="preserve"> to:</w:t>
      </w:r>
      <w:r w:rsidRPr="002F0687">
        <w:rPr>
          <w:color w:val="auto"/>
        </w:rPr>
        <w:t xml:space="preserve"> chang</w:t>
      </w:r>
      <w:r w:rsidR="0086372C" w:rsidRPr="002F0687">
        <w:rPr>
          <w:color w:val="auto"/>
        </w:rPr>
        <w:t>e</w:t>
      </w:r>
      <w:r w:rsidRPr="002F0687">
        <w:rPr>
          <w:color w:val="auto"/>
        </w:rPr>
        <w:t xml:space="preserve"> the composition of cash to LOC, </w:t>
      </w:r>
      <w:r w:rsidR="0086372C" w:rsidRPr="002F0687">
        <w:t xml:space="preserve">to use excess collateral to pay outstanding invoices, </w:t>
      </w:r>
      <w:r w:rsidRPr="002F0687">
        <w:rPr>
          <w:color w:val="auto"/>
        </w:rPr>
        <w:t xml:space="preserve">or </w:t>
      </w:r>
      <w:r w:rsidR="0086372C" w:rsidRPr="002F0687">
        <w:t>to reduce</w:t>
      </w:r>
      <w:r w:rsidR="0043019E" w:rsidRPr="002F0687">
        <w:t xml:space="preserve"> </w:t>
      </w:r>
      <w:r w:rsidRPr="002F0687">
        <w:rPr>
          <w:color w:val="auto"/>
        </w:rPr>
        <w:t xml:space="preserve">their </w:t>
      </w:r>
      <w:r w:rsidR="0086372C" w:rsidRPr="002F0687">
        <w:t>Posted</w:t>
      </w:r>
      <w:r w:rsidR="0043019E" w:rsidRPr="002F0687">
        <w:t xml:space="preserve"> </w:t>
      </w:r>
      <w:r w:rsidRPr="002F0687">
        <w:rPr>
          <w:color w:val="auto"/>
        </w:rPr>
        <w:t xml:space="preserve">Credit Cover </w:t>
      </w:r>
      <w:r w:rsidR="0086372C" w:rsidRPr="002F0687">
        <w:t>as their Required Credit Cover</w:t>
      </w:r>
      <w:r w:rsidR="0043019E" w:rsidRPr="002F0687">
        <w:t xml:space="preserve"> </w:t>
      </w:r>
      <w:r w:rsidRPr="002F0687">
        <w:rPr>
          <w:color w:val="auto"/>
        </w:rPr>
        <w:t>has reduced.</w:t>
      </w:r>
    </w:p>
    <w:p w14:paraId="6D04D461" w14:textId="77777777" w:rsidR="002F4DE8" w:rsidRPr="002F0687" w:rsidRDefault="002F4DE8" w:rsidP="00CD26A1">
      <w:pPr>
        <w:pStyle w:val="CERnon-indent"/>
        <w:rPr>
          <w:color w:val="auto"/>
        </w:rPr>
      </w:pPr>
      <w:r w:rsidRPr="002F0687">
        <w:rPr>
          <w:color w:val="auto"/>
        </w:rPr>
        <w:t>The process for depositing or withdrawing cash from Collateral Reserve Accounts is described in Agreed Procedure 9 “</w:t>
      </w:r>
      <w:r w:rsidR="00E83AE8" w:rsidRPr="002F0687">
        <w:rPr>
          <w:color w:val="auto"/>
        </w:rPr>
        <w:t>Management of Credit Cover and Credit”.</w:t>
      </w:r>
    </w:p>
    <w:p w14:paraId="6D04D462" w14:textId="77777777" w:rsidR="00CB756D" w:rsidRPr="002F0687" w:rsidRDefault="00CB756D" w:rsidP="00133DA4">
      <w:pPr>
        <w:pStyle w:val="APNUMHEAD3"/>
        <w:rPr>
          <w:color w:val="auto"/>
        </w:rPr>
      </w:pPr>
      <w:r w:rsidRPr="002F0687">
        <w:rPr>
          <w:color w:val="auto"/>
        </w:rPr>
        <w:t xml:space="preserve">Interest </w:t>
      </w:r>
    </w:p>
    <w:p w14:paraId="6D04D463" w14:textId="77777777" w:rsidR="00CB756D" w:rsidRPr="002F0687" w:rsidRDefault="002E2713" w:rsidP="00CD26A1">
      <w:pPr>
        <w:pStyle w:val="CERnon-indent"/>
        <w:rPr>
          <w:color w:val="auto"/>
        </w:rPr>
      </w:pPr>
      <w:r w:rsidRPr="002F0687">
        <w:rPr>
          <w:color w:val="auto"/>
        </w:rPr>
        <w:t xml:space="preserve">Interest on </w:t>
      </w:r>
      <w:r w:rsidR="00CB756D" w:rsidRPr="002F0687">
        <w:rPr>
          <w:color w:val="auto"/>
        </w:rPr>
        <w:t xml:space="preserve"> Collateral Reserve </w:t>
      </w:r>
      <w:r w:rsidR="00D96609" w:rsidRPr="002F0687">
        <w:rPr>
          <w:color w:val="auto"/>
        </w:rPr>
        <w:t>A</w:t>
      </w:r>
      <w:r w:rsidR="00CB756D" w:rsidRPr="002F0687">
        <w:rPr>
          <w:color w:val="auto"/>
        </w:rPr>
        <w:t xml:space="preserve">ccounts will be </w:t>
      </w:r>
      <w:r w:rsidRPr="002F0687">
        <w:rPr>
          <w:color w:val="auto"/>
        </w:rPr>
        <w:t>paid</w:t>
      </w:r>
      <w:r w:rsidR="00CB756D" w:rsidRPr="002F0687">
        <w:rPr>
          <w:color w:val="auto"/>
        </w:rPr>
        <w:t xml:space="preserve"> via standard payments and will therefore take 2-3 </w:t>
      </w:r>
      <w:r w:rsidRPr="002F0687">
        <w:rPr>
          <w:color w:val="auto"/>
        </w:rPr>
        <w:t>W</w:t>
      </w:r>
      <w:r w:rsidR="00CB756D" w:rsidRPr="002F0687">
        <w:rPr>
          <w:color w:val="auto"/>
        </w:rPr>
        <w:t xml:space="preserve">orking </w:t>
      </w:r>
      <w:r w:rsidRPr="002F0687">
        <w:rPr>
          <w:color w:val="auto"/>
        </w:rPr>
        <w:t>D</w:t>
      </w:r>
      <w:r w:rsidR="00CB756D" w:rsidRPr="002F0687">
        <w:rPr>
          <w:color w:val="auto"/>
        </w:rPr>
        <w:t>ays to process after the interest is posted depending on the jurisdiction that the account is held.</w:t>
      </w:r>
    </w:p>
    <w:p w14:paraId="6D04D464" w14:textId="77777777" w:rsidR="00CB756D" w:rsidRPr="002F0687" w:rsidRDefault="00CB756D" w:rsidP="00133DA4">
      <w:pPr>
        <w:pStyle w:val="APNUMHEAD2"/>
      </w:pPr>
      <w:bookmarkStart w:id="27" w:name="_Toc356218110"/>
      <w:r w:rsidRPr="002F0687">
        <w:t>Business Continuity</w:t>
      </w:r>
      <w:bookmarkEnd w:id="27"/>
    </w:p>
    <w:p w14:paraId="6D04D465" w14:textId="77777777" w:rsidR="00CB756D" w:rsidRPr="002F0687" w:rsidRDefault="00CB756D" w:rsidP="00CD26A1">
      <w:pPr>
        <w:pStyle w:val="CERnon-indent"/>
        <w:rPr>
          <w:color w:val="auto"/>
        </w:rPr>
      </w:pPr>
      <w:r w:rsidRPr="002F0687">
        <w:rPr>
          <w:color w:val="auto"/>
        </w:rPr>
        <w:t xml:space="preserve">In the event that access to the internet or the Business </w:t>
      </w:r>
      <w:proofErr w:type="spellStart"/>
      <w:r w:rsidRPr="002F0687">
        <w:rPr>
          <w:color w:val="auto"/>
        </w:rPr>
        <w:t>eBanking</w:t>
      </w:r>
      <w:proofErr w:type="spellEnd"/>
      <w:r w:rsidRPr="002F0687">
        <w:rPr>
          <w:color w:val="auto"/>
        </w:rPr>
        <w:t xml:space="preserve"> Application fails, there is a manual procedure to ensure that the MO will still meet its payment obligations.  The following steps will be undertaken:</w:t>
      </w:r>
    </w:p>
    <w:p w14:paraId="6D04D466" w14:textId="77777777" w:rsidR="00CB756D" w:rsidRPr="002F0687" w:rsidRDefault="00CB756D" w:rsidP="00133DA4">
      <w:pPr>
        <w:pStyle w:val="CERBULLET2"/>
        <w:numPr>
          <w:ilvl w:val="0"/>
          <w:numId w:val="13"/>
        </w:numPr>
      </w:pPr>
      <w:r w:rsidRPr="002F0687">
        <w:t xml:space="preserve">An authorised payment file report will be provided by fax to the Bank branch where the account is held.  The same time scales apply and the Financial Application] can support this process.  </w:t>
      </w:r>
    </w:p>
    <w:p w14:paraId="6D04D467" w14:textId="77777777" w:rsidR="00CB756D" w:rsidRPr="002F0687" w:rsidRDefault="00CB756D" w:rsidP="00133DA4">
      <w:pPr>
        <w:pStyle w:val="CERBULLET2"/>
        <w:numPr>
          <w:ilvl w:val="0"/>
          <w:numId w:val="13"/>
        </w:numPr>
      </w:pPr>
      <w:r w:rsidRPr="002F0687">
        <w:t xml:space="preserve">If for any reason all telecommunication links are inaccessible, the authorised payment file report will be presented in person at one of the SEM Bank branches. Again the same deadline has to be met to ensure payment is made.  </w:t>
      </w:r>
    </w:p>
    <w:p w14:paraId="6D04D468" w14:textId="77777777" w:rsidR="00CB756D" w:rsidRPr="002F0687" w:rsidRDefault="00CB756D" w:rsidP="00CD26A1">
      <w:pPr>
        <w:pStyle w:val="CERnon-indent"/>
        <w:rPr>
          <w:color w:val="auto"/>
        </w:rPr>
      </w:pPr>
      <w:r w:rsidRPr="002F0687">
        <w:rPr>
          <w:color w:val="auto"/>
        </w:rPr>
        <w:t>The SEM Bank will be required to have its own internal contingency provisions to ensure that in whatever circumstances they can still meet their own obligations once the payment file has been submitted to them.</w:t>
      </w:r>
    </w:p>
    <w:p w14:paraId="6D04D469" w14:textId="77777777" w:rsidR="003321E6" w:rsidRPr="002F0687" w:rsidRDefault="00E607C8" w:rsidP="00133DA4">
      <w:pPr>
        <w:pStyle w:val="CERNUMAPPENDXHD1"/>
      </w:pPr>
      <w:bookmarkStart w:id="28" w:name="_Toc356218111"/>
      <w:r w:rsidRPr="002F0687">
        <w:t>Appendix</w:t>
      </w:r>
      <w:bookmarkEnd w:id="28"/>
    </w:p>
    <w:p w14:paraId="6D04D46A" w14:textId="77777777" w:rsidR="00CB756D" w:rsidRDefault="00CB756D" w:rsidP="00133DA4">
      <w:pPr>
        <w:pStyle w:val="CERHEADING2"/>
        <w:tabs>
          <w:tab w:val="clear" w:pos="936"/>
        </w:tabs>
        <w:ind w:left="0"/>
      </w:pPr>
      <w:bookmarkStart w:id="29" w:name="_Toc356218112"/>
      <w:r w:rsidRPr="002F0687">
        <w:t>Bank Accounts</w:t>
      </w:r>
      <w:bookmarkEnd w:id="29"/>
    </w:p>
    <w:p w14:paraId="6D04D46B" w14:textId="77777777" w:rsidR="00662E63" w:rsidRPr="00662E63" w:rsidRDefault="00662E63" w:rsidP="00662E63">
      <w:pPr>
        <w:tabs>
          <w:tab w:val="num" w:pos="851"/>
        </w:tabs>
        <w:spacing w:before="120" w:after="120"/>
        <w:rPr>
          <w:szCs w:val="20"/>
        </w:rPr>
      </w:pPr>
      <w:r w:rsidRPr="00662E63">
        <w:rPr>
          <w:szCs w:val="20"/>
        </w:rPr>
        <w:t>Specific bank details are available via the Market Helpdesk upon registration.</w:t>
      </w:r>
    </w:p>
    <w:p w14:paraId="6D04D46C" w14:textId="77777777" w:rsidR="00CB756D" w:rsidRPr="002F0687" w:rsidRDefault="00CB756D" w:rsidP="00CD26A1">
      <w:pPr>
        <w:pStyle w:val="CERnon-indent"/>
        <w:rPr>
          <w:color w:val="auto"/>
        </w:rPr>
      </w:pPr>
      <w:r w:rsidRPr="002F0687">
        <w:rPr>
          <w:color w:val="auto"/>
        </w:rPr>
        <w:t>The following table contains the details of the 6 bank accounts that will be used to receive payments from Participants and make payments to Participants:</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596"/>
        <w:gridCol w:w="1138"/>
        <w:gridCol w:w="1432"/>
      </w:tblGrid>
      <w:tr w:rsidR="00E10923" w:rsidRPr="002F0687" w14:paraId="6D04D471" w14:textId="77777777" w:rsidTr="00E10923">
        <w:tc>
          <w:tcPr>
            <w:tcW w:w="1134" w:type="dxa"/>
            <w:shd w:val="clear" w:color="auto" w:fill="B3B3B3"/>
          </w:tcPr>
          <w:p w14:paraId="6D04D46D" w14:textId="77777777" w:rsidR="00E10923" w:rsidRPr="002F0687" w:rsidRDefault="00E10923" w:rsidP="00133DA4">
            <w:pPr>
              <w:pStyle w:val="CERTableHeader"/>
            </w:pPr>
            <w:r w:rsidRPr="002F0687">
              <w:t>Bank</w:t>
            </w:r>
          </w:p>
        </w:tc>
        <w:tc>
          <w:tcPr>
            <w:tcW w:w="2596" w:type="dxa"/>
            <w:shd w:val="clear" w:color="auto" w:fill="B3B3B3"/>
          </w:tcPr>
          <w:p w14:paraId="6D04D46E" w14:textId="77777777" w:rsidR="00E10923" w:rsidRPr="002F0687" w:rsidRDefault="00E10923" w:rsidP="00133DA4">
            <w:pPr>
              <w:pStyle w:val="CERTableHeader"/>
            </w:pPr>
            <w:r w:rsidRPr="002F0687">
              <w:t>Bank Account</w:t>
            </w:r>
          </w:p>
        </w:tc>
        <w:tc>
          <w:tcPr>
            <w:tcW w:w="1138" w:type="dxa"/>
            <w:shd w:val="clear" w:color="auto" w:fill="B3B3B3"/>
          </w:tcPr>
          <w:p w14:paraId="6D04D46F" w14:textId="77777777" w:rsidR="00E10923" w:rsidRPr="002F0687" w:rsidRDefault="00E10923" w:rsidP="00133DA4">
            <w:pPr>
              <w:pStyle w:val="CERTableHeader"/>
            </w:pPr>
            <w:r w:rsidRPr="002F0687">
              <w:t>Currency</w:t>
            </w:r>
          </w:p>
        </w:tc>
        <w:tc>
          <w:tcPr>
            <w:tcW w:w="1432" w:type="dxa"/>
            <w:shd w:val="clear" w:color="auto" w:fill="B3B3B3"/>
          </w:tcPr>
          <w:p w14:paraId="6D04D470" w14:textId="77777777" w:rsidR="00E10923" w:rsidRPr="002F0687" w:rsidRDefault="00E10923" w:rsidP="00133DA4">
            <w:pPr>
              <w:pStyle w:val="CERTableHeader"/>
            </w:pPr>
            <w:r w:rsidRPr="002F0687">
              <w:t>Jurisdiction</w:t>
            </w:r>
          </w:p>
        </w:tc>
      </w:tr>
      <w:tr w:rsidR="00E10923" w:rsidRPr="002F0687" w14:paraId="6D04D476" w14:textId="77777777" w:rsidTr="00E10923">
        <w:tc>
          <w:tcPr>
            <w:tcW w:w="1134" w:type="dxa"/>
          </w:tcPr>
          <w:p w14:paraId="6D04D472" w14:textId="77777777" w:rsidR="00E10923" w:rsidRPr="002F0687" w:rsidRDefault="00E10923" w:rsidP="00CD26A1">
            <w:pPr>
              <w:pStyle w:val="CERnon-indent"/>
              <w:rPr>
                <w:color w:val="auto"/>
              </w:rPr>
            </w:pPr>
            <w:r>
              <w:rPr>
                <w:color w:val="auto"/>
              </w:rPr>
              <w:t>SEM Bank</w:t>
            </w:r>
          </w:p>
        </w:tc>
        <w:tc>
          <w:tcPr>
            <w:tcW w:w="2596" w:type="dxa"/>
          </w:tcPr>
          <w:p w14:paraId="6D04D473" w14:textId="77777777" w:rsidR="00E10923" w:rsidRPr="002F0687" w:rsidRDefault="00E10923" w:rsidP="00CD26A1">
            <w:pPr>
              <w:pStyle w:val="CERnon-indent"/>
              <w:rPr>
                <w:color w:val="auto"/>
              </w:rPr>
            </w:pPr>
            <w:r w:rsidRPr="002F0687">
              <w:rPr>
                <w:color w:val="auto"/>
              </w:rPr>
              <w:t>SEM Trading Clearing Account</w:t>
            </w:r>
          </w:p>
        </w:tc>
        <w:tc>
          <w:tcPr>
            <w:tcW w:w="1138" w:type="dxa"/>
          </w:tcPr>
          <w:p w14:paraId="6D04D474" w14:textId="77777777" w:rsidR="00E10923" w:rsidRPr="002F0687" w:rsidRDefault="00E10923" w:rsidP="00CD26A1">
            <w:pPr>
              <w:pStyle w:val="CERnon-indent"/>
              <w:rPr>
                <w:color w:val="auto"/>
              </w:rPr>
            </w:pPr>
            <w:r w:rsidRPr="002F0687">
              <w:rPr>
                <w:color w:val="auto"/>
              </w:rPr>
              <w:t>Euro</w:t>
            </w:r>
          </w:p>
        </w:tc>
        <w:tc>
          <w:tcPr>
            <w:tcW w:w="1432" w:type="dxa"/>
          </w:tcPr>
          <w:p w14:paraId="6D04D475" w14:textId="77777777" w:rsidR="00E10923" w:rsidRPr="002F0687" w:rsidRDefault="00E10923" w:rsidP="00CD26A1">
            <w:pPr>
              <w:pStyle w:val="CERnon-indent"/>
              <w:rPr>
                <w:color w:val="auto"/>
              </w:rPr>
            </w:pPr>
            <w:r w:rsidRPr="002F0687">
              <w:rPr>
                <w:color w:val="auto"/>
              </w:rPr>
              <w:t>Ireland</w:t>
            </w:r>
          </w:p>
        </w:tc>
      </w:tr>
      <w:tr w:rsidR="00E10923" w:rsidRPr="002F0687" w14:paraId="6D04D47B" w14:textId="77777777" w:rsidTr="00E10923">
        <w:tc>
          <w:tcPr>
            <w:tcW w:w="1134" w:type="dxa"/>
          </w:tcPr>
          <w:p w14:paraId="6D04D477" w14:textId="77777777" w:rsidR="00E10923" w:rsidRPr="002F0687" w:rsidRDefault="00E10923" w:rsidP="00CD26A1">
            <w:pPr>
              <w:pStyle w:val="CERnon-indent"/>
              <w:rPr>
                <w:color w:val="auto"/>
              </w:rPr>
            </w:pPr>
            <w:r w:rsidRPr="00B06864">
              <w:rPr>
                <w:color w:val="auto"/>
              </w:rPr>
              <w:t>SEM Bank</w:t>
            </w:r>
          </w:p>
        </w:tc>
        <w:tc>
          <w:tcPr>
            <w:tcW w:w="2596" w:type="dxa"/>
          </w:tcPr>
          <w:p w14:paraId="6D04D478" w14:textId="77777777" w:rsidR="00E10923" w:rsidRPr="002F0687" w:rsidRDefault="00E10923" w:rsidP="00CD26A1">
            <w:pPr>
              <w:pStyle w:val="CERnon-indent"/>
              <w:rPr>
                <w:color w:val="auto"/>
              </w:rPr>
            </w:pPr>
            <w:r w:rsidRPr="002F0687">
              <w:rPr>
                <w:color w:val="auto"/>
              </w:rPr>
              <w:t>SEM Trading Clearing Account</w:t>
            </w:r>
          </w:p>
        </w:tc>
        <w:tc>
          <w:tcPr>
            <w:tcW w:w="1138" w:type="dxa"/>
          </w:tcPr>
          <w:p w14:paraId="6D04D479" w14:textId="77777777" w:rsidR="00E10923" w:rsidRPr="002F0687" w:rsidRDefault="00E10923" w:rsidP="00CD26A1">
            <w:pPr>
              <w:pStyle w:val="CERnon-indent"/>
              <w:rPr>
                <w:color w:val="auto"/>
              </w:rPr>
            </w:pPr>
            <w:r w:rsidRPr="002F0687">
              <w:rPr>
                <w:color w:val="auto"/>
              </w:rPr>
              <w:t>Sterling</w:t>
            </w:r>
          </w:p>
        </w:tc>
        <w:tc>
          <w:tcPr>
            <w:tcW w:w="1432" w:type="dxa"/>
          </w:tcPr>
          <w:p w14:paraId="6D04D47A" w14:textId="77777777" w:rsidR="00E10923" w:rsidRPr="002F0687" w:rsidRDefault="00E10923" w:rsidP="00CD26A1">
            <w:pPr>
              <w:pStyle w:val="CERnon-indent"/>
              <w:rPr>
                <w:color w:val="auto"/>
              </w:rPr>
            </w:pPr>
            <w:r>
              <w:rPr>
                <w:color w:val="auto"/>
              </w:rPr>
              <w:t>UK</w:t>
            </w:r>
          </w:p>
        </w:tc>
      </w:tr>
      <w:tr w:rsidR="00E10923" w:rsidRPr="002F0687" w14:paraId="6D04D480" w14:textId="77777777" w:rsidTr="00E10923">
        <w:tc>
          <w:tcPr>
            <w:tcW w:w="1134" w:type="dxa"/>
          </w:tcPr>
          <w:p w14:paraId="6D04D47C" w14:textId="77777777" w:rsidR="00E10923" w:rsidRPr="002F0687" w:rsidRDefault="00E10923" w:rsidP="00CD26A1">
            <w:pPr>
              <w:pStyle w:val="CERnon-indent"/>
              <w:rPr>
                <w:color w:val="auto"/>
              </w:rPr>
            </w:pPr>
            <w:r w:rsidRPr="00B06864">
              <w:rPr>
                <w:color w:val="auto"/>
              </w:rPr>
              <w:t>SEM Bank</w:t>
            </w:r>
          </w:p>
        </w:tc>
        <w:tc>
          <w:tcPr>
            <w:tcW w:w="2596" w:type="dxa"/>
          </w:tcPr>
          <w:p w14:paraId="6D04D47D" w14:textId="77777777" w:rsidR="00E10923" w:rsidRPr="002F0687" w:rsidRDefault="00E10923" w:rsidP="00CD26A1">
            <w:pPr>
              <w:pStyle w:val="CERnon-indent"/>
              <w:rPr>
                <w:color w:val="auto"/>
              </w:rPr>
            </w:pPr>
            <w:r w:rsidRPr="002F0687">
              <w:rPr>
                <w:color w:val="auto"/>
              </w:rPr>
              <w:t>SEM Capacity Clearing Account</w:t>
            </w:r>
          </w:p>
        </w:tc>
        <w:tc>
          <w:tcPr>
            <w:tcW w:w="1138" w:type="dxa"/>
          </w:tcPr>
          <w:p w14:paraId="6D04D47E" w14:textId="77777777" w:rsidR="00E10923" w:rsidRPr="002F0687" w:rsidRDefault="00E10923" w:rsidP="00CD26A1">
            <w:pPr>
              <w:pStyle w:val="CERnon-indent"/>
              <w:rPr>
                <w:color w:val="auto"/>
              </w:rPr>
            </w:pPr>
            <w:r w:rsidRPr="002F0687">
              <w:rPr>
                <w:color w:val="auto"/>
              </w:rPr>
              <w:t>Euro</w:t>
            </w:r>
          </w:p>
        </w:tc>
        <w:tc>
          <w:tcPr>
            <w:tcW w:w="1432" w:type="dxa"/>
          </w:tcPr>
          <w:p w14:paraId="6D04D47F" w14:textId="77777777" w:rsidR="00E10923" w:rsidRPr="002F0687" w:rsidRDefault="00E10923" w:rsidP="00CD26A1">
            <w:pPr>
              <w:pStyle w:val="CERnon-indent"/>
              <w:rPr>
                <w:color w:val="auto"/>
              </w:rPr>
            </w:pPr>
            <w:r w:rsidRPr="002F0687">
              <w:rPr>
                <w:color w:val="auto"/>
              </w:rPr>
              <w:t>Ireland</w:t>
            </w:r>
          </w:p>
        </w:tc>
      </w:tr>
      <w:tr w:rsidR="00E10923" w:rsidRPr="002F0687" w14:paraId="6D04D485" w14:textId="77777777" w:rsidTr="00E10923">
        <w:tc>
          <w:tcPr>
            <w:tcW w:w="1134" w:type="dxa"/>
          </w:tcPr>
          <w:p w14:paraId="6D04D481" w14:textId="77777777" w:rsidR="00E10923" w:rsidRPr="002F0687" w:rsidRDefault="00E10923" w:rsidP="00CD26A1">
            <w:pPr>
              <w:pStyle w:val="CERnon-indent"/>
              <w:rPr>
                <w:color w:val="auto"/>
              </w:rPr>
            </w:pPr>
            <w:r w:rsidRPr="00B06864">
              <w:rPr>
                <w:color w:val="auto"/>
              </w:rPr>
              <w:t>SEM Bank</w:t>
            </w:r>
          </w:p>
        </w:tc>
        <w:tc>
          <w:tcPr>
            <w:tcW w:w="2596" w:type="dxa"/>
          </w:tcPr>
          <w:p w14:paraId="6D04D482" w14:textId="77777777" w:rsidR="00E10923" w:rsidRPr="002F0687" w:rsidRDefault="00E10923" w:rsidP="00CD26A1">
            <w:pPr>
              <w:pStyle w:val="CERnon-indent"/>
              <w:rPr>
                <w:color w:val="auto"/>
              </w:rPr>
            </w:pPr>
            <w:r w:rsidRPr="002F0687">
              <w:rPr>
                <w:color w:val="auto"/>
              </w:rPr>
              <w:t>SEM Capacity Clearing Account</w:t>
            </w:r>
          </w:p>
        </w:tc>
        <w:tc>
          <w:tcPr>
            <w:tcW w:w="1138" w:type="dxa"/>
          </w:tcPr>
          <w:p w14:paraId="6D04D483" w14:textId="77777777" w:rsidR="00E10923" w:rsidRPr="002F0687" w:rsidRDefault="00E10923" w:rsidP="00CD26A1">
            <w:pPr>
              <w:pStyle w:val="CERnon-indent"/>
              <w:rPr>
                <w:color w:val="auto"/>
              </w:rPr>
            </w:pPr>
            <w:r w:rsidRPr="002F0687">
              <w:rPr>
                <w:color w:val="auto"/>
              </w:rPr>
              <w:t>Sterling</w:t>
            </w:r>
          </w:p>
        </w:tc>
        <w:tc>
          <w:tcPr>
            <w:tcW w:w="1432" w:type="dxa"/>
          </w:tcPr>
          <w:p w14:paraId="6D04D484" w14:textId="77777777" w:rsidR="00E10923" w:rsidRPr="002F0687" w:rsidRDefault="00E10923" w:rsidP="00CD26A1">
            <w:pPr>
              <w:pStyle w:val="CERnon-indent"/>
              <w:rPr>
                <w:color w:val="auto"/>
              </w:rPr>
            </w:pPr>
            <w:r>
              <w:rPr>
                <w:color w:val="auto"/>
              </w:rPr>
              <w:t>UK</w:t>
            </w:r>
          </w:p>
        </w:tc>
      </w:tr>
      <w:tr w:rsidR="00E10923" w:rsidRPr="002F0687" w14:paraId="6D04D48A" w14:textId="77777777" w:rsidTr="00E10923">
        <w:tc>
          <w:tcPr>
            <w:tcW w:w="1134" w:type="dxa"/>
          </w:tcPr>
          <w:p w14:paraId="6D04D486" w14:textId="77777777" w:rsidR="00E10923" w:rsidRPr="002F0687" w:rsidRDefault="00E10923" w:rsidP="00CD26A1">
            <w:pPr>
              <w:pStyle w:val="CERnon-indent"/>
              <w:rPr>
                <w:color w:val="auto"/>
              </w:rPr>
            </w:pPr>
            <w:r w:rsidRPr="00B06864">
              <w:rPr>
                <w:color w:val="auto"/>
              </w:rPr>
              <w:t>SEM Bank</w:t>
            </w:r>
          </w:p>
        </w:tc>
        <w:tc>
          <w:tcPr>
            <w:tcW w:w="2596" w:type="dxa"/>
          </w:tcPr>
          <w:p w14:paraId="6D04D487" w14:textId="77777777" w:rsidR="00E10923" w:rsidRPr="002F0687" w:rsidRDefault="00E10923" w:rsidP="00CD26A1">
            <w:pPr>
              <w:pStyle w:val="CERnon-indent"/>
              <w:rPr>
                <w:color w:val="auto"/>
              </w:rPr>
            </w:pPr>
            <w:r w:rsidRPr="002F0687">
              <w:rPr>
                <w:color w:val="auto"/>
              </w:rPr>
              <w:t>Market Operator Charge Account</w:t>
            </w:r>
          </w:p>
        </w:tc>
        <w:tc>
          <w:tcPr>
            <w:tcW w:w="1138" w:type="dxa"/>
          </w:tcPr>
          <w:p w14:paraId="6D04D488" w14:textId="77777777" w:rsidR="00E10923" w:rsidRPr="002F0687" w:rsidRDefault="00E10923" w:rsidP="00CD26A1">
            <w:pPr>
              <w:pStyle w:val="CERnon-indent"/>
              <w:rPr>
                <w:color w:val="auto"/>
              </w:rPr>
            </w:pPr>
            <w:r w:rsidRPr="002F0687">
              <w:rPr>
                <w:color w:val="auto"/>
              </w:rPr>
              <w:t>Euro</w:t>
            </w:r>
          </w:p>
        </w:tc>
        <w:tc>
          <w:tcPr>
            <w:tcW w:w="1432" w:type="dxa"/>
          </w:tcPr>
          <w:p w14:paraId="6D04D489" w14:textId="77777777" w:rsidR="00E10923" w:rsidRPr="002F0687" w:rsidRDefault="00E10923" w:rsidP="00CD26A1">
            <w:pPr>
              <w:pStyle w:val="CERnon-indent"/>
              <w:rPr>
                <w:color w:val="auto"/>
              </w:rPr>
            </w:pPr>
            <w:r w:rsidRPr="002F0687">
              <w:rPr>
                <w:color w:val="auto"/>
              </w:rPr>
              <w:t>Ireland</w:t>
            </w:r>
          </w:p>
        </w:tc>
      </w:tr>
      <w:tr w:rsidR="00E10923" w:rsidRPr="002F0687" w14:paraId="6D04D48F" w14:textId="77777777" w:rsidTr="00E10923">
        <w:tc>
          <w:tcPr>
            <w:tcW w:w="1134" w:type="dxa"/>
          </w:tcPr>
          <w:p w14:paraId="6D04D48B" w14:textId="77777777" w:rsidR="00E10923" w:rsidRPr="002F0687" w:rsidRDefault="00E10923" w:rsidP="00CD26A1">
            <w:pPr>
              <w:pStyle w:val="CERnon-indent"/>
              <w:rPr>
                <w:color w:val="auto"/>
              </w:rPr>
            </w:pPr>
            <w:r w:rsidRPr="00B06864">
              <w:rPr>
                <w:color w:val="auto"/>
              </w:rPr>
              <w:t>SEM Bank</w:t>
            </w:r>
          </w:p>
        </w:tc>
        <w:tc>
          <w:tcPr>
            <w:tcW w:w="2596" w:type="dxa"/>
          </w:tcPr>
          <w:p w14:paraId="6D04D48C" w14:textId="77777777" w:rsidR="00E10923" w:rsidRPr="002F0687" w:rsidRDefault="00E10923" w:rsidP="00CD26A1">
            <w:pPr>
              <w:pStyle w:val="CERnon-indent"/>
              <w:rPr>
                <w:color w:val="auto"/>
              </w:rPr>
            </w:pPr>
            <w:r w:rsidRPr="002F0687">
              <w:rPr>
                <w:color w:val="auto"/>
              </w:rPr>
              <w:t>Market Operator Charge Account</w:t>
            </w:r>
          </w:p>
        </w:tc>
        <w:tc>
          <w:tcPr>
            <w:tcW w:w="1138" w:type="dxa"/>
          </w:tcPr>
          <w:p w14:paraId="6D04D48D" w14:textId="77777777" w:rsidR="00E10923" w:rsidRPr="002F0687" w:rsidRDefault="00E10923" w:rsidP="00CD26A1">
            <w:pPr>
              <w:pStyle w:val="CERnon-indent"/>
              <w:rPr>
                <w:color w:val="auto"/>
              </w:rPr>
            </w:pPr>
            <w:r w:rsidRPr="002F0687">
              <w:rPr>
                <w:color w:val="auto"/>
              </w:rPr>
              <w:t>Sterling</w:t>
            </w:r>
          </w:p>
        </w:tc>
        <w:tc>
          <w:tcPr>
            <w:tcW w:w="1432" w:type="dxa"/>
          </w:tcPr>
          <w:p w14:paraId="6D04D48E" w14:textId="77777777" w:rsidR="00E10923" w:rsidRPr="002F0687" w:rsidRDefault="00E10923" w:rsidP="00CD26A1">
            <w:pPr>
              <w:pStyle w:val="CERnon-indent"/>
              <w:rPr>
                <w:color w:val="auto"/>
              </w:rPr>
            </w:pPr>
            <w:r>
              <w:rPr>
                <w:color w:val="auto"/>
              </w:rPr>
              <w:t>UK</w:t>
            </w:r>
          </w:p>
        </w:tc>
      </w:tr>
    </w:tbl>
    <w:p w14:paraId="6D04D490" w14:textId="77777777" w:rsidR="00CB756D" w:rsidRPr="002F0687" w:rsidRDefault="00CB756D" w:rsidP="00133DA4">
      <w:pPr>
        <w:pStyle w:val="CERHEADING2"/>
        <w:tabs>
          <w:tab w:val="clear" w:pos="936"/>
        </w:tabs>
        <w:spacing w:before="360"/>
        <w:ind w:left="0"/>
      </w:pPr>
      <w:bookmarkStart w:id="30" w:name="_Toc356218113"/>
      <w:r w:rsidRPr="002F0687">
        <w:t>Definitions</w:t>
      </w:r>
      <w:r w:rsidR="003321E6" w:rsidRPr="002F0687">
        <w:t xml:space="preserve"> and Abbreviations</w:t>
      </w:r>
      <w:bookmarkEnd w:id="30"/>
    </w:p>
    <w:p w14:paraId="6D04D491" w14:textId="77777777" w:rsidR="003321E6" w:rsidRPr="002F0687" w:rsidRDefault="003321E6" w:rsidP="00133DA4">
      <w:pPr>
        <w:pStyle w:val="CERHEADING3"/>
        <w:spacing w:before="360"/>
        <w:ind w:left="0"/>
        <w:rPr>
          <w:color w:val="auto"/>
        </w:rPr>
      </w:pPr>
      <w:r w:rsidRPr="002F0687">
        <w:rPr>
          <w:color w:val="auto"/>
        </w:rPr>
        <w:t>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4502"/>
      </w:tblGrid>
      <w:tr w:rsidR="00CB756D" w:rsidRPr="002F0687" w14:paraId="6D04D494" w14:textId="77777777">
        <w:trPr>
          <w:tblHeader/>
        </w:trPr>
        <w:tc>
          <w:tcPr>
            <w:tcW w:w="4621" w:type="dxa"/>
            <w:shd w:val="clear" w:color="auto" w:fill="B3B3B3"/>
          </w:tcPr>
          <w:p w14:paraId="6D04D492" w14:textId="77777777" w:rsidR="00CB756D" w:rsidRPr="002F0687" w:rsidRDefault="00CB756D" w:rsidP="00133DA4">
            <w:pPr>
              <w:pStyle w:val="CERTableHeader"/>
            </w:pPr>
            <w:r w:rsidRPr="002F0687">
              <w:t>Term</w:t>
            </w:r>
          </w:p>
        </w:tc>
        <w:tc>
          <w:tcPr>
            <w:tcW w:w="4622" w:type="dxa"/>
            <w:shd w:val="clear" w:color="auto" w:fill="B3B3B3"/>
          </w:tcPr>
          <w:p w14:paraId="6D04D493" w14:textId="77777777" w:rsidR="00CB756D" w:rsidRPr="002F0687" w:rsidRDefault="00CB756D" w:rsidP="00133DA4">
            <w:pPr>
              <w:pStyle w:val="CERTableHeader"/>
            </w:pPr>
            <w:r w:rsidRPr="002F0687">
              <w:t>Definition</w:t>
            </w:r>
          </w:p>
        </w:tc>
      </w:tr>
      <w:tr w:rsidR="00874FD1" w:rsidRPr="002F0687" w14:paraId="6D04D497" w14:textId="77777777">
        <w:tc>
          <w:tcPr>
            <w:tcW w:w="4621" w:type="dxa"/>
          </w:tcPr>
          <w:p w14:paraId="6D04D495" w14:textId="77777777" w:rsidR="00874FD1" w:rsidRPr="002F0687" w:rsidRDefault="00874FD1" w:rsidP="00CD26A1">
            <w:pPr>
              <w:pStyle w:val="CERnon-indent"/>
              <w:rPr>
                <w:color w:val="auto"/>
              </w:rPr>
            </w:pPr>
            <w:r>
              <w:rPr>
                <w:color w:val="auto"/>
              </w:rPr>
              <w:t>Account Security Requirements</w:t>
            </w:r>
          </w:p>
        </w:tc>
        <w:tc>
          <w:tcPr>
            <w:tcW w:w="4622" w:type="dxa"/>
          </w:tcPr>
          <w:p w14:paraId="6D04D496" w14:textId="77777777" w:rsidR="00874FD1" w:rsidRPr="002F0687" w:rsidRDefault="00874FD1" w:rsidP="00CD26A1">
            <w:pPr>
              <w:pStyle w:val="CERnon-indent"/>
              <w:rPr>
                <w:color w:val="auto"/>
              </w:rPr>
            </w:pPr>
            <w:r w:rsidRPr="002F0687">
              <w:rPr>
                <w:color w:val="auto"/>
              </w:rPr>
              <w:t>As defined in the Code</w:t>
            </w:r>
          </w:p>
        </w:tc>
      </w:tr>
      <w:tr w:rsidR="00CB756D" w:rsidRPr="002F0687" w14:paraId="6D04D49A" w14:textId="77777777">
        <w:tc>
          <w:tcPr>
            <w:tcW w:w="4621" w:type="dxa"/>
          </w:tcPr>
          <w:p w14:paraId="6D04D498" w14:textId="77777777" w:rsidR="00CB756D" w:rsidRPr="002F0687" w:rsidRDefault="00CB756D" w:rsidP="00CD26A1">
            <w:pPr>
              <w:pStyle w:val="CERnon-indent"/>
              <w:rPr>
                <w:color w:val="auto"/>
              </w:rPr>
            </w:pPr>
            <w:r w:rsidRPr="002F0687">
              <w:rPr>
                <w:color w:val="auto"/>
              </w:rPr>
              <w:t>B</w:t>
            </w:r>
            <w:r w:rsidR="003321E6" w:rsidRPr="002F0687">
              <w:rPr>
                <w:color w:val="auto"/>
              </w:rPr>
              <w:t>ank Automated Clearing System</w:t>
            </w:r>
            <w:r w:rsidR="00E6374F" w:rsidRPr="002F0687">
              <w:rPr>
                <w:color w:val="auto"/>
              </w:rPr>
              <w:t>, or BACS</w:t>
            </w:r>
          </w:p>
        </w:tc>
        <w:tc>
          <w:tcPr>
            <w:tcW w:w="4622" w:type="dxa"/>
          </w:tcPr>
          <w:p w14:paraId="6D04D499" w14:textId="77777777" w:rsidR="00CB756D" w:rsidRPr="002F0687" w:rsidRDefault="00E6374F" w:rsidP="00CD26A1">
            <w:pPr>
              <w:pStyle w:val="CERnon-indent"/>
              <w:rPr>
                <w:color w:val="auto"/>
              </w:rPr>
            </w:pPr>
            <w:r w:rsidRPr="002F0687">
              <w:rPr>
                <w:color w:val="auto"/>
              </w:rPr>
              <w:t>As defined in the Code</w:t>
            </w:r>
          </w:p>
        </w:tc>
      </w:tr>
      <w:tr w:rsidR="00CB756D" w:rsidRPr="002F0687" w14:paraId="6D04D49D" w14:textId="77777777">
        <w:tc>
          <w:tcPr>
            <w:tcW w:w="4621" w:type="dxa"/>
          </w:tcPr>
          <w:p w14:paraId="6D04D49B" w14:textId="77777777" w:rsidR="00CB756D" w:rsidRPr="002F0687" w:rsidRDefault="003321E6" w:rsidP="00CD26A1">
            <w:pPr>
              <w:pStyle w:val="CERnon-indent"/>
              <w:rPr>
                <w:color w:val="auto"/>
              </w:rPr>
            </w:pPr>
            <w:r w:rsidRPr="002F0687">
              <w:rPr>
                <w:color w:val="auto"/>
              </w:rPr>
              <w:t>Clearing House Automated Payments System</w:t>
            </w:r>
            <w:r w:rsidR="00E6374F" w:rsidRPr="002F0687">
              <w:rPr>
                <w:color w:val="auto"/>
              </w:rPr>
              <w:t>, or CHAPS</w:t>
            </w:r>
          </w:p>
        </w:tc>
        <w:tc>
          <w:tcPr>
            <w:tcW w:w="4622" w:type="dxa"/>
          </w:tcPr>
          <w:p w14:paraId="6D04D49C" w14:textId="77777777" w:rsidR="00CB756D" w:rsidRPr="002F0687" w:rsidRDefault="00E6374F" w:rsidP="00CD26A1">
            <w:pPr>
              <w:pStyle w:val="CERnon-indent"/>
              <w:rPr>
                <w:color w:val="auto"/>
              </w:rPr>
            </w:pPr>
            <w:r w:rsidRPr="002F0687">
              <w:rPr>
                <w:color w:val="auto"/>
              </w:rPr>
              <w:t>As defined in the Code</w:t>
            </w:r>
          </w:p>
        </w:tc>
      </w:tr>
      <w:tr w:rsidR="00CB756D" w:rsidRPr="002F0687" w14:paraId="6D04D4A0" w14:textId="77777777">
        <w:tc>
          <w:tcPr>
            <w:tcW w:w="4621" w:type="dxa"/>
          </w:tcPr>
          <w:p w14:paraId="6D04D49E" w14:textId="77777777" w:rsidR="00CB756D" w:rsidRPr="002F0687" w:rsidRDefault="00E36E7F" w:rsidP="00CD26A1">
            <w:pPr>
              <w:pStyle w:val="CERnon-indent"/>
              <w:rPr>
                <w:color w:val="auto"/>
              </w:rPr>
            </w:pPr>
            <w:r w:rsidRPr="002F0687">
              <w:rPr>
                <w:color w:val="auto"/>
              </w:rPr>
              <w:t xml:space="preserve">Clearing Account and </w:t>
            </w:r>
            <w:r w:rsidR="00CB756D" w:rsidRPr="002F0687">
              <w:rPr>
                <w:color w:val="auto"/>
              </w:rPr>
              <w:t>Collateral Reserve Account</w:t>
            </w:r>
          </w:p>
        </w:tc>
        <w:tc>
          <w:tcPr>
            <w:tcW w:w="4622" w:type="dxa"/>
          </w:tcPr>
          <w:p w14:paraId="6D04D49F" w14:textId="77777777" w:rsidR="00CB756D" w:rsidRPr="002F0687" w:rsidRDefault="00CB756D" w:rsidP="00CD26A1">
            <w:pPr>
              <w:pStyle w:val="CERnon-indent"/>
              <w:rPr>
                <w:color w:val="auto"/>
              </w:rPr>
            </w:pPr>
            <w:r w:rsidRPr="002F0687">
              <w:rPr>
                <w:color w:val="auto"/>
              </w:rPr>
              <w:t>mean</w:t>
            </w:r>
            <w:r w:rsidR="00E36E7F" w:rsidRPr="002F0687">
              <w:rPr>
                <w:color w:val="auto"/>
              </w:rPr>
              <w:t xml:space="preserve"> respectively the SEM Capacity Clearing Account and Trading Clearing Accounts, and the SEM Collateral Reserve Accounts as defined in the Code.</w:t>
            </w:r>
          </w:p>
        </w:tc>
      </w:tr>
      <w:tr w:rsidR="00874FD1" w:rsidRPr="002F0687" w14:paraId="6D04D4A3" w14:textId="77777777">
        <w:tc>
          <w:tcPr>
            <w:tcW w:w="4621" w:type="dxa"/>
          </w:tcPr>
          <w:p w14:paraId="6D04D4A1" w14:textId="77777777" w:rsidR="00874FD1" w:rsidRPr="002F0687" w:rsidRDefault="00874FD1" w:rsidP="00CD26A1">
            <w:pPr>
              <w:pStyle w:val="CERnon-indent"/>
              <w:rPr>
                <w:color w:val="auto"/>
              </w:rPr>
            </w:pPr>
            <w:r>
              <w:rPr>
                <w:color w:val="auto"/>
              </w:rPr>
              <w:t>Deed of Charge and Account Security</w:t>
            </w:r>
          </w:p>
        </w:tc>
        <w:tc>
          <w:tcPr>
            <w:tcW w:w="4622" w:type="dxa"/>
          </w:tcPr>
          <w:p w14:paraId="6D04D4A2" w14:textId="77777777" w:rsidR="00874FD1" w:rsidRPr="002F0687" w:rsidRDefault="00874FD1" w:rsidP="00CD26A1">
            <w:pPr>
              <w:pStyle w:val="CERnon-indent"/>
              <w:rPr>
                <w:color w:val="auto"/>
              </w:rPr>
            </w:pPr>
            <w:r>
              <w:rPr>
                <w:color w:val="auto"/>
              </w:rPr>
              <w:t>As defined in the Code</w:t>
            </w:r>
          </w:p>
        </w:tc>
      </w:tr>
      <w:tr w:rsidR="00CB756D" w:rsidRPr="002F0687" w14:paraId="6D04D4A6" w14:textId="77777777">
        <w:tc>
          <w:tcPr>
            <w:tcW w:w="4621" w:type="dxa"/>
          </w:tcPr>
          <w:p w14:paraId="6D04D4A4" w14:textId="77777777" w:rsidR="00CB756D" w:rsidRPr="002F0687" w:rsidRDefault="00CB756D" w:rsidP="00CD26A1">
            <w:pPr>
              <w:pStyle w:val="CERnon-indent"/>
              <w:rPr>
                <w:color w:val="auto"/>
              </w:rPr>
            </w:pPr>
            <w:r w:rsidRPr="002F0687">
              <w:rPr>
                <w:color w:val="auto"/>
              </w:rPr>
              <w:t>E</w:t>
            </w:r>
            <w:r w:rsidR="003321E6" w:rsidRPr="002F0687">
              <w:rPr>
                <w:color w:val="auto"/>
              </w:rPr>
              <w:t xml:space="preserve">lectronic </w:t>
            </w:r>
            <w:r w:rsidRPr="002F0687">
              <w:rPr>
                <w:color w:val="auto"/>
              </w:rPr>
              <w:t>F</w:t>
            </w:r>
            <w:r w:rsidR="003321E6" w:rsidRPr="002F0687">
              <w:rPr>
                <w:color w:val="auto"/>
              </w:rPr>
              <w:t xml:space="preserve">unds </w:t>
            </w:r>
            <w:r w:rsidRPr="002F0687">
              <w:rPr>
                <w:color w:val="auto"/>
              </w:rPr>
              <w:t>T</w:t>
            </w:r>
            <w:r w:rsidR="003321E6" w:rsidRPr="002F0687">
              <w:rPr>
                <w:color w:val="auto"/>
              </w:rPr>
              <w:t>ransfer</w:t>
            </w:r>
            <w:r w:rsidR="00E6374F" w:rsidRPr="002F0687">
              <w:rPr>
                <w:color w:val="auto"/>
              </w:rPr>
              <w:t>, or EFT</w:t>
            </w:r>
          </w:p>
        </w:tc>
        <w:tc>
          <w:tcPr>
            <w:tcW w:w="4622" w:type="dxa"/>
          </w:tcPr>
          <w:p w14:paraId="6D04D4A5" w14:textId="77777777" w:rsidR="00CB756D" w:rsidRPr="002F0687" w:rsidRDefault="00E6374F" w:rsidP="00CD26A1">
            <w:pPr>
              <w:pStyle w:val="CERnon-indent"/>
              <w:rPr>
                <w:color w:val="auto"/>
              </w:rPr>
            </w:pPr>
            <w:r w:rsidRPr="002F0687">
              <w:rPr>
                <w:color w:val="auto"/>
              </w:rPr>
              <w:t>As defined in the Code</w:t>
            </w:r>
          </w:p>
        </w:tc>
      </w:tr>
      <w:tr w:rsidR="00CB756D" w:rsidRPr="002F0687" w14:paraId="6D04D4A9" w14:textId="77777777">
        <w:tc>
          <w:tcPr>
            <w:tcW w:w="4621" w:type="dxa"/>
          </w:tcPr>
          <w:p w14:paraId="6D04D4A7" w14:textId="77777777" w:rsidR="00CB756D" w:rsidRPr="002F0687" w:rsidRDefault="00CB756D" w:rsidP="00CD26A1">
            <w:pPr>
              <w:pStyle w:val="CERnon-indent"/>
              <w:rPr>
                <w:color w:val="auto"/>
              </w:rPr>
            </w:pPr>
            <w:r w:rsidRPr="002F0687">
              <w:rPr>
                <w:color w:val="auto"/>
              </w:rPr>
              <w:t>L</w:t>
            </w:r>
            <w:r w:rsidR="003321E6" w:rsidRPr="002F0687">
              <w:rPr>
                <w:color w:val="auto"/>
              </w:rPr>
              <w:t xml:space="preserve">etter of </w:t>
            </w:r>
            <w:r w:rsidRPr="002F0687">
              <w:rPr>
                <w:color w:val="auto"/>
              </w:rPr>
              <w:t>C</w:t>
            </w:r>
            <w:r w:rsidR="003321E6" w:rsidRPr="002F0687">
              <w:rPr>
                <w:color w:val="auto"/>
              </w:rPr>
              <w:t>redit</w:t>
            </w:r>
          </w:p>
        </w:tc>
        <w:tc>
          <w:tcPr>
            <w:tcW w:w="4622" w:type="dxa"/>
          </w:tcPr>
          <w:p w14:paraId="6D04D4A8" w14:textId="77777777" w:rsidR="00CB756D" w:rsidRPr="002F0687" w:rsidRDefault="00CB756D" w:rsidP="00CD26A1">
            <w:pPr>
              <w:pStyle w:val="CERnon-indent"/>
              <w:rPr>
                <w:color w:val="auto"/>
              </w:rPr>
            </w:pPr>
            <w:r w:rsidRPr="002F0687">
              <w:rPr>
                <w:color w:val="auto"/>
              </w:rPr>
              <w:t>means an unconditional and irrevocable standby letter of credit as more particularly described in the Code.</w:t>
            </w:r>
          </w:p>
        </w:tc>
      </w:tr>
      <w:tr w:rsidR="00564582" w:rsidRPr="002F0687" w14:paraId="6D04D4AC" w14:textId="77777777">
        <w:tc>
          <w:tcPr>
            <w:tcW w:w="4621" w:type="dxa"/>
          </w:tcPr>
          <w:p w14:paraId="6D04D4AA" w14:textId="77777777" w:rsidR="00564582" w:rsidRPr="002F0687" w:rsidRDefault="00564582" w:rsidP="00CD26A1">
            <w:pPr>
              <w:pStyle w:val="CERnon-indent"/>
              <w:rPr>
                <w:color w:val="auto"/>
              </w:rPr>
            </w:pPr>
            <w:r w:rsidRPr="002F0687">
              <w:rPr>
                <w:color w:val="auto"/>
              </w:rPr>
              <w:t>Market Operator Website</w:t>
            </w:r>
          </w:p>
        </w:tc>
        <w:tc>
          <w:tcPr>
            <w:tcW w:w="4622" w:type="dxa"/>
          </w:tcPr>
          <w:p w14:paraId="6D04D4AB" w14:textId="77777777" w:rsidR="00564582" w:rsidRPr="002F0687" w:rsidRDefault="00564582" w:rsidP="00CD26A1">
            <w:pPr>
              <w:pStyle w:val="CERnon-indent"/>
              <w:rPr>
                <w:color w:val="auto"/>
              </w:rPr>
            </w:pPr>
            <w:r w:rsidRPr="002F0687">
              <w:rPr>
                <w:color w:val="auto"/>
              </w:rPr>
              <w:t xml:space="preserve">As defined in </w:t>
            </w:r>
            <w:r w:rsidR="0042541D" w:rsidRPr="002F0687">
              <w:rPr>
                <w:color w:val="auto"/>
              </w:rPr>
              <w:t>Agreed Procedure 1 "Participant and Unit Registration and Deregistration"</w:t>
            </w:r>
          </w:p>
        </w:tc>
      </w:tr>
      <w:tr w:rsidR="00874FD1" w:rsidRPr="002F0687" w14:paraId="6D04D4AF" w14:textId="77777777">
        <w:tc>
          <w:tcPr>
            <w:tcW w:w="4621" w:type="dxa"/>
          </w:tcPr>
          <w:p w14:paraId="6D04D4AD" w14:textId="77777777" w:rsidR="00874FD1" w:rsidRPr="002F0687" w:rsidRDefault="00874FD1" w:rsidP="00CD26A1">
            <w:pPr>
              <w:pStyle w:val="CERnon-indent"/>
              <w:rPr>
                <w:color w:val="auto"/>
              </w:rPr>
            </w:pPr>
            <w:r>
              <w:rPr>
                <w:color w:val="auto"/>
              </w:rPr>
              <w:t>Notice of Assignment and Acknowledgement</w:t>
            </w:r>
          </w:p>
        </w:tc>
        <w:tc>
          <w:tcPr>
            <w:tcW w:w="4622" w:type="dxa"/>
          </w:tcPr>
          <w:p w14:paraId="6D04D4AE" w14:textId="77777777" w:rsidR="00874FD1" w:rsidRPr="002F0687" w:rsidRDefault="00874FD1" w:rsidP="00CD26A1">
            <w:pPr>
              <w:pStyle w:val="CERnon-indent"/>
              <w:rPr>
                <w:color w:val="auto"/>
              </w:rPr>
            </w:pPr>
            <w:r>
              <w:rPr>
                <w:color w:val="auto"/>
              </w:rPr>
              <w:t>As defined in the Code</w:t>
            </w:r>
          </w:p>
        </w:tc>
      </w:tr>
      <w:tr w:rsidR="00CB756D" w:rsidRPr="002F0687" w14:paraId="6D04D4B2" w14:textId="77777777">
        <w:tc>
          <w:tcPr>
            <w:tcW w:w="4621" w:type="dxa"/>
          </w:tcPr>
          <w:p w14:paraId="6D04D4B0" w14:textId="77777777" w:rsidR="00CB756D" w:rsidRPr="002F0687" w:rsidRDefault="00D96609" w:rsidP="00CD26A1">
            <w:pPr>
              <w:pStyle w:val="CERnon-indent"/>
              <w:rPr>
                <w:color w:val="auto"/>
              </w:rPr>
            </w:pPr>
            <w:r w:rsidRPr="002F0687">
              <w:rPr>
                <w:color w:val="auto"/>
              </w:rPr>
              <w:t>Short Name</w:t>
            </w:r>
          </w:p>
        </w:tc>
        <w:tc>
          <w:tcPr>
            <w:tcW w:w="4622" w:type="dxa"/>
          </w:tcPr>
          <w:p w14:paraId="6D04D4B1" w14:textId="77777777" w:rsidR="00CB756D" w:rsidRPr="002F0687" w:rsidRDefault="00D96609" w:rsidP="00CD26A1">
            <w:pPr>
              <w:pStyle w:val="CERnon-indent"/>
              <w:rPr>
                <w:color w:val="auto"/>
              </w:rPr>
            </w:pPr>
            <w:r w:rsidRPr="002F0687">
              <w:rPr>
                <w:color w:val="auto"/>
              </w:rPr>
              <w:t xml:space="preserve">A unique identifier </w:t>
            </w:r>
            <w:r w:rsidR="00DB7A1F" w:rsidRPr="002F0687">
              <w:rPr>
                <w:color w:val="auto"/>
              </w:rPr>
              <w:t>that identifies a Participant, provided by the Market Operator’s Isolated Market System following the registration of that Participant</w:t>
            </w:r>
          </w:p>
        </w:tc>
      </w:tr>
    </w:tbl>
    <w:p w14:paraId="6D04D4B3" w14:textId="77777777" w:rsidR="001A5A31" w:rsidRPr="002F0687" w:rsidRDefault="001A5A31" w:rsidP="00133DA4">
      <w:pPr>
        <w:pStyle w:val="CERHEADING3"/>
        <w:ind w:left="0"/>
        <w:rPr>
          <w:color w:val="auto"/>
        </w:rPr>
      </w:pPr>
      <w:r w:rsidRPr="002F0687">
        <w:rPr>
          <w:color w:val="auto"/>
        </w:rPr>
        <w:t>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14"/>
      </w:tblGrid>
      <w:tr w:rsidR="00133DA4" w:rsidRPr="002F0687" w14:paraId="6D04D4B6" w14:textId="77777777">
        <w:tc>
          <w:tcPr>
            <w:tcW w:w="4621" w:type="dxa"/>
            <w:shd w:val="clear" w:color="auto" w:fill="B3B3B3"/>
          </w:tcPr>
          <w:p w14:paraId="6D04D4B4" w14:textId="77777777" w:rsidR="00133DA4" w:rsidRPr="002F0687" w:rsidRDefault="00133DA4" w:rsidP="00133DA4">
            <w:pPr>
              <w:pStyle w:val="CERTableHeader"/>
            </w:pPr>
            <w:r w:rsidRPr="002F0687">
              <w:t>Term</w:t>
            </w:r>
          </w:p>
        </w:tc>
        <w:tc>
          <w:tcPr>
            <w:tcW w:w="4622" w:type="dxa"/>
            <w:shd w:val="clear" w:color="auto" w:fill="B3B3B3"/>
          </w:tcPr>
          <w:p w14:paraId="6D04D4B5" w14:textId="77777777" w:rsidR="00133DA4" w:rsidRPr="002F0687" w:rsidRDefault="00133DA4" w:rsidP="00133DA4">
            <w:pPr>
              <w:pStyle w:val="CERTableHeader"/>
            </w:pPr>
            <w:r w:rsidRPr="002F0687">
              <w:t>Definition</w:t>
            </w:r>
          </w:p>
        </w:tc>
      </w:tr>
      <w:tr w:rsidR="001A5A31" w:rsidRPr="002F0687" w14:paraId="6D04D4B9" w14:textId="77777777">
        <w:tc>
          <w:tcPr>
            <w:tcW w:w="4621" w:type="dxa"/>
          </w:tcPr>
          <w:p w14:paraId="6D04D4B7" w14:textId="77777777" w:rsidR="001A5A31" w:rsidRPr="002F0687" w:rsidRDefault="001A5A31" w:rsidP="00CD26A1">
            <w:pPr>
              <w:pStyle w:val="CERnon-indent"/>
              <w:rPr>
                <w:color w:val="auto"/>
              </w:rPr>
            </w:pPr>
            <w:r w:rsidRPr="002F0687">
              <w:rPr>
                <w:color w:val="auto"/>
              </w:rPr>
              <w:t>BACS</w:t>
            </w:r>
          </w:p>
        </w:tc>
        <w:tc>
          <w:tcPr>
            <w:tcW w:w="4622" w:type="dxa"/>
          </w:tcPr>
          <w:p w14:paraId="6D04D4B8" w14:textId="77777777" w:rsidR="001A5A31" w:rsidRPr="002F0687" w:rsidRDefault="001A5A31" w:rsidP="00CD26A1">
            <w:pPr>
              <w:pStyle w:val="CERnon-indent"/>
              <w:rPr>
                <w:color w:val="auto"/>
              </w:rPr>
            </w:pPr>
            <w:r w:rsidRPr="002F0687">
              <w:rPr>
                <w:color w:val="auto"/>
              </w:rPr>
              <w:t>Banks Automated Clearing System</w:t>
            </w:r>
          </w:p>
        </w:tc>
      </w:tr>
      <w:tr w:rsidR="001A5A31" w:rsidRPr="002F0687" w14:paraId="6D04D4BC" w14:textId="77777777">
        <w:tc>
          <w:tcPr>
            <w:tcW w:w="4621" w:type="dxa"/>
          </w:tcPr>
          <w:p w14:paraId="6D04D4BA" w14:textId="77777777" w:rsidR="001A5A31" w:rsidRPr="002F0687" w:rsidRDefault="001A5A31" w:rsidP="00CD26A1">
            <w:pPr>
              <w:pStyle w:val="CERnon-indent"/>
              <w:rPr>
                <w:color w:val="auto"/>
              </w:rPr>
            </w:pPr>
            <w:r w:rsidRPr="002F0687">
              <w:rPr>
                <w:color w:val="auto"/>
              </w:rPr>
              <w:t>CHAPS</w:t>
            </w:r>
          </w:p>
        </w:tc>
        <w:tc>
          <w:tcPr>
            <w:tcW w:w="4622" w:type="dxa"/>
          </w:tcPr>
          <w:p w14:paraId="6D04D4BB" w14:textId="77777777" w:rsidR="001A5A31" w:rsidRPr="002F0687" w:rsidRDefault="001A5A31" w:rsidP="00CD26A1">
            <w:pPr>
              <w:pStyle w:val="CERnon-indent"/>
              <w:rPr>
                <w:color w:val="auto"/>
              </w:rPr>
            </w:pPr>
            <w:r w:rsidRPr="002F0687">
              <w:rPr>
                <w:color w:val="auto"/>
              </w:rPr>
              <w:t>Clearing House Automated Payments System</w:t>
            </w:r>
          </w:p>
        </w:tc>
      </w:tr>
      <w:tr w:rsidR="001A5A31" w:rsidRPr="002F0687" w14:paraId="6D04D4BF" w14:textId="77777777">
        <w:tc>
          <w:tcPr>
            <w:tcW w:w="4621" w:type="dxa"/>
          </w:tcPr>
          <w:p w14:paraId="6D04D4BD" w14:textId="77777777" w:rsidR="001A5A31" w:rsidRPr="002F0687" w:rsidRDefault="001A5A31" w:rsidP="00CD26A1">
            <w:pPr>
              <w:pStyle w:val="CERnon-indent"/>
              <w:rPr>
                <w:color w:val="auto"/>
              </w:rPr>
            </w:pPr>
            <w:r w:rsidRPr="002F0687">
              <w:rPr>
                <w:color w:val="auto"/>
              </w:rPr>
              <w:t>EFT</w:t>
            </w:r>
          </w:p>
        </w:tc>
        <w:tc>
          <w:tcPr>
            <w:tcW w:w="4622" w:type="dxa"/>
          </w:tcPr>
          <w:p w14:paraId="6D04D4BE" w14:textId="77777777" w:rsidR="001A5A31" w:rsidRPr="002F0687" w:rsidRDefault="001A5A31" w:rsidP="00CD26A1">
            <w:pPr>
              <w:pStyle w:val="CERnon-indent"/>
              <w:rPr>
                <w:color w:val="auto"/>
              </w:rPr>
            </w:pPr>
            <w:r w:rsidRPr="002F0687">
              <w:rPr>
                <w:color w:val="auto"/>
              </w:rPr>
              <w:t>Electronic Funds Transfer</w:t>
            </w:r>
          </w:p>
        </w:tc>
      </w:tr>
      <w:tr w:rsidR="001A5A31" w:rsidRPr="002F0687" w14:paraId="6D04D4C2" w14:textId="77777777">
        <w:tc>
          <w:tcPr>
            <w:tcW w:w="4621" w:type="dxa"/>
          </w:tcPr>
          <w:p w14:paraId="6D04D4C0" w14:textId="77777777" w:rsidR="001A5A31" w:rsidRPr="002F0687" w:rsidRDefault="001A5A31" w:rsidP="00CD26A1">
            <w:pPr>
              <w:pStyle w:val="CERnon-indent"/>
              <w:rPr>
                <w:color w:val="auto"/>
              </w:rPr>
            </w:pPr>
            <w:r w:rsidRPr="002F0687">
              <w:rPr>
                <w:color w:val="auto"/>
              </w:rPr>
              <w:t>LOC</w:t>
            </w:r>
          </w:p>
        </w:tc>
        <w:tc>
          <w:tcPr>
            <w:tcW w:w="4622" w:type="dxa"/>
          </w:tcPr>
          <w:p w14:paraId="6D04D4C1" w14:textId="77777777" w:rsidR="001A5A31" w:rsidRPr="002F0687" w:rsidRDefault="001A5A31" w:rsidP="00CD26A1">
            <w:pPr>
              <w:pStyle w:val="CERnon-indent"/>
              <w:rPr>
                <w:color w:val="auto"/>
              </w:rPr>
            </w:pPr>
            <w:r w:rsidRPr="002F0687">
              <w:rPr>
                <w:color w:val="auto"/>
              </w:rPr>
              <w:t>Letter of Credit</w:t>
            </w:r>
          </w:p>
        </w:tc>
      </w:tr>
      <w:tr w:rsidR="001A5A31" w:rsidRPr="002F0687" w14:paraId="6D04D4C5" w14:textId="77777777">
        <w:tc>
          <w:tcPr>
            <w:tcW w:w="4621" w:type="dxa"/>
          </w:tcPr>
          <w:p w14:paraId="6D04D4C3" w14:textId="77777777" w:rsidR="001A5A31" w:rsidRPr="002F0687" w:rsidRDefault="001A5A31" w:rsidP="00CD26A1">
            <w:pPr>
              <w:pStyle w:val="CERnon-indent"/>
              <w:rPr>
                <w:color w:val="auto"/>
              </w:rPr>
            </w:pPr>
            <w:r w:rsidRPr="002F0687">
              <w:rPr>
                <w:color w:val="auto"/>
              </w:rPr>
              <w:t>MO</w:t>
            </w:r>
          </w:p>
        </w:tc>
        <w:tc>
          <w:tcPr>
            <w:tcW w:w="4622" w:type="dxa"/>
          </w:tcPr>
          <w:p w14:paraId="6D04D4C4" w14:textId="77777777" w:rsidR="001A5A31" w:rsidRPr="002F0687" w:rsidRDefault="001A5A31" w:rsidP="00CD26A1">
            <w:pPr>
              <w:pStyle w:val="CERnon-indent"/>
              <w:rPr>
                <w:color w:val="auto"/>
              </w:rPr>
            </w:pPr>
            <w:r w:rsidRPr="002F0687">
              <w:rPr>
                <w:color w:val="auto"/>
              </w:rPr>
              <w:t>Market Operator</w:t>
            </w:r>
          </w:p>
        </w:tc>
      </w:tr>
      <w:tr w:rsidR="001A5A31" w:rsidRPr="0025649B" w14:paraId="6D04D4C8" w14:textId="77777777">
        <w:tc>
          <w:tcPr>
            <w:tcW w:w="4621" w:type="dxa"/>
          </w:tcPr>
          <w:p w14:paraId="6D04D4C6" w14:textId="77777777" w:rsidR="001A5A31" w:rsidRPr="002F0687" w:rsidRDefault="001A5A31" w:rsidP="00CD26A1">
            <w:pPr>
              <w:pStyle w:val="CERnon-indent"/>
              <w:rPr>
                <w:color w:val="auto"/>
              </w:rPr>
            </w:pPr>
            <w:r w:rsidRPr="002F0687">
              <w:rPr>
                <w:color w:val="auto"/>
              </w:rPr>
              <w:t>SEM</w:t>
            </w:r>
          </w:p>
        </w:tc>
        <w:tc>
          <w:tcPr>
            <w:tcW w:w="4622" w:type="dxa"/>
          </w:tcPr>
          <w:p w14:paraId="6D04D4C7" w14:textId="77777777" w:rsidR="001A5A31" w:rsidRPr="0025649B" w:rsidRDefault="001A5A31" w:rsidP="00CD26A1">
            <w:pPr>
              <w:pStyle w:val="CERnon-indent"/>
              <w:rPr>
                <w:color w:val="auto"/>
              </w:rPr>
            </w:pPr>
            <w:r w:rsidRPr="002F0687">
              <w:rPr>
                <w:color w:val="auto"/>
              </w:rPr>
              <w:t>Single Electricity Market</w:t>
            </w:r>
          </w:p>
        </w:tc>
      </w:tr>
    </w:tbl>
    <w:p w14:paraId="6D04D4C9" w14:textId="77777777" w:rsidR="001A5A31" w:rsidRPr="0025649B" w:rsidRDefault="001A5A31" w:rsidP="001A5A31">
      <w:pPr>
        <w:rPr>
          <w:rFonts w:cs="Arial"/>
          <w:sz w:val="16"/>
          <w:szCs w:val="16"/>
        </w:rPr>
      </w:pPr>
    </w:p>
    <w:sectPr w:rsidR="001A5A31" w:rsidRPr="0025649B" w:rsidSect="0062059F">
      <w:headerReference w:type="even" r:id="rId16"/>
      <w:footerReference w:type="default" r:id="rId17"/>
      <w:headerReference w:type="first" r:id="rId18"/>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D421" w14:textId="77777777" w:rsidR="007A59A2" w:rsidRDefault="007A59A2">
      <w:r>
        <w:separator/>
      </w:r>
    </w:p>
  </w:endnote>
  <w:endnote w:type="continuationSeparator" w:id="0">
    <w:p w14:paraId="20745480" w14:textId="77777777" w:rsidR="007A59A2" w:rsidRDefault="007A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D4D7" w14:textId="77777777" w:rsidR="00132AEA" w:rsidRDefault="00132AEA" w:rsidP="00133DA4">
    <w:pPr>
      <w:jc w:val="center"/>
    </w:pPr>
    <w:r>
      <w:t xml:space="preserve">AP17 – </w:t>
    </w:r>
    <w:r>
      <w:fldChar w:fldCharType="begin"/>
    </w:r>
    <w:r>
      <w:instrText xml:space="preserve"> PAGE </w:instrText>
    </w:r>
    <w:r>
      <w:fldChar w:fldCharType="separate"/>
    </w:r>
    <w:r w:rsidR="00C17361">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D4D8" w14:textId="77777777" w:rsidR="00132AEA" w:rsidRDefault="00132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D4DA" w14:textId="77777777" w:rsidR="00132AEA" w:rsidRDefault="00132AEA" w:rsidP="00133DA4">
    <w:pPr>
      <w:jc w:val="center"/>
    </w:pPr>
    <w:r>
      <w:t xml:space="preserve">AP17 – </w:t>
    </w:r>
    <w:r>
      <w:fldChar w:fldCharType="begin"/>
    </w:r>
    <w:r>
      <w:instrText xml:space="preserve"> PAGE </w:instrText>
    </w:r>
    <w:r>
      <w:fldChar w:fldCharType="separate"/>
    </w:r>
    <w:r w:rsidR="00C17361">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F74F7" w14:textId="77777777" w:rsidR="007A59A2" w:rsidRDefault="007A59A2">
      <w:r>
        <w:separator/>
      </w:r>
    </w:p>
  </w:footnote>
  <w:footnote w:type="continuationSeparator" w:id="0">
    <w:p w14:paraId="2D425870" w14:textId="77777777" w:rsidR="007A59A2" w:rsidRDefault="007A5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D4D9" w14:textId="77777777" w:rsidR="00132AEA" w:rsidRDefault="00132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D4DB" w14:textId="77777777" w:rsidR="00132AEA" w:rsidRDefault="00132A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2" w15:restartNumberingAfterBreak="0">
    <w:nsid w:val="172B038D"/>
    <w:multiLevelType w:val="multilevel"/>
    <w:tmpl w:val="AF38AA4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D12747B"/>
    <w:multiLevelType w:val="hybridMultilevel"/>
    <w:tmpl w:val="C682F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611FBA"/>
    <w:multiLevelType w:val="hybridMultilevel"/>
    <w:tmpl w:val="97F06FDE"/>
    <w:lvl w:ilvl="0" w:tplc="F5C2DC3A">
      <w:start w:val="1"/>
      <w:numFmt w:val="bullet"/>
      <w:pStyle w:val="CERNONINDENTBULLET3"/>
      <w:lvlText w:val=""/>
      <w:lvlJc w:val="left"/>
      <w:pPr>
        <w:tabs>
          <w:tab w:val="num" w:pos="1276"/>
        </w:tabs>
        <w:ind w:left="1276"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7" w15:restartNumberingAfterBreak="0">
    <w:nsid w:val="2AB75F65"/>
    <w:multiLevelType w:val="hybridMultilevel"/>
    <w:tmpl w:val="638EBB9E"/>
    <w:lvl w:ilvl="0" w:tplc="C17C4F02">
      <w:start w:val="1"/>
      <w:numFmt w:val="bullet"/>
      <w:pStyle w:val="CERNONINDENTBULLET2"/>
      <w:lvlText w:val=""/>
      <w:lvlJc w:val="left"/>
      <w:pPr>
        <w:tabs>
          <w:tab w:val="num" w:pos="992"/>
        </w:tabs>
        <w:ind w:left="992"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0052FB3"/>
    <w:multiLevelType w:val="hybridMultilevel"/>
    <w:tmpl w:val="D5F25F02"/>
    <w:lvl w:ilvl="0" w:tplc="0F207D3C">
      <w:start w:val="1"/>
      <w:numFmt w:val="bullet"/>
      <w:pStyle w:val="CERNONINDENTBULLET"/>
      <w:lvlText w:val=""/>
      <w:lvlJc w:val="left"/>
      <w:pPr>
        <w:tabs>
          <w:tab w:val="num" w:pos="567"/>
        </w:tabs>
        <w:ind w:left="567" w:hanging="56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1" w15:restartNumberingAfterBreak="0">
    <w:nsid w:val="492B4268"/>
    <w:multiLevelType w:val="hybridMultilevel"/>
    <w:tmpl w:val="54FCCCDC"/>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C5E7D16"/>
    <w:multiLevelType w:val="hybridMultilevel"/>
    <w:tmpl w:val="0D2EE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AC125F"/>
    <w:multiLevelType w:val="multilevel"/>
    <w:tmpl w:val="24C039DC"/>
    <w:lvl w:ilvl="0">
      <w:start w:val="1"/>
      <w:numFmt w:val="decimal"/>
      <w:pStyle w:val="CERNUMAPPENDXHD1"/>
      <w:suff w:val="space"/>
      <w:lvlText w:val="APPENDIX %1: "/>
      <w:lvlJc w:val="center"/>
      <w:pPr>
        <w:ind w:left="-858"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1.%2"/>
      <w:lvlJc w:val="left"/>
      <w:pPr>
        <w:tabs>
          <w:tab w:val="num" w:pos="-149"/>
        </w:tabs>
        <w:ind w:left="-14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8"/>
        </w:tabs>
        <w:ind w:left="-1119" w:firstLine="261"/>
      </w:pPr>
      <w:rPr>
        <w:rFonts w:hint="default"/>
      </w:rPr>
    </w:lvl>
    <w:lvl w:ilvl="3">
      <w:start w:val="1"/>
      <w:numFmt w:val="decimal"/>
      <w:lvlText w:val="%1.%2.%3.%4"/>
      <w:lvlJc w:val="left"/>
      <w:pPr>
        <w:tabs>
          <w:tab w:val="num" w:pos="222"/>
        </w:tabs>
        <w:ind w:left="-975" w:firstLine="117"/>
      </w:pPr>
      <w:rPr>
        <w:rFonts w:hint="default"/>
      </w:rPr>
    </w:lvl>
    <w:lvl w:ilvl="4">
      <w:start w:val="1"/>
      <w:numFmt w:val="decimal"/>
      <w:lvlText w:val="%1.%2.%3.%4.%5"/>
      <w:lvlJc w:val="left"/>
      <w:pPr>
        <w:tabs>
          <w:tab w:val="num" w:pos="582"/>
        </w:tabs>
        <w:ind w:left="-831" w:hanging="27"/>
      </w:pPr>
      <w:rPr>
        <w:rFonts w:hint="default"/>
      </w:rPr>
    </w:lvl>
    <w:lvl w:ilvl="5">
      <w:start w:val="1"/>
      <w:numFmt w:val="decimal"/>
      <w:lvlText w:val="%1.%2.%3.%4.%5.%6"/>
      <w:lvlJc w:val="left"/>
      <w:pPr>
        <w:tabs>
          <w:tab w:val="num" w:pos="582"/>
        </w:tabs>
        <w:ind w:left="-687" w:hanging="171"/>
      </w:pPr>
      <w:rPr>
        <w:rFonts w:hint="default"/>
      </w:rPr>
    </w:lvl>
    <w:lvl w:ilvl="6">
      <w:start w:val="1"/>
      <w:numFmt w:val="decimal"/>
      <w:lvlText w:val="%1.%2.%3.%4.%5.%6.%7"/>
      <w:lvlJc w:val="left"/>
      <w:pPr>
        <w:tabs>
          <w:tab w:val="num" w:pos="942"/>
        </w:tabs>
        <w:ind w:left="-543" w:hanging="315"/>
      </w:pPr>
      <w:rPr>
        <w:rFonts w:hint="default"/>
      </w:rPr>
    </w:lvl>
    <w:lvl w:ilvl="7">
      <w:start w:val="1"/>
      <w:numFmt w:val="decimal"/>
      <w:lvlText w:val="%1.%2.%3.%4.%5.%6.%7.%8"/>
      <w:lvlJc w:val="left"/>
      <w:pPr>
        <w:tabs>
          <w:tab w:val="num" w:pos="942"/>
        </w:tabs>
        <w:ind w:left="-399" w:hanging="459"/>
      </w:pPr>
      <w:rPr>
        <w:rFonts w:hint="default"/>
      </w:rPr>
    </w:lvl>
    <w:lvl w:ilvl="8">
      <w:start w:val="1"/>
      <w:numFmt w:val="decimal"/>
      <w:lvlText w:val="%1.%2.%3.%4.%5.%6.%7.%8.%9"/>
      <w:lvlJc w:val="left"/>
      <w:pPr>
        <w:tabs>
          <w:tab w:val="num" w:pos="1302"/>
        </w:tabs>
        <w:ind w:left="-255" w:hanging="603"/>
      </w:pPr>
      <w:rPr>
        <w:rFonts w:hint="default"/>
      </w:rPr>
    </w:lvl>
  </w:abstractNum>
  <w:num w:numId="1" w16cid:durableId="877933312">
    <w:abstractNumId w:val="0"/>
  </w:num>
  <w:num w:numId="2" w16cid:durableId="816607316">
    <w:abstractNumId w:val="6"/>
  </w:num>
  <w:num w:numId="3" w16cid:durableId="1457412202">
    <w:abstractNumId w:val="8"/>
  </w:num>
  <w:num w:numId="4" w16cid:durableId="1154956115">
    <w:abstractNumId w:val="4"/>
  </w:num>
  <w:num w:numId="5" w16cid:durableId="1095244104">
    <w:abstractNumId w:val="10"/>
  </w:num>
  <w:num w:numId="6" w16cid:durableId="13771488">
    <w:abstractNumId w:val="1"/>
  </w:num>
  <w:num w:numId="7" w16cid:durableId="139346325">
    <w:abstractNumId w:val="2"/>
  </w:num>
  <w:num w:numId="8" w16cid:durableId="1992440408">
    <w:abstractNumId w:val="13"/>
  </w:num>
  <w:num w:numId="9" w16cid:durableId="2093892635">
    <w:abstractNumId w:val="9"/>
  </w:num>
  <w:num w:numId="10" w16cid:durableId="276303678">
    <w:abstractNumId w:val="11"/>
  </w:num>
  <w:num w:numId="11" w16cid:durableId="1780762660">
    <w:abstractNumId w:val="7"/>
  </w:num>
  <w:num w:numId="12" w16cid:durableId="113599461">
    <w:abstractNumId w:val="5"/>
  </w:num>
  <w:num w:numId="13" w16cid:durableId="1955213881">
    <w:abstractNumId w:val="11"/>
    <w:lvlOverride w:ilvl="0">
      <w:startOverride w:val="1"/>
    </w:lvlOverride>
  </w:num>
  <w:num w:numId="14" w16cid:durableId="1504197580">
    <w:abstractNumId w:val="3"/>
  </w:num>
  <w:num w:numId="15" w16cid:durableId="114609383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0F02" w:allStyles="0" w:customStyles="1" w:latentStyles="0" w:stylesInUse="0" w:headingStyles="0" w:numberingStyles="0" w:tableStyles="0" w:directFormattingOnRuns="1" w:directFormattingOnParagraphs="1" w:directFormattingOnNumbering="1" w:directFormattingOnTables="1" w:clearFormatting="0" w:top3HeadingStyles="0" w:visibleStyles="0" w:alternateStyleNames="0"/>
  <w:defaultTabStop w:val="357"/>
  <w:clickAndTypeStyle w:val="CERBodyManualChar"/>
  <w:noPunctuationKerning/>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E3"/>
    <w:rsid w:val="00006C92"/>
    <w:rsid w:val="00012539"/>
    <w:rsid w:val="000273D5"/>
    <w:rsid w:val="00033CD7"/>
    <w:rsid w:val="00034B09"/>
    <w:rsid w:val="00036792"/>
    <w:rsid w:val="00043C81"/>
    <w:rsid w:val="00044972"/>
    <w:rsid w:val="000466AF"/>
    <w:rsid w:val="00046E51"/>
    <w:rsid w:val="00052FA8"/>
    <w:rsid w:val="0005670D"/>
    <w:rsid w:val="00057CE5"/>
    <w:rsid w:val="00095A5B"/>
    <w:rsid w:val="000A3E97"/>
    <w:rsid w:val="000B7646"/>
    <w:rsid w:val="000C3F1B"/>
    <w:rsid w:val="000E7F79"/>
    <w:rsid w:val="00104D7F"/>
    <w:rsid w:val="00117485"/>
    <w:rsid w:val="00132AEA"/>
    <w:rsid w:val="00133708"/>
    <w:rsid w:val="00133DA4"/>
    <w:rsid w:val="00141F04"/>
    <w:rsid w:val="00143F61"/>
    <w:rsid w:val="0015442F"/>
    <w:rsid w:val="00155243"/>
    <w:rsid w:val="00157938"/>
    <w:rsid w:val="00162383"/>
    <w:rsid w:val="001836AB"/>
    <w:rsid w:val="00187AEA"/>
    <w:rsid w:val="00191F06"/>
    <w:rsid w:val="001A5A31"/>
    <w:rsid w:val="001C01C1"/>
    <w:rsid w:val="001C42A8"/>
    <w:rsid w:val="001E2111"/>
    <w:rsid w:val="001E29A6"/>
    <w:rsid w:val="001E4B76"/>
    <w:rsid w:val="001E4B92"/>
    <w:rsid w:val="001F1CE8"/>
    <w:rsid w:val="001F4AEB"/>
    <w:rsid w:val="001F6E96"/>
    <w:rsid w:val="001F7942"/>
    <w:rsid w:val="002005E3"/>
    <w:rsid w:val="002026FD"/>
    <w:rsid w:val="002113BF"/>
    <w:rsid w:val="00225DB7"/>
    <w:rsid w:val="002331A1"/>
    <w:rsid w:val="00236E0B"/>
    <w:rsid w:val="00237964"/>
    <w:rsid w:val="00242077"/>
    <w:rsid w:val="00247D4F"/>
    <w:rsid w:val="0025649B"/>
    <w:rsid w:val="00270B84"/>
    <w:rsid w:val="00275A45"/>
    <w:rsid w:val="002779E7"/>
    <w:rsid w:val="002806C6"/>
    <w:rsid w:val="00290CF9"/>
    <w:rsid w:val="002965DE"/>
    <w:rsid w:val="00296FB6"/>
    <w:rsid w:val="002972F3"/>
    <w:rsid w:val="002C721E"/>
    <w:rsid w:val="002C763E"/>
    <w:rsid w:val="002D259F"/>
    <w:rsid w:val="002E2713"/>
    <w:rsid w:val="002E710A"/>
    <w:rsid w:val="002E7595"/>
    <w:rsid w:val="002F0687"/>
    <w:rsid w:val="002F4DE8"/>
    <w:rsid w:val="00306236"/>
    <w:rsid w:val="003242CD"/>
    <w:rsid w:val="003321E6"/>
    <w:rsid w:val="00345C3B"/>
    <w:rsid w:val="00356DEF"/>
    <w:rsid w:val="00360B28"/>
    <w:rsid w:val="003715A2"/>
    <w:rsid w:val="00381DC8"/>
    <w:rsid w:val="00382422"/>
    <w:rsid w:val="0038387F"/>
    <w:rsid w:val="00386788"/>
    <w:rsid w:val="00387217"/>
    <w:rsid w:val="00387497"/>
    <w:rsid w:val="003A20E6"/>
    <w:rsid w:val="003A7D79"/>
    <w:rsid w:val="003B432F"/>
    <w:rsid w:val="003C228D"/>
    <w:rsid w:val="003C2B74"/>
    <w:rsid w:val="003E1855"/>
    <w:rsid w:val="003E52F6"/>
    <w:rsid w:val="0041382B"/>
    <w:rsid w:val="004163B1"/>
    <w:rsid w:val="00423D19"/>
    <w:rsid w:val="0042541D"/>
    <w:rsid w:val="0043019E"/>
    <w:rsid w:val="00437861"/>
    <w:rsid w:val="00445866"/>
    <w:rsid w:val="00447056"/>
    <w:rsid w:val="004503B5"/>
    <w:rsid w:val="00450B11"/>
    <w:rsid w:val="00451445"/>
    <w:rsid w:val="004815AE"/>
    <w:rsid w:val="00483EF7"/>
    <w:rsid w:val="00484164"/>
    <w:rsid w:val="004928CA"/>
    <w:rsid w:val="004963D4"/>
    <w:rsid w:val="004E1B52"/>
    <w:rsid w:val="0053430B"/>
    <w:rsid w:val="00536005"/>
    <w:rsid w:val="0056424F"/>
    <w:rsid w:val="00564582"/>
    <w:rsid w:val="00574033"/>
    <w:rsid w:val="00576186"/>
    <w:rsid w:val="005A04F5"/>
    <w:rsid w:val="005D45AC"/>
    <w:rsid w:val="005D4734"/>
    <w:rsid w:val="005D4F0C"/>
    <w:rsid w:val="005E2744"/>
    <w:rsid w:val="00603621"/>
    <w:rsid w:val="0062059F"/>
    <w:rsid w:val="006308E6"/>
    <w:rsid w:val="006443B6"/>
    <w:rsid w:val="00652578"/>
    <w:rsid w:val="00654AA8"/>
    <w:rsid w:val="006605F6"/>
    <w:rsid w:val="0066079A"/>
    <w:rsid w:val="00662E63"/>
    <w:rsid w:val="006775E0"/>
    <w:rsid w:val="00680299"/>
    <w:rsid w:val="00684228"/>
    <w:rsid w:val="006874A2"/>
    <w:rsid w:val="00691118"/>
    <w:rsid w:val="00697BB7"/>
    <w:rsid w:val="006B19F6"/>
    <w:rsid w:val="006B2065"/>
    <w:rsid w:val="006C031A"/>
    <w:rsid w:val="006C2DAC"/>
    <w:rsid w:val="006C7963"/>
    <w:rsid w:val="00706EB3"/>
    <w:rsid w:val="0071008A"/>
    <w:rsid w:val="007115F6"/>
    <w:rsid w:val="00726D11"/>
    <w:rsid w:val="00731C42"/>
    <w:rsid w:val="0073315E"/>
    <w:rsid w:val="00734EDB"/>
    <w:rsid w:val="00736893"/>
    <w:rsid w:val="00740E08"/>
    <w:rsid w:val="00741D56"/>
    <w:rsid w:val="007458BE"/>
    <w:rsid w:val="007536EA"/>
    <w:rsid w:val="00793FC3"/>
    <w:rsid w:val="007A59A2"/>
    <w:rsid w:val="007B2EF1"/>
    <w:rsid w:val="007E01F3"/>
    <w:rsid w:val="007F5673"/>
    <w:rsid w:val="007F65EA"/>
    <w:rsid w:val="00804CAA"/>
    <w:rsid w:val="008146E3"/>
    <w:rsid w:val="00820C39"/>
    <w:rsid w:val="00825A01"/>
    <w:rsid w:val="008307E4"/>
    <w:rsid w:val="00841AD2"/>
    <w:rsid w:val="0085461E"/>
    <w:rsid w:val="00856F91"/>
    <w:rsid w:val="00860436"/>
    <w:rsid w:val="0086372C"/>
    <w:rsid w:val="00865F4F"/>
    <w:rsid w:val="0087263F"/>
    <w:rsid w:val="00874FD1"/>
    <w:rsid w:val="00876470"/>
    <w:rsid w:val="008769B0"/>
    <w:rsid w:val="0088650C"/>
    <w:rsid w:val="00894EE4"/>
    <w:rsid w:val="008A300A"/>
    <w:rsid w:val="008C6DF7"/>
    <w:rsid w:val="008D7F7D"/>
    <w:rsid w:val="008D7FC0"/>
    <w:rsid w:val="008E7949"/>
    <w:rsid w:val="008F18F5"/>
    <w:rsid w:val="008F3B65"/>
    <w:rsid w:val="00902083"/>
    <w:rsid w:val="009101B9"/>
    <w:rsid w:val="0092249E"/>
    <w:rsid w:val="0095081F"/>
    <w:rsid w:val="00982BAA"/>
    <w:rsid w:val="009A2815"/>
    <w:rsid w:val="009A2ABD"/>
    <w:rsid w:val="009A5EBF"/>
    <w:rsid w:val="009A7608"/>
    <w:rsid w:val="009C43D3"/>
    <w:rsid w:val="009D10CC"/>
    <w:rsid w:val="009F24ED"/>
    <w:rsid w:val="009F72F4"/>
    <w:rsid w:val="00A02163"/>
    <w:rsid w:val="00A0372C"/>
    <w:rsid w:val="00A157CA"/>
    <w:rsid w:val="00A2266D"/>
    <w:rsid w:val="00A275E0"/>
    <w:rsid w:val="00A31C7F"/>
    <w:rsid w:val="00A3208D"/>
    <w:rsid w:val="00A325F9"/>
    <w:rsid w:val="00A3712D"/>
    <w:rsid w:val="00A43595"/>
    <w:rsid w:val="00A44DF1"/>
    <w:rsid w:val="00A64A1F"/>
    <w:rsid w:val="00A6573E"/>
    <w:rsid w:val="00A85BAE"/>
    <w:rsid w:val="00AB1F0E"/>
    <w:rsid w:val="00AB67B7"/>
    <w:rsid w:val="00AC17F6"/>
    <w:rsid w:val="00AE3D0A"/>
    <w:rsid w:val="00AE4435"/>
    <w:rsid w:val="00AF0158"/>
    <w:rsid w:val="00AF5828"/>
    <w:rsid w:val="00B05A89"/>
    <w:rsid w:val="00B3782D"/>
    <w:rsid w:val="00B409FA"/>
    <w:rsid w:val="00B46095"/>
    <w:rsid w:val="00B52C44"/>
    <w:rsid w:val="00B67292"/>
    <w:rsid w:val="00B90478"/>
    <w:rsid w:val="00B95328"/>
    <w:rsid w:val="00BD102C"/>
    <w:rsid w:val="00BE37A0"/>
    <w:rsid w:val="00BF0300"/>
    <w:rsid w:val="00BF0B04"/>
    <w:rsid w:val="00BF1674"/>
    <w:rsid w:val="00C01F20"/>
    <w:rsid w:val="00C06C1E"/>
    <w:rsid w:val="00C06F5F"/>
    <w:rsid w:val="00C17361"/>
    <w:rsid w:val="00C30122"/>
    <w:rsid w:val="00C3396B"/>
    <w:rsid w:val="00C370B9"/>
    <w:rsid w:val="00C5114B"/>
    <w:rsid w:val="00C548A8"/>
    <w:rsid w:val="00C561D0"/>
    <w:rsid w:val="00C57B1B"/>
    <w:rsid w:val="00C648D7"/>
    <w:rsid w:val="00C77ABD"/>
    <w:rsid w:val="00CA22CA"/>
    <w:rsid w:val="00CA5A5B"/>
    <w:rsid w:val="00CB756D"/>
    <w:rsid w:val="00CC0BCD"/>
    <w:rsid w:val="00CD26A1"/>
    <w:rsid w:val="00CD614B"/>
    <w:rsid w:val="00CF3A5A"/>
    <w:rsid w:val="00D0340D"/>
    <w:rsid w:val="00D122DF"/>
    <w:rsid w:val="00D1654C"/>
    <w:rsid w:val="00D331A8"/>
    <w:rsid w:val="00D96609"/>
    <w:rsid w:val="00D9705A"/>
    <w:rsid w:val="00DB2A4D"/>
    <w:rsid w:val="00DB7A1F"/>
    <w:rsid w:val="00DF6C76"/>
    <w:rsid w:val="00E07503"/>
    <w:rsid w:val="00E10923"/>
    <w:rsid w:val="00E16CA1"/>
    <w:rsid w:val="00E25FA9"/>
    <w:rsid w:val="00E279B7"/>
    <w:rsid w:val="00E36E7F"/>
    <w:rsid w:val="00E37E51"/>
    <w:rsid w:val="00E607C8"/>
    <w:rsid w:val="00E6338A"/>
    <w:rsid w:val="00E6374F"/>
    <w:rsid w:val="00E83AE8"/>
    <w:rsid w:val="00E84ABE"/>
    <w:rsid w:val="00EA244D"/>
    <w:rsid w:val="00EA3F12"/>
    <w:rsid w:val="00EB44D5"/>
    <w:rsid w:val="00EB6FC0"/>
    <w:rsid w:val="00EE0C53"/>
    <w:rsid w:val="00EE0FF6"/>
    <w:rsid w:val="00F06746"/>
    <w:rsid w:val="00F16504"/>
    <w:rsid w:val="00F26E44"/>
    <w:rsid w:val="00F30137"/>
    <w:rsid w:val="00F4368F"/>
    <w:rsid w:val="00F467F3"/>
    <w:rsid w:val="00F55DF7"/>
    <w:rsid w:val="00F66E1A"/>
    <w:rsid w:val="00F67561"/>
    <w:rsid w:val="00F76E69"/>
    <w:rsid w:val="00F82D67"/>
    <w:rsid w:val="00F90C37"/>
    <w:rsid w:val="00FA04BC"/>
    <w:rsid w:val="00FA06CD"/>
    <w:rsid w:val="00FB642A"/>
    <w:rsid w:val="00FD1F7D"/>
    <w:rsid w:val="00FD75BA"/>
    <w:rsid w:val="00FF1600"/>
    <w:rsid w:val="00FF4600"/>
    <w:rsid w:val="00FF7C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6D04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5F6"/>
    <w:rPr>
      <w:rFonts w:ascii="Arial" w:hAnsi="Arial"/>
      <w:sz w:val="22"/>
      <w:szCs w:val="24"/>
      <w:lang w:val="en-GB" w:eastAsia="en-US"/>
    </w:rPr>
  </w:style>
  <w:style w:type="paragraph" w:styleId="Heading1">
    <w:name w:val="heading 1"/>
    <w:aliases w:val="Section Heading,First level,T1,h1,PR9,Section,level2 hdg"/>
    <w:basedOn w:val="Normal"/>
    <w:next w:val="Normal"/>
    <w:autoRedefine/>
    <w:qFormat/>
    <w:rsid w:val="006605F6"/>
    <w:pPr>
      <w:keepNext/>
      <w:numPr>
        <w:numId w:val="6"/>
      </w:numPr>
      <w:pBdr>
        <w:top w:val="single" w:sz="4" w:space="1" w:color="auto"/>
        <w:bottom w:val="single" w:sz="4" w:space="1" w:color="auto"/>
      </w:pBdr>
      <w:tabs>
        <w:tab w:val="clear" w:pos="541"/>
        <w:tab w:val="num" w:pos="900"/>
      </w:tabs>
      <w:spacing w:after="120"/>
      <w:ind w:left="1467" w:hanging="567"/>
      <w:jc w:val="center"/>
      <w:outlineLvl w:val="0"/>
    </w:pPr>
    <w:rPr>
      <w:b/>
      <w:bCs/>
      <w:sz w:val="28"/>
      <w:lang w:val="en-IE"/>
    </w:rPr>
  </w:style>
  <w:style w:type="paragraph" w:styleId="Heading2">
    <w:name w:val="heading 2"/>
    <w:aliases w:val="Reset numbering,Second level,T2,h2,PR10"/>
    <w:basedOn w:val="Normal"/>
    <w:next w:val="Normal"/>
    <w:qFormat/>
    <w:rsid w:val="006605F6"/>
    <w:pPr>
      <w:keepNext/>
      <w:numPr>
        <w:ilvl w:val="1"/>
        <w:numId w:val="6"/>
      </w:numPr>
      <w:tabs>
        <w:tab w:val="clear" w:pos="937"/>
        <w:tab w:val="num" w:pos="1440"/>
      </w:tabs>
      <w:spacing w:after="120"/>
      <w:ind w:left="1440" w:hanging="360"/>
      <w:jc w:val="both"/>
      <w:outlineLvl w:val="1"/>
    </w:pPr>
    <w:rPr>
      <w:rFonts w:cs="Arial"/>
      <w:b/>
      <w:sz w:val="24"/>
      <w:szCs w:val="22"/>
    </w:rPr>
  </w:style>
  <w:style w:type="paragraph" w:styleId="Heading3">
    <w:name w:val="heading 3"/>
    <w:aliases w:val=".,Level 1 - 1,H3,Third level,T3,PR11"/>
    <w:basedOn w:val="Normal"/>
    <w:next w:val="Normal"/>
    <w:qFormat/>
    <w:rsid w:val="006605F6"/>
    <w:pPr>
      <w:keepNext/>
      <w:numPr>
        <w:ilvl w:val="2"/>
        <w:numId w:val="6"/>
      </w:numPr>
      <w:tabs>
        <w:tab w:val="clear" w:pos="901"/>
        <w:tab w:val="num" w:pos="2160"/>
      </w:tabs>
      <w:ind w:left="2160" w:hanging="180"/>
      <w:outlineLvl w:val="2"/>
    </w:pPr>
    <w:rPr>
      <w:b/>
      <w:bCs/>
      <w:sz w:val="28"/>
    </w:rPr>
  </w:style>
  <w:style w:type="paragraph" w:styleId="Heading4">
    <w:name w:val="heading 4"/>
    <w:aliases w:val="Level 2 - a,Fourth level,T4,PR12,Sub-Minor"/>
    <w:basedOn w:val="Normal"/>
    <w:next w:val="Normal"/>
    <w:qFormat/>
    <w:rsid w:val="006605F6"/>
    <w:pPr>
      <w:keepNext/>
      <w:numPr>
        <w:numId w:val="5"/>
      </w:numPr>
      <w:tabs>
        <w:tab w:val="clear" w:pos="720"/>
        <w:tab w:val="num" w:pos="900"/>
      </w:tabs>
      <w:spacing w:before="240" w:after="60"/>
      <w:ind w:left="1467" w:hanging="567"/>
      <w:outlineLvl w:val="3"/>
    </w:pPr>
    <w:rPr>
      <w:b/>
      <w:bCs/>
      <w:sz w:val="28"/>
      <w:szCs w:val="28"/>
    </w:rPr>
  </w:style>
  <w:style w:type="paragraph" w:styleId="Heading5">
    <w:name w:val="heading 5"/>
    <w:aliases w:val="Level 3 - i,Appendix1,PR13,Block Label,test"/>
    <w:basedOn w:val="Normal"/>
    <w:next w:val="Normal"/>
    <w:qFormat/>
    <w:rsid w:val="006605F6"/>
    <w:pPr>
      <w:numPr>
        <w:ilvl w:val="4"/>
        <w:numId w:val="6"/>
      </w:numPr>
      <w:tabs>
        <w:tab w:val="clear" w:pos="1189"/>
        <w:tab w:val="num" w:pos="3600"/>
      </w:tabs>
      <w:spacing w:before="240" w:after="60"/>
      <w:ind w:left="3600" w:hanging="360"/>
      <w:outlineLvl w:val="4"/>
    </w:pPr>
    <w:rPr>
      <w:b/>
      <w:bCs/>
      <w:i/>
      <w:iCs/>
      <w:sz w:val="26"/>
      <w:szCs w:val="26"/>
    </w:rPr>
  </w:style>
  <w:style w:type="paragraph" w:styleId="Heading6">
    <w:name w:val="heading 6"/>
    <w:aliases w:val="Legal Level 1.,Appendix 2,PR14"/>
    <w:basedOn w:val="Normal"/>
    <w:next w:val="Normal"/>
    <w:qFormat/>
    <w:rsid w:val="006605F6"/>
    <w:pPr>
      <w:numPr>
        <w:ilvl w:val="5"/>
        <w:numId w:val="6"/>
      </w:numPr>
      <w:tabs>
        <w:tab w:val="clear" w:pos="1333"/>
        <w:tab w:val="num" w:pos="4320"/>
      </w:tabs>
      <w:spacing w:before="240" w:after="60"/>
      <w:ind w:left="4320" w:hanging="180"/>
      <w:outlineLvl w:val="5"/>
    </w:pPr>
    <w:rPr>
      <w:rFonts w:ascii="Times New Roman" w:hAnsi="Times New Roman"/>
      <w:b/>
      <w:bCs/>
      <w:szCs w:val="22"/>
    </w:rPr>
  </w:style>
  <w:style w:type="paragraph" w:styleId="Heading7">
    <w:name w:val="heading 7"/>
    <w:aliases w:val="Legal Level 1.1.,Appendix Header"/>
    <w:basedOn w:val="Normal"/>
    <w:next w:val="Normal"/>
    <w:qFormat/>
    <w:rsid w:val="006605F6"/>
    <w:pPr>
      <w:numPr>
        <w:ilvl w:val="6"/>
        <w:numId w:val="6"/>
      </w:numPr>
      <w:tabs>
        <w:tab w:val="clear" w:pos="1477"/>
        <w:tab w:val="num" w:pos="5040"/>
      </w:tabs>
      <w:spacing w:before="240" w:after="60"/>
      <w:ind w:left="5040" w:hanging="360"/>
      <w:outlineLvl w:val="6"/>
    </w:pPr>
    <w:rPr>
      <w:rFonts w:ascii="Times New Roman" w:hAnsi="Times New Roman"/>
      <w:sz w:val="24"/>
    </w:rPr>
  </w:style>
  <w:style w:type="paragraph" w:styleId="Heading8">
    <w:name w:val="heading 8"/>
    <w:aliases w:val="Legal Level 1.1.1."/>
    <w:basedOn w:val="Normal"/>
    <w:next w:val="Normal"/>
    <w:qFormat/>
    <w:rsid w:val="006605F6"/>
    <w:pPr>
      <w:numPr>
        <w:ilvl w:val="7"/>
        <w:numId w:val="6"/>
      </w:numPr>
      <w:tabs>
        <w:tab w:val="clear" w:pos="1621"/>
        <w:tab w:val="num" w:pos="5760"/>
      </w:tabs>
      <w:spacing w:before="240" w:after="60"/>
      <w:ind w:left="5760" w:hanging="360"/>
      <w:outlineLvl w:val="7"/>
    </w:pPr>
    <w:rPr>
      <w:rFonts w:ascii="Times New Roman" w:hAnsi="Times New Roman"/>
      <w:i/>
      <w:iCs/>
      <w:sz w:val="24"/>
    </w:rPr>
  </w:style>
  <w:style w:type="paragraph" w:styleId="Heading9">
    <w:name w:val="heading 9"/>
    <w:aliases w:val="Legal Level 1.1.1.1."/>
    <w:basedOn w:val="Normal"/>
    <w:next w:val="Normal"/>
    <w:qFormat/>
    <w:rsid w:val="006605F6"/>
    <w:pPr>
      <w:numPr>
        <w:ilvl w:val="8"/>
        <w:numId w:val="6"/>
      </w:numPr>
      <w:tabs>
        <w:tab w:val="clear" w:pos="1765"/>
        <w:tab w:val="num" w:pos="6480"/>
      </w:tabs>
      <w:spacing w:before="240" w:after="60"/>
      <w:ind w:left="6480" w:hanging="18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rsid w:val="006605F6"/>
    <w:rPr>
      <w:rFonts w:ascii="Arial" w:hAnsi="Arial"/>
      <w:sz w:val="22"/>
      <w:szCs w:val="24"/>
      <w:lang w:val="en-GB" w:eastAsia="en-US" w:bidi="ar-SA"/>
    </w:rPr>
  </w:style>
  <w:style w:type="paragraph" w:styleId="Header">
    <w:name w:val="header"/>
    <w:basedOn w:val="Normal"/>
    <w:link w:val="HeaderChar"/>
    <w:rsid w:val="006605F6"/>
    <w:pPr>
      <w:tabs>
        <w:tab w:val="center" w:pos="4153"/>
        <w:tab w:val="right" w:pos="8306"/>
      </w:tabs>
    </w:pPr>
  </w:style>
  <w:style w:type="character" w:customStyle="1" w:styleId="FooterChar">
    <w:name w:val="Footer Char"/>
    <w:basedOn w:val="DefaultParagraphFont"/>
    <w:link w:val="Footer"/>
    <w:semiHidden/>
    <w:rsid w:val="006605F6"/>
    <w:rPr>
      <w:rFonts w:ascii="Arial" w:hAnsi="Arial"/>
      <w:sz w:val="22"/>
      <w:szCs w:val="24"/>
      <w:lang w:val="en-GB" w:eastAsia="en-US" w:bidi="ar-SA"/>
    </w:rPr>
  </w:style>
  <w:style w:type="paragraph" w:styleId="Footer">
    <w:name w:val="footer"/>
    <w:basedOn w:val="Normal"/>
    <w:link w:val="FooterChar"/>
    <w:rsid w:val="006605F6"/>
    <w:pPr>
      <w:tabs>
        <w:tab w:val="center" w:pos="4153"/>
        <w:tab w:val="right" w:pos="8306"/>
      </w:tabs>
    </w:pPr>
  </w:style>
  <w:style w:type="paragraph" w:styleId="Caption">
    <w:name w:val="caption"/>
    <w:basedOn w:val="Normal"/>
    <w:next w:val="Normal"/>
    <w:qFormat/>
    <w:rsid w:val="006605F6"/>
    <w:pPr>
      <w:keepNext/>
      <w:spacing w:before="120" w:after="120"/>
      <w:ind w:left="851"/>
    </w:pPr>
    <w:rPr>
      <w:b/>
      <w:bCs/>
      <w:sz w:val="20"/>
      <w:szCs w:val="20"/>
      <w:lang w:val="en-IE" w:eastAsia="en-GB"/>
    </w:rPr>
  </w:style>
  <w:style w:type="paragraph" w:customStyle="1" w:styleId="CERAPPENDIXBODY">
    <w:name w:val="CER APPENDIX BODY"/>
    <w:link w:val="CERAPPENDIXBODYChar"/>
    <w:rsid w:val="006605F6"/>
    <w:pPr>
      <w:numPr>
        <w:ilvl w:val="1"/>
        <w:numId w:val="8"/>
      </w:numPr>
      <w:tabs>
        <w:tab w:val="clear" w:pos="-149"/>
        <w:tab w:val="left" w:pos="851"/>
        <w:tab w:val="num" w:pos="1080"/>
      </w:tabs>
      <w:spacing w:before="120" w:after="120"/>
      <w:ind w:left="1080" w:hanging="360"/>
      <w:jc w:val="both"/>
    </w:pPr>
    <w:rPr>
      <w:rFonts w:ascii="Arial" w:hAnsi="Arial"/>
      <w:color w:val="000000"/>
      <w:sz w:val="22"/>
      <w:lang w:val="en-GB" w:eastAsia="en-US"/>
    </w:rPr>
  </w:style>
  <w:style w:type="character" w:customStyle="1" w:styleId="CERAPPENDIXBODYChar">
    <w:name w:val="CER APPENDIX BODY Char"/>
    <w:basedOn w:val="DefaultParagraphFont"/>
    <w:link w:val="CERAPPENDIXBODY"/>
    <w:rsid w:val="006605F6"/>
    <w:rPr>
      <w:rFonts w:ascii="Arial" w:hAnsi="Arial"/>
      <w:color w:val="000000"/>
      <w:sz w:val="22"/>
      <w:lang w:val="en-GB" w:eastAsia="en-US" w:bidi="ar-SA"/>
    </w:rPr>
  </w:style>
  <w:style w:type="paragraph" w:customStyle="1" w:styleId="CERAPPENDIXHEADING1">
    <w:name w:val="CER APPENDIX HEADING 1"/>
    <w:next w:val="Normal"/>
    <w:rsid w:val="006605F6"/>
    <w:p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NumHeading">
    <w:name w:val="CER Appendix Num Heading"/>
    <w:next w:val="Normal"/>
    <w:rsid w:val="006605F6"/>
    <w:pPr>
      <w:keepNext/>
      <w:numPr>
        <w:numId w:val="1"/>
      </w:numPr>
      <w:tabs>
        <w:tab w:val="clear" w:pos="851"/>
        <w:tab w:val="num" w:pos="900"/>
      </w:tabs>
      <w:spacing w:before="120" w:after="120"/>
      <w:ind w:left="1467" w:hanging="567"/>
    </w:pPr>
    <w:rPr>
      <w:rFonts w:ascii="Arial" w:hAnsi="Arial"/>
      <w:b/>
      <w:sz w:val="22"/>
      <w:szCs w:val="24"/>
      <w:lang w:eastAsia="en-US"/>
    </w:rPr>
  </w:style>
  <w:style w:type="paragraph" w:customStyle="1" w:styleId="CERBODY">
    <w:name w:val="CER BODY"/>
    <w:link w:val="CERBODYCharChar"/>
    <w:rsid w:val="006605F6"/>
    <w:pPr>
      <w:numPr>
        <w:ilvl w:val="1"/>
        <w:numId w:val="2"/>
      </w:numPr>
      <w:tabs>
        <w:tab w:val="clear" w:pos="851"/>
        <w:tab w:val="num" w:pos="1440"/>
      </w:tabs>
      <w:spacing w:before="120" w:after="120"/>
      <w:ind w:left="1440" w:hanging="360"/>
      <w:jc w:val="both"/>
    </w:pPr>
    <w:rPr>
      <w:rFonts w:ascii="Arial" w:hAnsi="Arial"/>
      <w:sz w:val="22"/>
      <w:szCs w:val="22"/>
      <w:lang w:val="en-GB" w:eastAsia="en-US"/>
    </w:rPr>
  </w:style>
  <w:style w:type="character" w:customStyle="1" w:styleId="CERBODYCharChar">
    <w:name w:val="CER BODY Char Char"/>
    <w:basedOn w:val="DefaultParagraphFont"/>
    <w:link w:val="CERBODY"/>
    <w:rsid w:val="006605F6"/>
    <w:rPr>
      <w:rFonts w:ascii="Arial" w:hAnsi="Arial"/>
      <w:sz w:val="22"/>
      <w:szCs w:val="22"/>
      <w:lang w:val="en-GB" w:eastAsia="en-US" w:bidi="ar-SA"/>
    </w:rPr>
  </w:style>
  <w:style w:type="character" w:customStyle="1" w:styleId="CERBODYCharChar1">
    <w:name w:val="CER BODY Char Char1"/>
    <w:basedOn w:val="DefaultParagraphFont"/>
    <w:rsid w:val="006605F6"/>
    <w:rPr>
      <w:rFonts w:ascii="Arial" w:hAnsi="Arial"/>
      <w:sz w:val="22"/>
      <w:szCs w:val="22"/>
      <w:lang w:val="en-GB" w:eastAsia="en-US" w:bidi="ar-SA"/>
    </w:rPr>
  </w:style>
  <w:style w:type="paragraph" w:customStyle="1" w:styleId="CERBodyManual">
    <w:name w:val="CER Body Manual"/>
    <w:next w:val="CERBODY"/>
    <w:link w:val="CERBodyManualChar"/>
    <w:rsid w:val="006605F6"/>
    <w:pPr>
      <w:tabs>
        <w:tab w:val="left" w:pos="851"/>
      </w:tabs>
      <w:spacing w:before="120" w:after="120"/>
      <w:ind w:left="851" w:hanging="851"/>
    </w:pPr>
    <w:rPr>
      <w:rFonts w:ascii="Arial" w:hAnsi="Arial"/>
      <w:sz w:val="22"/>
      <w:szCs w:val="22"/>
      <w:lang w:val="en-GB" w:eastAsia="en-US"/>
    </w:rPr>
  </w:style>
  <w:style w:type="character" w:customStyle="1" w:styleId="CERBodyManualChar">
    <w:name w:val="CER Body Manual Char"/>
    <w:basedOn w:val="CERBODYCharChar1"/>
    <w:link w:val="CERBodyManual"/>
    <w:rsid w:val="006605F6"/>
    <w:rPr>
      <w:rFonts w:ascii="Arial" w:hAnsi="Arial"/>
      <w:sz w:val="22"/>
      <w:szCs w:val="22"/>
      <w:lang w:val="en-GB" w:eastAsia="en-US" w:bidi="ar-SA"/>
    </w:rPr>
  </w:style>
  <w:style w:type="character" w:customStyle="1" w:styleId="CERBodyManualCharChar">
    <w:name w:val="CER Body Manual Char Char"/>
    <w:basedOn w:val="DefaultParagraphFont"/>
    <w:rsid w:val="006605F6"/>
    <w:rPr>
      <w:rFonts w:ascii="Arial" w:hAnsi="Arial"/>
      <w:sz w:val="22"/>
      <w:szCs w:val="22"/>
      <w:lang w:val="en-GB" w:eastAsia="en-US" w:bidi="ar-SA"/>
    </w:rPr>
  </w:style>
  <w:style w:type="paragraph" w:customStyle="1" w:styleId="CERBODYUnnumbered">
    <w:name w:val="CER BODY Unnumbered"/>
    <w:link w:val="CERBODYUnnumberedChar"/>
    <w:rsid w:val="006605F6"/>
    <w:pPr>
      <w:spacing w:before="120" w:after="120"/>
      <w:ind w:left="851"/>
      <w:jc w:val="both"/>
    </w:pPr>
    <w:rPr>
      <w:rFonts w:ascii="Arial" w:hAnsi="Arial"/>
      <w:sz w:val="22"/>
      <w:szCs w:val="22"/>
      <w:lang w:val="en-GB" w:eastAsia="en-US"/>
    </w:rPr>
  </w:style>
  <w:style w:type="character" w:customStyle="1" w:styleId="CERBODYUnnumberedChar">
    <w:name w:val="CER BODY Unnumbered Char"/>
    <w:basedOn w:val="DefaultParagraphFont"/>
    <w:link w:val="CERBODYUnnumbered"/>
    <w:rsid w:val="006605F6"/>
    <w:rPr>
      <w:rFonts w:ascii="Arial" w:hAnsi="Arial"/>
      <w:sz w:val="22"/>
      <w:szCs w:val="22"/>
      <w:lang w:val="en-GB" w:eastAsia="en-US" w:bidi="ar-SA"/>
    </w:rPr>
  </w:style>
  <w:style w:type="paragraph" w:customStyle="1" w:styleId="CERBULLET2">
    <w:name w:val="CER BULLET 2"/>
    <w:link w:val="CERBULLET2Char"/>
    <w:rsid w:val="00C3396B"/>
    <w:pPr>
      <w:numPr>
        <w:numId w:val="10"/>
      </w:numPr>
      <w:spacing w:before="120" w:after="120"/>
      <w:jc w:val="both"/>
    </w:pPr>
    <w:rPr>
      <w:rFonts w:ascii="Arial" w:hAnsi="Arial"/>
      <w:iCs/>
      <w:sz w:val="22"/>
      <w:lang w:val="en-GB" w:eastAsia="en-US"/>
    </w:rPr>
  </w:style>
  <w:style w:type="character" w:customStyle="1" w:styleId="CERBULLET2Char">
    <w:name w:val="CER BULLET 2 Char"/>
    <w:basedOn w:val="DefaultParagraphFont"/>
    <w:link w:val="CERBULLET2"/>
    <w:rsid w:val="00C3396B"/>
    <w:rPr>
      <w:rFonts w:ascii="Arial" w:hAnsi="Arial"/>
      <w:iCs/>
      <w:sz w:val="22"/>
      <w:lang w:val="en-GB" w:eastAsia="en-US" w:bidi="ar-SA"/>
    </w:rPr>
  </w:style>
  <w:style w:type="paragraph" w:customStyle="1" w:styleId="CERBULLET3">
    <w:name w:val="CER BULLET 3"/>
    <w:link w:val="CERBULLET3Char"/>
    <w:rsid w:val="006605F6"/>
    <w:pPr>
      <w:tabs>
        <w:tab w:val="left" w:pos="1985"/>
      </w:tabs>
      <w:spacing w:before="120" w:after="120"/>
    </w:pPr>
    <w:rPr>
      <w:rFonts w:ascii="Arial" w:hAnsi="Arial"/>
      <w:color w:val="000000"/>
      <w:sz w:val="22"/>
      <w:lang w:val="en-GB" w:eastAsia="en-US"/>
    </w:rPr>
  </w:style>
  <w:style w:type="character" w:customStyle="1" w:styleId="CERBULLET3Char">
    <w:name w:val="CER BULLET 3 Char"/>
    <w:basedOn w:val="DefaultParagraphFont"/>
    <w:link w:val="CERBULLET3"/>
    <w:rsid w:val="006605F6"/>
    <w:rPr>
      <w:rFonts w:ascii="Arial" w:hAnsi="Arial"/>
      <w:color w:val="000000"/>
      <w:sz w:val="22"/>
      <w:lang w:val="en-GB" w:eastAsia="en-US" w:bidi="ar-SA"/>
    </w:rPr>
  </w:style>
  <w:style w:type="paragraph" w:customStyle="1" w:styleId="CEREquation">
    <w:name w:val="CER Equation"/>
    <w:basedOn w:val="CERBODYUnnumbered"/>
    <w:link w:val="CEREquationChar"/>
    <w:rsid w:val="006605F6"/>
    <w:pPr>
      <w:tabs>
        <w:tab w:val="left" w:pos="1418"/>
      </w:tabs>
    </w:pPr>
  </w:style>
  <w:style w:type="character" w:customStyle="1" w:styleId="CEREquationChar">
    <w:name w:val="CER Equation Char"/>
    <w:basedOn w:val="CERBODYUnnumberedChar"/>
    <w:link w:val="CEREquation"/>
    <w:rsid w:val="006605F6"/>
    <w:rPr>
      <w:rFonts w:ascii="Arial" w:hAnsi="Arial"/>
      <w:sz w:val="22"/>
      <w:szCs w:val="22"/>
      <w:lang w:val="en-GB" w:eastAsia="en-US" w:bidi="ar-SA"/>
    </w:rPr>
  </w:style>
  <w:style w:type="paragraph" w:customStyle="1" w:styleId="CERFOOTNOTEREFERENCE">
    <w:name w:val="CER FOOTNOTE REFERENCE"/>
    <w:next w:val="Normal"/>
    <w:link w:val="CERFOOTNOTEREFERENCEChar"/>
    <w:rsid w:val="006605F6"/>
    <w:rPr>
      <w:rFonts w:ascii="Arial" w:hAnsi="Arial"/>
      <w:vertAlign w:val="superscript"/>
      <w:lang w:val="en-GB" w:eastAsia="en-US"/>
    </w:rPr>
  </w:style>
  <w:style w:type="paragraph" w:styleId="FootnoteText">
    <w:name w:val="footnote text"/>
    <w:basedOn w:val="Normal"/>
    <w:semiHidden/>
    <w:rsid w:val="006605F6"/>
    <w:rPr>
      <w:sz w:val="20"/>
      <w:szCs w:val="20"/>
    </w:rPr>
  </w:style>
  <w:style w:type="paragraph" w:customStyle="1" w:styleId="CERFootnoteReference0">
    <w:name w:val="CER Footnote Reference"/>
    <w:basedOn w:val="FootnoteText"/>
    <w:rsid w:val="006605F6"/>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6605F6"/>
    <w:rPr>
      <w:rFonts w:ascii="Arial" w:hAnsi="Arial"/>
      <w:vertAlign w:val="superscript"/>
      <w:lang w:val="en-GB" w:eastAsia="en-US" w:bidi="ar-SA"/>
    </w:rPr>
  </w:style>
  <w:style w:type="paragraph" w:customStyle="1" w:styleId="CERFOOTNOTETEXT">
    <w:name w:val="CER FOOTNOTE TEXT"/>
    <w:link w:val="CERFOOTNOTETEXTChar"/>
    <w:rsid w:val="006605F6"/>
    <w:pPr>
      <w:tabs>
        <w:tab w:val="left" w:pos="425"/>
      </w:tabs>
      <w:ind w:left="425" w:hanging="425"/>
    </w:pPr>
    <w:rPr>
      <w:rFonts w:ascii="Arial" w:hAnsi="Arial"/>
      <w:lang w:val="en-GB" w:eastAsia="en-US"/>
    </w:rPr>
  </w:style>
  <w:style w:type="character" w:customStyle="1" w:styleId="CERFOOTNOTETEXTChar">
    <w:name w:val="CER FOOTNOTE TEXT Char"/>
    <w:basedOn w:val="DefaultParagraphFont"/>
    <w:link w:val="CERFOOTNOTETEXT"/>
    <w:rsid w:val="006605F6"/>
    <w:rPr>
      <w:rFonts w:ascii="Arial" w:hAnsi="Arial"/>
      <w:lang w:val="en-GB" w:eastAsia="en-US" w:bidi="ar-SA"/>
    </w:rPr>
  </w:style>
  <w:style w:type="paragraph" w:customStyle="1" w:styleId="CERFRONTTEXT2NDLEVEL">
    <w:name w:val="CER FRONT TEXT 2ND LEVEL"/>
    <w:rsid w:val="006605F6"/>
    <w:pPr>
      <w:spacing w:after="960"/>
      <w:jc w:val="center"/>
    </w:pPr>
    <w:rPr>
      <w:rFonts w:ascii="Arial" w:hAnsi="Arial"/>
      <w:b/>
      <w:bCs/>
      <w:color w:val="000000"/>
      <w:sz w:val="48"/>
      <w:lang w:eastAsia="en-US"/>
    </w:rPr>
  </w:style>
  <w:style w:type="paragraph" w:customStyle="1" w:styleId="CERHEADING1">
    <w:name w:val="CER HEADING 1"/>
    <w:next w:val="CERBODY"/>
    <w:rsid w:val="006605F6"/>
    <w:pPr>
      <w:pageBreakBefore/>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link w:val="CERHEADING2Char"/>
    <w:rsid w:val="006605F6"/>
    <w:pPr>
      <w:keepNext/>
      <w:tabs>
        <w:tab w:val="left" w:pos="936"/>
      </w:tabs>
      <w:spacing w:before="240" w:after="120"/>
      <w:ind w:left="851"/>
    </w:pPr>
    <w:rPr>
      <w:rFonts w:ascii="Arial" w:hAnsi="Arial"/>
      <w:b/>
      <w:caps/>
      <w:sz w:val="24"/>
      <w:lang w:val="en-GB" w:eastAsia="en-US"/>
    </w:rPr>
  </w:style>
  <w:style w:type="character" w:customStyle="1" w:styleId="CERHEADING2Char">
    <w:name w:val="CER HEADING 2 Char"/>
    <w:basedOn w:val="DefaultParagraphFont"/>
    <w:link w:val="CERHEADING2"/>
    <w:rsid w:val="006605F6"/>
    <w:rPr>
      <w:rFonts w:ascii="Arial" w:hAnsi="Arial"/>
      <w:b/>
      <w:caps/>
      <w:sz w:val="24"/>
      <w:lang w:val="en-GB" w:eastAsia="en-US" w:bidi="ar-SA"/>
    </w:rPr>
  </w:style>
  <w:style w:type="paragraph" w:customStyle="1" w:styleId="CERHEADING3">
    <w:name w:val="CER HEADING 3"/>
    <w:next w:val="CERBODY"/>
    <w:rsid w:val="006605F6"/>
    <w:pPr>
      <w:keepNext/>
      <w:spacing w:before="240" w:after="120"/>
      <w:ind w:left="851"/>
    </w:pPr>
    <w:rPr>
      <w:rFonts w:ascii="Arial" w:hAnsi="Arial"/>
      <w:b/>
      <w:iCs/>
      <w:color w:val="000000"/>
      <w:sz w:val="22"/>
      <w:szCs w:val="22"/>
      <w:lang w:val="en-GB" w:eastAsia="en-US"/>
    </w:rPr>
  </w:style>
  <w:style w:type="paragraph" w:customStyle="1" w:styleId="CERHEADING4">
    <w:name w:val="CER HEADING 4"/>
    <w:link w:val="CERHEADING4Char"/>
    <w:rsid w:val="006605F6"/>
    <w:pPr>
      <w:keepNext/>
      <w:spacing w:before="240" w:after="120"/>
      <w:ind w:left="851"/>
    </w:pPr>
    <w:rPr>
      <w:rFonts w:ascii="Arial" w:hAnsi="Arial"/>
      <w:b/>
      <w:i/>
      <w:color w:val="000000"/>
      <w:sz w:val="22"/>
      <w:lang w:val="en-GB" w:eastAsia="en-US"/>
    </w:rPr>
  </w:style>
  <w:style w:type="character" w:customStyle="1" w:styleId="CERHEADING4Char">
    <w:name w:val="CER HEADING 4 Char"/>
    <w:basedOn w:val="DefaultParagraphFont"/>
    <w:link w:val="CERHEADING4"/>
    <w:rsid w:val="006605F6"/>
    <w:rPr>
      <w:rFonts w:ascii="Arial" w:hAnsi="Arial"/>
      <w:b/>
      <w:i/>
      <w:color w:val="000000"/>
      <w:sz w:val="22"/>
      <w:lang w:val="en-GB" w:eastAsia="en-US" w:bidi="ar-SA"/>
    </w:rPr>
  </w:style>
  <w:style w:type="paragraph" w:customStyle="1" w:styleId="CERHEADING5">
    <w:name w:val="CER HEADING 5"/>
    <w:basedOn w:val="CERHEADING4"/>
    <w:rsid w:val="006605F6"/>
    <w:rPr>
      <w:b w:val="0"/>
    </w:rPr>
  </w:style>
  <w:style w:type="paragraph" w:customStyle="1" w:styleId="CERLISTBULLET">
    <w:name w:val="CER LIST BULLET"/>
    <w:next w:val="CERBODY"/>
    <w:rsid w:val="006605F6"/>
    <w:pPr>
      <w:tabs>
        <w:tab w:val="num" w:pos="1440"/>
      </w:tabs>
      <w:spacing w:before="120" w:after="120"/>
      <w:ind w:left="1440" w:hanging="360"/>
      <w:jc w:val="both"/>
    </w:pPr>
    <w:rPr>
      <w:rFonts w:ascii="Arial" w:hAnsi="Arial"/>
      <w:iCs/>
      <w:color w:val="000000"/>
      <w:sz w:val="22"/>
      <w:lang w:val="en-GB" w:eastAsia="en-US"/>
    </w:rPr>
  </w:style>
  <w:style w:type="paragraph" w:customStyle="1" w:styleId="CERLISTBULLET2">
    <w:name w:val="CER LIST BULLET 2"/>
    <w:basedOn w:val="Normal"/>
    <w:rsid w:val="006605F6"/>
    <w:pPr>
      <w:numPr>
        <w:numId w:val="4"/>
      </w:numPr>
      <w:tabs>
        <w:tab w:val="clear" w:pos="1985"/>
        <w:tab w:val="num" w:pos="900"/>
      </w:tabs>
      <w:spacing w:before="120" w:after="120"/>
      <w:ind w:left="1467"/>
      <w:jc w:val="both"/>
    </w:pPr>
    <w:rPr>
      <w:iCs/>
      <w:color w:val="000000"/>
      <w:szCs w:val="20"/>
    </w:rPr>
  </w:style>
  <w:style w:type="paragraph" w:customStyle="1" w:styleId="CERMAINFRONTTEXT">
    <w:name w:val="CER MAIN FRONT TEXT"/>
    <w:rsid w:val="006605F6"/>
    <w:pPr>
      <w:spacing w:after="960"/>
      <w:jc w:val="center"/>
    </w:pPr>
    <w:rPr>
      <w:rFonts w:ascii="Arial" w:hAnsi="Arial"/>
      <w:b/>
      <w:bCs/>
      <w:sz w:val="52"/>
      <w:lang w:val="en-GB" w:eastAsia="en-US"/>
    </w:rPr>
  </w:style>
  <w:style w:type="paragraph" w:customStyle="1" w:styleId="CERNORMAL">
    <w:name w:val="CER NORMAL"/>
    <w:link w:val="CERNORMALChar"/>
    <w:rsid w:val="006605F6"/>
    <w:pPr>
      <w:tabs>
        <w:tab w:val="num" w:pos="851"/>
      </w:tabs>
      <w:spacing w:before="120" w:after="120"/>
      <w:ind w:left="851"/>
    </w:pPr>
    <w:rPr>
      <w:rFonts w:ascii="Arial" w:hAnsi="Arial"/>
      <w:color w:val="000000"/>
      <w:sz w:val="22"/>
      <w:lang w:val="en-GB" w:eastAsia="en-US"/>
    </w:rPr>
  </w:style>
  <w:style w:type="paragraph" w:customStyle="1" w:styleId="CERnon-indent">
    <w:name w:val="CER non-indent"/>
    <w:basedOn w:val="CERNORMAL"/>
    <w:link w:val="CERnon-indentChar"/>
    <w:rsid w:val="006605F6"/>
    <w:pPr>
      <w:ind w:left="0"/>
    </w:pPr>
  </w:style>
  <w:style w:type="character" w:customStyle="1" w:styleId="CERNORMALChar">
    <w:name w:val="CER NORMAL Char"/>
    <w:basedOn w:val="DefaultParagraphFont"/>
    <w:link w:val="CERNORMAL"/>
    <w:rsid w:val="006605F6"/>
    <w:rPr>
      <w:rFonts w:ascii="Arial" w:hAnsi="Arial"/>
      <w:color w:val="000000"/>
      <w:sz w:val="22"/>
      <w:lang w:val="en-GB" w:eastAsia="en-US" w:bidi="ar-SA"/>
    </w:rPr>
  </w:style>
  <w:style w:type="character" w:customStyle="1" w:styleId="CERnon-indentChar">
    <w:name w:val="CER non-indent Char"/>
    <w:basedOn w:val="CERNORMALChar"/>
    <w:link w:val="CERnon-indent"/>
    <w:rsid w:val="006605F6"/>
    <w:rPr>
      <w:rFonts w:ascii="Arial" w:hAnsi="Arial"/>
      <w:color w:val="000000"/>
      <w:sz w:val="22"/>
      <w:lang w:val="en-GB" w:eastAsia="en-US" w:bidi="ar-SA"/>
    </w:rPr>
  </w:style>
  <w:style w:type="paragraph" w:customStyle="1" w:styleId="CERNORMALBOLDITALIC">
    <w:name w:val="CER NORMAL BOLD ITALIC"/>
    <w:basedOn w:val="CERNORMAL"/>
    <w:rsid w:val="006605F6"/>
    <w:rPr>
      <w:b/>
      <w:i/>
    </w:rPr>
  </w:style>
  <w:style w:type="character" w:customStyle="1" w:styleId="CERNORMALCharChar">
    <w:name w:val="CER NORMAL Char Char"/>
    <w:basedOn w:val="DefaultParagraphFont"/>
    <w:rsid w:val="006605F6"/>
    <w:rPr>
      <w:rFonts w:ascii="Arial" w:hAnsi="Arial"/>
      <w:color w:val="000000"/>
      <w:sz w:val="22"/>
      <w:szCs w:val="24"/>
      <w:lang w:val="en-GB" w:eastAsia="en-US" w:bidi="ar-SA"/>
    </w:rPr>
  </w:style>
  <w:style w:type="paragraph" w:customStyle="1" w:styleId="CERNORMALHeading1">
    <w:name w:val="CER NORMAL Heading 1"/>
    <w:basedOn w:val="CERNORMAL"/>
    <w:rsid w:val="006605F6"/>
    <w:pPr>
      <w:keepNext/>
      <w:pBdr>
        <w:top w:val="single" w:sz="4" w:space="1" w:color="auto"/>
        <w:bottom w:val="single" w:sz="4" w:space="1" w:color="auto"/>
      </w:pBdr>
      <w:jc w:val="center"/>
    </w:pPr>
    <w:rPr>
      <w:b/>
      <w:bCs/>
      <w:sz w:val="32"/>
    </w:rPr>
  </w:style>
  <w:style w:type="paragraph" w:customStyle="1" w:styleId="CERNormalIndent">
    <w:name w:val="CER Normal Indent"/>
    <w:basedOn w:val="CERNORMAL"/>
    <w:rsid w:val="006605F6"/>
    <w:pPr>
      <w:ind w:left="1418"/>
    </w:pPr>
  </w:style>
  <w:style w:type="paragraph" w:customStyle="1" w:styleId="CERNormalIndent2">
    <w:name w:val="CER Normal Indent 2"/>
    <w:basedOn w:val="CERNORMAL"/>
    <w:rsid w:val="006605F6"/>
    <w:pPr>
      <w:ind w:left="1985"/>
    </w:pPr>
  </w:style>
  <w:style w:type="paragraph" w:customStyle="1" w:styleId="CERNUMBERBULLET">
    <w:name w:val="CER NUMBER BULLET"/>
    <w:link w:val="CERNUMBERBULLETCharChar"/>
    <w:rsid w:val="006605F6"/>
    <w:pPr>
      <w:numPr>
        <w:numId w:val="3"/>
      </w:numPr>
      <w:spacing w:before="120" w:after="120"/>
    </w:pPr>
    <w:rPr>
      <w:rFonts w:ascii="Arial" w:hAnsi="Arial"/>
      <w:color w:val="000000"/>
      <w:sz w:val="22"/>
      <w:szCs w:val="24"/>
      <w:lang w:val="en-GB" w:eastAsia="en-US"/>
    </w:rPr>
  </w:style>
  <w:style w:type="paragraph" w:customStyle="1" w:styleId="CERNUMBERBULLET2">
    <w:name w:val="CER NUMBER BULLET 2"/>
    <w:link w:val="CERNUMBERBULLET2CharChar1"/>
    <w:rsid w:val="006605F6"/>
    <w:pPr>
      <w:spacing w:before="120" w:after="120"/>
    </w:pPr>
    <w:rPr>
      <w:rFonts w:ascii="Arial" w:hAnsi="Arial" w:cs="Arial"/>
      <w:sz w:val="22"/>
      <w:lang w:eastAsia="en-US"/>
    </w:rPr>
  </w:style>
  <w:style w:type="character" w:customStyle="1" w:styleId="CERNUMBERBULLET2Char">
    <w:name w:val="CER NUMBER BULLET 2 Char"/>
    <w:basedOn w:val="DefaultParagraphFont"/>
    <w:rsid w:val="006605F6"/>
    <w:rPr>
      <w:rFonts w:ascii="Arial" w:hAnsi="Arial" w:cs="Arial"/>
      <w:sz w:val="22"/>
      <w:lang w:val="en-IE" w:eastAsia="en-US" w:bidi="ar-SA"/>
    </w:rPr>
  </w:style>
  <w:style w:type="character" w:customStyle="1" w:styleId="CERNUMBERBULLET2CharChar">
    <w:name w:val="CER NUMBER BULLET 2 Char Char"/>
    <w:basedOn w:val="DefaultParagraphFont"/>
    <w:semiHidden/>
    <w:rsid w:val="006605F6"/>
    <w:rPr>
      <w:rFonts w:ascii="Arial" w:hAnsi="Arial" w:cs="Arial"/>
      <w:sz w:val="22"/>
      <w:lang w:val="en-IE" w:eastAsia="en-US" w:bidi="ar-SA"/>
    </w:rPr>
  </w:style>
  <w:style w:type="character" w:customStyle="1" w:styleId="CERNUMBERBULLET2CharCharChar">
    <w:name w:val="CER NUMBER BULLET 2 Char Char Char"/>
    <w:basedOn w:val="DefaultParagraphFont"/>
    <w:rsid w:val="006605F6"/>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6605F6"/>
    <w:rPr>
      <w:rFonts w:ascii="Arial" w:hAnsi="Arial" w:cs="Arial"/>
      <w:sz w:val="22"/>
      <w:lang w:val="en-IE" w:eastAsia="en-US" w:bidi="ar-SA"/>
    </w:rPr>
  </w:style>
  <w:style w:type="character" w:customStyle="1" w:styleId="CERNUMBERBULLETChar">
    <w:name w:val="CER NUMBER BULLET Char"/>
    <w:basedOn w:val="DefaultParagraphFont"/>
    <w:rsid w:val="006605F6"/>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6605F6"/>
    <w:rPr>
      <w:rFonts w:ascii="Arial" w:hAnsi="Arial"/>
      <w:color w:val="000000"/>
      <w:sz w:val="22"/>
      <w:szCs w:val="24"/>
      <w:lang w:val="en-GB" w:eastAsia="en-US" w:bidi="ar-SA"/>
    </w:rPr>
  </w:style>
  <w:style w:type="paragraph" w:customStyle="1" w:styleId="CERTableHeader">
    <w:name w:val="CER Table Header"/>
    <w:basedOn w:val="Caption"/>
    <w:rsid w:val="002965DE"/>
    <w:pPr>
      <w:ind w:left="0"/>
    </w:pPr>
  </w:style>
  <w:style w:type="paragraph" w:customStyle="1" w:styleId="CERSection7">
    <w:name w:val="CERSection7"/>
    <w:basedOn w:val="CERNORMAL"/>
    <w:next w:val="CERBODY"/>
    <w:rsid w:val="006605F6"/>
    <w:pPr>
      <w:tabs>
        <w:tab w:val="clear" w:pos="851"/>
      </w:tabs>
      <w:ind w:left="1680" w:hanging="829"/>
      <w:jc w:val="both"/>
    </w:pPr>
  </w:style>
  <w:style w:type="paragraph" w:customStyle="1" w:styleId="CERSection7NumBullet1">
    <w:name w:val="CERSection7 Num Bullet 1"/>
    <w:next w:val="CERSection7"/>
    <w:rsid w:val="006605F6"/>
    <w:rPr>
      <w:rFonts w:ascii="Arial" w:hAnsi="Arial" w:cs="Arial"/>
      <w:sz w:val="22"/>
      <w:lang w:eastAsia="en-US"/>
    </w:rPr>
  </w:style>
  <w:style w:type="character" w:styleId="CommentReference">
    <w:name w:val="annotation reference"/>
    <w:basedOn w:val="DefaultParagraphFont"/>
    <w:semiHidden/>
    <w:rsid w:val="006605F6"/>
    <w:rPr>
      <w:sz w:val="16"/>
      <w:szCs w:val="16"/>
    </w:rPr>
  </w:style>
  <w:style w:type="paragraph" w:styleId="CommentText">
    <w:name w:val="annotation text"/>
    <w:basedOn w:val="Normal"/>
    <w:semiHidden/>
    <w:rsid w:val="006605F6"/>
    <w:rPr>
      <w:sz w:val="20"/>
      <w:szCs w:val="20"/>
    </w:rPr>
  </w:style>
  <w:style w:type="paragraph" w:styleId="CommentSubject">
    <w:name w:val="annotation subject"/>
    <w:basedOn w:val="CommentText"/>
    <w:next w:val="CommentText"/>
    <w:semiHidden/>
    <w:rsid w:val="006605F6"/>
    <w:rPr>
      <w:b/>
      <w:bCs/>
    </w:rPr>
  </w:style>
  <w:style w:type="paragraph" w:customStyle="1" w:styleId="Default">
    <w:name w:val="Default"/>
    <w:semiHidden/>
    <w:rsid w:val="006605F6"/>
    <w:pPr>
      <w:autoSpaceDE w:val="0"/>
      <w:autoSpaceDN w:val="0"/>
      <w:adjustRightInd w:val="0"/>
    </w:pPr>
    <w:rPr>
      <w:rFonts w:ascii="Arial" w:hAnsi="Arial" w:cs="Arial"/>
      <w:color w:val="000000"/>
      <w:sz w:val="24"/>
      <w:szCs w:val="24"/>
      <w:lang w:val="en-US" w:eastAsia="en-US"/>
    </w:rPr>
  </w:style>
  <w:style w:type="paragraph" w:customStyle="1" w:styleId="DefaultText">
    <w:name w:val="Default Text"/>
    <w:basedOn w:val="Normal"/>
    <w:semiHidden/>
    <w:rsid w:val="006605F6"/>
    <w:pPr>
      <w:autoSpaceDE w:val="0"/>
      <w:autoSpaceDN w:val="0"/>
    </w:pPr>
    <w:rPr>
      <w:rFonts w:ascii="Times New Roman" w:hAnsi="Times New Roman"/>
      <w:sz w:val="20"/>
      <w:lang w:val="en-US"/>
    </w:rPr>
  </w:style>
  <w:style w:type="paragraph" w:styleId="DocumentMap">
    <w:name w:val="Document Map"/>
    <w:basedOn w:val="Normal"/>
    <w:semiHidden/>
    <w:rsid w:val="006605F6"/>
    <w:pPr>
      <w:shd w:val="clear" w:color="auto" w:fill="000080"/>
    </w:pPr>
    <w:rPr>
      <w:rFonts w:ascii="Tahoma" w:hAnsi="Tahoma" w:cs="Tahoma"/>
      <w:sz w:val="20"/>
      <w:szCs w:val="20"/>
    </w:rPr>
  </w:style>
  <w:style w:type="character" w:styleId="FollowedHyperlink">
    <w:name w:val="FollowedHyperlink"/>
    <w:basedOn w:val="DefaultParagraphFont"/>
    <w:rsid w:val="006605F6"/>
    <w:rPr>
      <w:color w:val="800080"/>
      <w:u w:val="single"/>
    </w:rPr>
  </w:style>
  <w:style w:type="character" w:styleId="FootnoteReference">
    <w:name w:val="footnote reference"/>
    <w:basedOn w:val="DefaultParagraphFont"/>
    <w:semiHidden/>
    <w:rsid w:val="006605F6"/>
    <w:rPr>
      <w:vertAlign w:val="superscript"/>
    </w:rPr>
  </w:style>
  <w:style w:type="character" w:styleId="Hyperlink">
    <w:name w:val="Hyperlink"/>
    <w:basedOn w:val="DefaultParagraphFont"/>
    <w:uiPriority w:val="99"/>
    <w:rsid w:val="006605F6"/>
    <w:rPr>
      <w:color w:val="0000FF"/>
      <w:u w:val="single"/>
    </w:rPr>
  </w:style>
  <w:style w:type="paragraph" w:styleId="List">
    <w:name w:val="List"/>
    <w:basedOn w:val="Normal"/>
    <w:rsid w:val="006605F6"/>
    <w:pPr>
      <w:ind w:left="283" w:hanging="283"/>
    </w:pPr>
  </w:style>
  <w:style w:type="paragraph" w:styleId="NormalWeb">
    <w:name w:val="Normal (Web)"/>
    <w:basedOn w:val="Normal"/>
    <w:rsid w:val="006605F6"/>
    <w:pPr>
      <w:spacing w:before="100" w:beforeAutospacing="1" w:after="100" w:afterAutospacing="1"/>
    </w:pPr>
    <w:rPr>
      <w:rFonts w:ascii="Times New Roman" w:hAnsi="Times New Roman"/>
      <w:sz w:val="24"/>
      <w:lang w:val="en-US"/>
    </w:rPr>
  </w:style>
  <w:style w:type="paragraph" w:styleId="NormalIndent">
    <w:name w:val="Normal Indent"/>
    <w:basedOn w:val="Normal"/>
    <w:rsid w:val="006605F6"/>
    <w:pPr>
      <w:spacing w:before="120" w:after="120"/>
      <w:ind w:left="720"/>
    </w:pPr>
    <w:rPr>
      <w:rFonts w:ascii="Times" w:hAnsi="Times"/>
      <w:sz w:val="24"/>
      <w:szCs w:val="20"/>
    </w:rPr>
  </w:style>
  <w:style w:type="character" w:styleId="PageNumber">
    <w:name w:val="page number"/>
    <w:basedOn w:val="DefaultParagraphFont"/>
    <w:rsid w:val="006605F6"/>
  </w:style>
  <w:style w:type="table" w:styleId="TableGrid">
    <w:name w:val="Table Grid"/>
    <w:basedOn w:val="TableNormal"/>
    <w:rsid w:val="0066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6605F6"/>
    <w:pPr>
      <w:tabs>
        <w:tab w:val="left" w:pos="567"/>
        <w:tab w:val="right" w:leader="dot" w:pos="8295"/>
      </w:tabs>
    </w:pPr>
    <w:rPr>
      <w:b/>
      <w:bCs/>
      <w:sz w:val="28"/>
      <w:szCs w:val="28"/>
    </w:rPr>
  </w:style>
  <w:style w:type="paragraph" w:styleId="TOC2">
    <w:name w:val="toc 2"/>
    <w:basedOn w:val="Normal"/>
    <w:next w:val="Normal"/>
    <w:autoRedefine/>
    <w:uiPriority w:val="39"/>
    <w:rsid w:val="006605F6"/>
    <w:pPr>
      <w:tabs>
        <w:tab w:val="right" w:leader="dot" w:pos="8295"/>
      </w:tabs>
      <w:ind w:left="567"/>
    </w:pPr>
  </w:style>
  <w:style w:type="paragraph" w:styleId="TOC3">
    <w:name w:val="toc 3"/>
    <w:basedOn w:val="Normal"/>
    <w:next w:val="Normal"/>
    <w:autoRedefine/>
    <w:semiHidden/>
    <w:rsid w:val="006605F6"/>
    <w:pPr>
      <w:tabs>
        <w:tab w:val="right" w:leader="dot" w:pos="8295"/>
      </w:tabs>
      <w:ind w:left="1135" w:hanging="284"/>
    </w:pPr>
    <w:rPr>
      <w:noProof/>
      <w:szCs w:val="22"/>
    </w:rPr>
  </w:style>
  <w:style w:type="paragraph" w:styleId="TOC4">
    <w:name w:val="toc 4"/>
    <w:basedOn w:val="Normal"/>
    <w:next w:val="Normal"/>
    <w:autoRedefine/>
    <w:semiHidden/>
    <w:rsid w:val="006605F6"/>
    <w:pPr>
      <w:tabs>
        <w:tab w:val="right" w:leader="dot" w:pos="8278"/>
      </w:tabs>
      <w:ind w:left="658"/>
    </w:pPr>
    <w:rPr>
      <w:b/>
      <w:sz w:val="28"/>
    </w:rPr>
  </w:style>
  <w:style w:type="paragraph" w:styleId="TOC5">
    <w:name w:val="toc 5"/>
    <w:basedOn w:val="Normal"/>
    <w:next w:val="Normal"/>
    <w:autoRedefine/>
    <w:semiHidden/>
    <w:rsid w:val="006605F6"/>
    <w:pPr>
      <w:ind w:left="880"/>
    </w:pPr>
  </w:style>
  <w:style w:type="paragraph" w:styleId="TOC6">
    <w:name w:val="toc 6"/>
    <w:basedOn w:val="Normal"/>
    <w:next w:val="Normal"/>
    <w:autoRedefine/>
    <w:semiHidden/>
    <w:rsid w:val="006605F6"/>
    <w:pPr>
      <w:ind w:left="1100"/>
    </w:pPr>
  </w:style>
  <w:style w:type="paragraph" w:styleId="TOC7">
    <w:name w:val="toc 7"/>
    <w:basedOn w:val="Normal"/>
    <w:next w:val="Normal"/>
    <w:autoRedefine/>
    <w:semiHidden/>
    <w:rsid w:val="006605F6"/>
    <w:pPr>
      <w:ind w:left="1320"/>
    </w:pPr>
  </w:style>
  <w:style w:type="paragraph" w:styleId="TOC8">
    <w:name w:val="toc 8"/>
    <w:basedOn w:val="Normal"/>
    <w:next w:val="Normal"/>
    <w:autoRedefine/>
    <w:semiHidden/>
    <w:rsid w:val="006605F6"/>
    <w:pPr>
      <w:ind w:left="1540"/>
    </w:pPr>
  </w:style>
  <w:style w:type="paragraph" w:styleId="TOC9">
    <w:name w:val="toc 9"/>
    <w:basedOn w:val="Normal"/>
    <w:next w:val="Normal"/>
    <w:autoRedefine/>
    <w:semiHidden/>
    <w:rsid w:val="006605F6"/>
    <w:pPr>
      <w:ind w:left="1760"/>
    </w:pPr>
  </w:style>
  <w:style w:type="paragraph" w:customStyle="1" w:styleId="APNUMHEAD1">
    <w:name w:val="AP NUM HEAD 1"/>
    <w:rsid w:val="00F90C37"/>
    <w:pPr>
      <w:keepNext/>
      <w:pageBreakBefore/>
      <w:numPr>
        <w:numId w:val="7"/>
      </w:numPr>
      <w:spacing w:before="60" w:after="180"/>
    </w:pPr>
    <w:rPr>
      <w:rFonts w:ascii="Arial" w:hAnsi="Arial"/>
      <w:b/>
      <w:caps/>
      <w:sz w:val="28"/>
      <w:lang w:val="en-GB" w:eastAsia="en-US"/>
    </w:rPr>
  </w:style>
  <w:style w:type="paragraph" w:customStyle="1" w:styleId="APNUMHEAD2">
    <w:name w:val="AP NUM HEAD 2"/>
    <w:rsid w:val="00F90C37"/>
    <w:pPr>
      <w:numPr>
        <w:ilvl w:val="1"/>
        <w:numId w:val="7"/>
      </w:numPr>
      <w:spacing w:before="240" w:after="120"/>
    </w:pPr>
    <w:rPr>
      <w:rFonts w:ascii="Arial" w:hAnsi="Arial"/>
      <w:b/>
      <w:caps/>
      <w:sz w:val="24"/>
      <w:lang w:val="en-GB" w:eastAsia="en-US"/>
    </w:rPr>
  </w:style>
  <w:style w:type="paragraph" w:customStyle="1" w:styleId="CERNUMAPPENDXHD1">
    <w:name w:val="CER NUM APPENDX HD 1"/>
    <w:basedOn w:val="CERAPPENDIXHEADING1"/>
    <w:rsid w:val="00133DA4"/>
    <w:pPr>
      <w:keepNext/>
      <w:pageBreakBefore/>
      <w:numPr>
        <w:numId w:val="8"/>
      </w:numPr>
      <w:tabs>
        <w:tab w:val="num" w:pos="360"/>
      </w:tabs>
      <w:ind w:left="357" w:hanging="357"/>
    </w:pPr>
    <w:rPr>
      <w:color w:val="auto"/>
    </w:rPr>
  </w:style>
  <w:style w:type="paragraph" w:customStyle="1" w:styleId="CERNONINDENTBULLET">
    <w:name w:val="CER NON INDENT BULLET"/>
    <w:basedOn w:val="CERnon-indent"/>
    <w:rsid w:val="004163B1"/>
    <w:pPr>
      <w:numPr>
        <w:numId w:val="9"/>
      </w:numPr>
    </w:pPr>
  </w:style>
  <w:style w:type="paragraph" w:customStyle="1" w:styleId="CERNONINDENTBULLET2">
    <w:name w:val="CER NON INDENT BULLET 2"/>
    <w:basedOn w:val="CERnon-indent"/>
    <w:rsid w:val="004163B1"/>
    <w:pPr>
      <w:numPr>
        <w:numId w:val="11"/>
      </w:numPr>
    </w:pPr>
  </w:style>
  <w:style w:type="paragraph" w:customStyle="1" w:styleId="APNUMHEAD3">
    <w:name w:val="AP NUM HEAD 3"/>
    <w:next w:val="CERnon-indent"/>
    <w:rsid w:val="00F90C37"/>
    <w:pPr>
      <w:keepNext/>
      <w:numPr>
        <w:ilvl w:val="2"/>
        <w:numId w:val="7"/>
      </w:numPr>
    </w:pPr>
    <w:rPr>
      <w:rFonts w:ascii="Arial" w:hAnsi="Arial"/>
      <w:b/>
      <w:color w:val="000000"/>
      <w:sz w:val="24"/>
      <w:lang w:val="en-GB" w:eastAsia="en-US"/>
    </w:rPr>
  </w:style>
  <w:style w:type="paragraph" w:customStyle="1" w:styleId="CERNONINDENTBULLET3">
    <w:name w:val="CER NON INDENT BULLET 3"/>
    <w:basedOn w:val="CERnon-indent"/>
    <w:rsid w:val="00CD26A1"/>
    <w:pPr>
      <w:numPr>
        <w:numId w:val="12"/>
      </w:numPr>
    </w:pPr>
  </w:style>
  <w:style w:type="paragraph" w:styleId="BalloonText">
    <w:name w:val="Balloon Text"/>
    <w:basedOn w:val="Normal"/>
    <w:semiHidden/>
    <w:rsid w:val="00382422"/>
    <w:rPr>
      <w:rFonts w:ascii="Tahoma" w:hAnsi="Tahoma" w:cs="Tahoma"/>
      <w:sz w:val="16"/>
      <w:szCs w:val="16"/>
    </w:rPr>
  </w:style>
  <w:style w:type="paragraph" w:styleId="Revision">
    <w:name w:val="Revision"/>
    <w:hidden/>
    <w:uiPriority w:val="99"/>
    <w:semiHidden/>
    <w:rsid w:val="006B2065"/>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15607">
      <w:bodyDiv w:val="1"/>
      <w:marLeft w:val="0"/>
      <w:marRight w:val="0"/>
      <w:marTop w:val="0"/>
      <w:marBottom w:val="0"/>
      <w:divBdr>
        <w:top w:val="none" w:sz="0" w:space="0" w:color="auto"/>
        <w:left w:val="none" w:sz="0" w:space="0" w:color="auto"/>
        <w:bottom w:val="none" w:sz="0" w:space="0" w:color="auto"/>
        <w:right w:val="none" w:sz="0" w:space="0" w:color="auto"/>
      </w:divBdr>
    </w:div>
    <w:div w:id="527914939">
      <w:bodyDiv w:val="1"/>
      <w:marLeft w:val="0"/>
      <w:marRight w:val="0"/>
      <w:marTop w:val="0"/>
      <w:marBottom w:val="0"/>
      <w:divBdr>
        <w:top w:val="none" w:sz="0" w:space="0" w:color="auto"/>
        <w:left w:val="none" w:sz="0" w:space="0" w:color="auto"/>
        <w:bottom w:val="none" w:sz="0" w:space="0" w:color="auto"/>
        <w:right w:val="none" w:sz="0" w:space="0" w:color="auto"/>
      </w:divBdr>
    </w:div>
    <w:div w:id="560823014">
      <w:bodyDiv w:val="1"/>
      <w:marLeft w:val="0"/>
      <w:marRight w:val="0"/>
      <w:marTop w:val="0"/>
      <w:marBottom w:val="0"/>
      <w:divBdr>
        <w:top w:val="none" w:sz="0" w:space="0" w:color="auto"/>
        <w:left w:val="none" w:sz="0" w:space="0" w:color="auto"/>
        <w:bottom w:val="none" w:sz="0" w:space="0" w:color="auto"/>
        <w:right w:val="none" w:sz="0" w:space="0" w:color="auto"/>
      </w:divBdr>
    </w:div>
    <w:div w:id="677467282">
      <w:bodyDiv w:val="1"/>
      <w:marLeft w:val="0"/>
      <w:marRight w:val="0"/>
      <w:marTop w:val="0"/>
      <w:marBottom w:val="0"/>
      <w:divBdr>
        <w:top w:val="none" w:sz="0" w:space="0" w:color="auto"/>
        <w:left w:val="none" w:sz="0" w:space="0" w:color="auto"/>
        <w:bottom w:val="none" w:sz="0" w:space="0" w:color="auto"/>
        <w:right w:val="none" w:sz="0" w:space="0" w:color="auto"/>
      </w:divBdr>
    </w:div>
    <w:div w:id="1851216427">
      <w:bodyDiv w:val="1"/>
      <w:marLeft w:val="0"/>
      <w:marRight w:val="0"/>
      <w:marTop w:val="0"/>
      <w:marBottom w:val="0"/>
      <w:divBdr>
        <w:top w:val="none" w:sz="0" w:space="0" w:color="auto"/>
        <w:left w:val="none" w:sz="0" w:space="0" w:color="auto"/>
        <w:bottom w:val="none" w:sz="0" w:space="0" w:color="auto"/>
        <w:right w:val="none" w:sz="0" w:space="0" w:color="auto"/>
      </w:divBdr>
    </w:div>
    <w:div w:id="194637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5B27B8-6E4D-49BD-AF6A-2DD842A135F8}">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3cada6dc-2705-46ed-bab2-0b2cd6d935ca"/>
    <ds:schemaRef ds:uri="http://purl.org/dc/terms/"/>
    <ds:schemaRef ds:uri="da47a76b-6d6c-4664-990f-1faf15b5f31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BC2221E-9EFE-49AA-9520-66C226F22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776F0-7B05-428B-8841-61EAE510B3B3}">
  <ds:schemaRefs>
    <ds:schemaRef ds:uri="http://schemas.microsoft.com/office/2006/metadata/longProperties"/>
  </ds:schemaRefs>
</ds:datastoreItem>
</file>

<file path=customXml/itemProps4.xml><?xml version="1.0" encoding="utf-8"?>
<ds:datastoreItem xmlns:ds="http://schemas.openxmlformats.org/officeDocument/2006/customXml" ds:itemID="{78D48791-A460-44B1-BE7D-E0D335BA10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4087</Words>
  <Characters>23298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Part A AP17: Banking and Participant Payments</vt:lpstr>
    </vt:vector>
  </TitlesOfParts>
  <LinksUpToDate>false</LinksUpToDate>
  <CharactersWithSpaces>27331</CharactersWithSpaces>
  <SharedDoc>false</SharedDoc>
  <HLinks>
    <vt:vector size="102" baseType="variant">
      <vt:variant>
        <vt:i4>1376312</vt:i4>
      </vt:variant>
      <vt:variant>
        <vt:i4>98</vt:i4>
      </vt:variant>
      <vt:variant>
        <vt:i4>0</vt:i4>
      </vt:variant>
      <vt:variant>
        <vt:i4>5</vt:i4>
      </vt:variant>
      <vt:variant>
        <vt:lpwstr/>
      </vt:variant>
      <vt:variant>
        <vt:lpwstr>_Toc244666869</vt:lpwstr>
      </vt:variant>
      <vt:variant>
        <vt:i4>1376312</vt:i4>
      </vt:variant>
      <vt:variant>
        <vt:i4>92</vt:i4>
      </vt:variant>
      <vt:variant>
        <vt:i4>0</vt:i4>
      </vt:variant>
      <vt:variant>
        <vt:i4>5</vt:i4>
      </vt:variant>
      <vt:variant>
        <vt:lpwstr/>
      </vt:variant>
      <vt:variant>
        <vt:lpwstr>_Toc244666868</vt:lpwstr>
      </vt:variant>
      <vt:variant>
        <vt:i4>1376312</vt:i4>
      </vt:variant>
      <vt:variant>
        <vt:i4>86</vt:i4>
      </vt:variant>
      <vt:variant>
        <vt:i4>0</vt:i4>
      </vt:variant>
      <vt:variant>
        <vt:i4>5</vt:i4>
      </vt:variant>
      <vt:variant>
        <vt:lpwstr/>
      </vt:variant>
      <vt:variant>
        <vt:lpwstr>_Toc244666867</vt:lpwstr>
      </vt:variant>
      <vt:variant>
        <vt:i4>1376312</vt:i4>
      </vt:variant>
      <vt:variant>
        <vt:i4>80</vt:i4>
      </vt:variant>
      <vt:variant>
        <vt:i4>0</vt:i4>
      </vt:variant>
      <vt:variant>
        <vt:i4>5</vt:i4>
      </vt:variant>
      <vt:variant>
        <vt:lpwstr/>
      </vt:variant>
      <vt:variant>
        <vt:lpwstr>_Toc244666866</vt:lpwstr>
      </vt:variant>
      <vt:variant>
        <vt:i4>1376312</vt:i4>
      </vt:variant>
      <vt:variant>
        <vt:i4>74</vt:i4>
      </vt:variant>
      <vt:variant>
        <vt:i4>0</vt:i4>
      </vt:variant>
      <vt:variant>
        <vt:i4>5</vt:i4>
      </vt:variant>
      <vt:variant>
        <vt:lpwstr/>
      </vt:variant>
      <vt:variant>
        <vt:lpwstr>_Toc244666865</vt:lpwstr>
      </vt:variant>
      <vt:variant>
        <vt:i4>1376312</vt:i4>
      </vt:variant>
      <vt:variant>
        <vt:i4>68</vt:i4>
      </vt:variant>
      <vt:variant>
        <vt:i4>0</vt:i4>
      </vt:variant>
      <vt:variant>
        <vt:i4>5</vt:i4>
      </vt:variant>
      <vt:variant>
        <vt:lpwstr/>
      </vt:variant>
      <vt:variant>
        <vt:lpwstr>_Toc244666864</vt:lpwstr>
      </vt:variant>
      <vt:variant>
        <vt:i4>1376312</vt:i4>
      </vt:variant>
      <vt:variant>
        <vt:i4>62</vt:i4>
      </vt:variant>
      <vt:variant>
        <vt:i4>0</vt:i4>
      </vt:variant>
      <vt:variant>
        <vt:i4>5</vt:i4>
      </vt:variant>
      <vt:variant>
        <vt:lpwstr/>
      </vt:variant>
      <vt:variant>
        <vt:lpwstr>_Toc244666863</vt:lpwstr>
      </vt:variant>
      <vt:variant>
        <vt:i4>1376312</vt:i4>
      </vt:variant>
      <vt:variant>
        <vt:i4>56</vt:i4>
      </vt:variant>
      <vt:variant>
        <vt:i4>0</vt:i4>
      </vt:variant>
      <vt:variant>
        <vt:i4>5</vt:i4>
      </vt:variant>
      <vt:variant>
        <vt:lpwstr/>
      </vt:variant>
      <vt:variant>
        <vt:lpwstr>_Toc244666862</vt:lpwstr>
      </vt:variant>
      <vt:variant>
        <vt:i4>1376312</vt:i4>
      </vt:variant>
      <vt:variant>
        <vt:i4>50</vt:i4>
      </vt:variant>
      <vt:variant>
        <vt:i4>0</vt:i4>
      </vt:variant>
      <vt:variant>
        <vt:i4>5</vt:i4>
      </vt:variant>
      <vt:variant>
        <vt:lpwstr/>
      </vt:variant>
      <vt:variant>
        <vt:lpwstr>_Toc244666861</vt:lpwstr>
      </vt:variant>
      <vt:variant>
        <vt:i4>1376312</vt:i4>
      </vt:variant>
      <vt:variant>
        <vt:i4>44</vt:i4>
      </vt:variant>
      <vt:variant>
        <vt:i4>0</vt:i4>
      </vt:variant>
      <vt:variant>
        <vt:i4>5</vt:i4>
      </vt:variant>
      <vt:variant>
        <vt:lpwstr/>
      </vt:variant>
      <vt:variant>
        <vt:lpwstr>_Toc244666860</vt:lpwstr>
      </vt:variant>
      <vt:variant>
        <vt:i4>1441848</vt:i4>
      </vt:variant>
      <vt:variant>
        <vt:i4>38</vt:i4>
      </vt:variant>
      <vt:variant>
        <vt:i4>0</vt:i4>
      </vt:variant>
      <vt:variant>
        <vt:i4>5</vt:i4>
      </vt:variant>
      <vt:variant>
        <vt:lpwstr/>
      </vt:variant>
      <vt:variant>
        <vt:lpwstr>_Toc244666859</vt:lpwstr>
      </vt:variant>
      <vt:variant>
        <vt:i4>1441848</vt:i4>
      </vt:variant>
      <vt:variant>
        <vt:i4>32</vt:i4>
      </vt:variant>
      <vt:variant>
        <vt:i4>0</vt:i4>
      </vt:variant>
      <vt:variant>
        <vt:i4>5</vt:i4>
      </vt:variant>
      <vt:variant>
        <vt:lpwstr/>
      </vt:variant>
      <vt:variant>
        <vt:lpwstr>_Toc244666858</vt:lpwstr>
      </vt:variant>
      <vt:variant>
        <vt:i4>1441848</vt:i4>
      </vt:variant>
      <vt:variant>
        <vt:i4>26</vt:i4>
      </vt:variant>
      <vt:variant>
        <vt:i4>0</vt:i4>
      </vt:variant>
      <vt:variant>
        <vt:i4>5</vt:i4>
      </vt:variant>
      <vt:variant>
        <vt:lpwstr/>
      </vt:variant>
      <vt:variant>
        <vt:lpwstr>_Toc244666857</vt:lpwstr>
      </vt:variant>
      <vt:variant>
        <vt:i4>1441848</vt:i4>
      </vt:variant>
      <vt:variant>
        <vt:i4>20</vt:i4>
      </vt:variant>
      <vt:variant>
        <vt:i4>0</vt:i4>
      </vt:variant>
      <vt:variant>
        <vt:i4>5</vt:i4>
      </vt:variant>
      <vt:variant>
        <vt:lpwstr/>
      </vt:variant>
      <vt:variant>
        <vt:lpwstr>_Toc244666856</vt:lpwstr>
      </vt:variant>
      <vt:variant>
        <vt:i4>1441848</vt:i4>
      </vt:variant>
      <vt:variant>
        <vt:i4>14</vt:i4>
      </vt:variant>
      <vt:variant>
        <vt:i4>0</vt:i4>
      </vt:variant>
      <vt:variant>
        <vt:i4>5</vt:i4>
      </vt:variant>
      <vt:variant>
        <vt:lpwstr/>
      </vt:variant>
      <vt:variant>
        <vt:lpwstr>_Toc244666855</vt:lpwstr>
      </vt:variant>
      <vt:variant>
        <vt:i4>1441848</vt:i4>
      </vt:variant>
      <vt:variant>
        <vt:i4>8</vt:i4>
      </vt:variant>
      <vt:variant>
        <vt:i4>0</vt:i4>
      </vt:variant>
      <vt:variant>
        <vt:i4>5</vt:i4>
      </vt:variant>
      <vt:variant>
        <vt:lpwstr/>
      </vt:variant>
      <vt:variant>
        <vt:lpwstr>_Toc244666854</vt:lpwstr>
      </vt:variant>
      <vt:variant>
        <vt:i4>1441848</vt:i4>
      </vt:variant>
      <vt:variant>
        <vt:i4>2</vt:i4>
      </vt:variant>
      <vt:variant>
        <vt:i4>0</vt:i4>
      </vt:variant>
      <vt:variant>
        <vt:i4>5</vt:i4>
      </vt:variant>
      <vt:variant>
        <vt:lpwstr/>
      </vt:variant>
      <vt:variant>
        <vt:lpwstr>_Toc244666853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AP17: Banking and Participant Payments</dc:title>
  <dc:creator/>
  <cp:lastModifiedBy/>
  <cp:revision>1</cp:revision>
  <dcterms:created xsi:type="dcterms:W3CDTF">2024-10-03T14:24:00Z</dcterms:created>
  <dcterms:modified xsi:type="dcterms:W3CDTF">2024-10-03T14:24:00Z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MSIP_Label_4c99bc9a-9772-4b7e-bcf5-e39ce86bfb30_Enabled">
    <vt:lpwstr>true</vt:lpwstr>
  </property>
  <property fmtid="{D5CDD505-2E9C-101B-9397-08002B2CF9AE}" pid="4" name="MSIP_Label_4c99bc9a-9772-4b7e-bcf5-e39ce86bfb30_SetDate">
    <vt:lpwstr>2023-08-16T11:02:03Z</vt:lpwstr>
  </property>
  <property fmtid="{D5CDD505-2E9C-101B-9397-08002B2CF9AE}" pid="5" name="MSIP_Label_4c99bc9a-9772-4b7e-bcf5-e39ce86bfb30_Method">
    <vt:lpwstr>Standard</vt:lpwstr>
  </property>
  <property fmtid="{D5CDD505-2E9C-101B-9397-08002B2CF9AE}" pid="6" name="MSIP_Label_4c99bc9a-9772-4b7e-bcf5-e39ce86bfb30_Name">
    <vt:lpwstr>Internal</vt:lpwstr>
  </property>
  <property fmtid="{D5CDD505-2E9C-101B-9397-08002B2CF9AE}" pid="7" name="MSIP_Label_4c99bc9a-9772-4b7e-bcf5-e39ce86bfb30_SiteId">
    <vt:lpwstr>c1528ebb-73e5-4ac2-9d93-677ac4834cc5</vt:lpwstr>
  </property>
  <property fmtid="{D5CDD505-2E9C-101B-9397-08002B2CF9AE}" pid="8" name="MSIP_Label_4c99bc9a-9772-4b7e-bcf5-e39ce86bfb30_ActionId">
    <vt:lpwstr>6ebac0cc-e83c-4c66-a740-d9de6aed3b23</vt:lpwstr>
  </property>
  <property fmtid="{D5CDD505-2E9C-101B-9397-08002B2CF9AE}" pid="9" name="MSIP_Label_4c99bc9a-9772-4b7e-bcf5-e39ce86bfb30_ContentBits">
    <vt:lpwstr>0</vt:lpwstr>
  </property>
</Properties>
</file>