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23CA" w14:textId="1845CD0A" w:rsidR="00D116C3" w:rsidRPr="00332B7B" w:rsidRDefault="00D05707" w:rsidP="00D05707">
      <w:pPr>
        <w:pStyle w:val="CERNORMAL"/>
        <w:ind w:left="0"/>
        <w:jc w:val="both"/>
        <w:rPr>
          <w:rFonts w:asciiTheme="majorHAnsi" w:eastAsiaTheme="majorEastAsia" w:hAnsiTheme="majorHAnsi" w:cstheme="majorBidi"/>
          <w:sz w:val="76"/>
          <w:szCs w:val="72"/>
          <w:lang w:val="en-IE"/>
        </w:rPr>
      </w:pPr>
      <w:r>
        <w:rPr>
          <w:noProof/>
        </w:rPr>
        <w:drawing>
          <wp:inline distT="0" distB="0" distL="0" distR="0" wp14:anchorId="02B5613F" wp14:editId="03605EE5">
            <wp:extent cx="2012950" cy="714323"/>
            <wp:effectExtent l="0" t="0" r="6350" b="0"/>
            <wp:docPr id="18259262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6279" name="Picture 1" descr="A close-up of a logo&#10;&#10;Description automatically generated"/>
                    <pic:cNvPicPr/>
                  </pic:nvPicPr>
                  <pic:blipFill>
                    <a:blip r:embed="rId13"/>
                    <a:stretch>
                      <a:fillRect/>
                    </a:stretch>
                  </pic:blipFill>
                  <pic:spPr>
                    <a:xfrm>
                      <a:off x="0" y="0"/>
                      <a:ext cx="2040843" cy="724221"/>
                    </a:xfrm>
                    <a:prstGeom prst="rect">
                      <a:avLst/>
                    </a:prstGeom>
                  </pic:spPr>
                </pic:pic>
              </a:graphicData>
            </a:graphic>
          </wp:inline>
        </w:drawing>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noProof/>
        </w:rPr>
        <w:drawing>
          <wp:inline distT="0" distB="0" distL="0" distR="0" wp14:anchorId="6C1CC207" wp14:editId="264C736A">
            <wp:extent cx="1749425" cy="596496"/>
            <wp:effectExtent l="0" t="0" r="3175" b="0"/>
            <wp:docPr id="1628005765"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765" name="Picture 1" descr="A green and yellow logo&#10;&#10;Description automatically generated"/>
                    <pic:cNvPicPr/>
                  </pic:nvPicPr>
                  <pic:blipFill>
                    <a:blip r:embed="rId14"/>
                    <a:stretch>
                      <a:fillRect/>
                    </a:stretch>
                  </pic:blipFill>
                  <pic:spPr>
                    <a:xfrm>
                      <a:off x="0" y="0"/>
                      <a:ext cx="1778700" cy="606478"/>
                    </a:xfrm>
                    <a:prstGeom prst="rect">
                      <a:avLst/>
                    </a:prstGeom>
                  </pic:spPr>
                </pic:pic>
              </a:graphicData>
            </a:graphic>
          </wp:inline>
        </w:drawing>
      </w:r>
    </w:p>
    <w:p w14:paraId="241023CB" w14:textId="77777777" w:rsidR="00D116C3" w:rsidRPr="00332B7B" w:rsidRDefault="00D116C3" w:rsidP="00D116C3">
      <w:pPr>
        <w:pStyle w:val="CERNORMAL"/>
        <w:jc w:val="center"/>
        <w:rPr>
          <w:rFonts w:asciiTheme="majorHAnsi" w:eastAsiaTheme="majorEastAsia" w:hAnsiTheme="majorHAnsi" w:cstheme="majorBidi"/>
          <w:sz w:val="76"/>
          <w:szCs w:val="72"/>
          <w:lang w:val="en-IE"/>
        </w:rPr>
      </w:pPr>
    </w:p>
    <w:tbl>
      <w:tblPr>
        <w:tblpPr w:leftFromText="187" w:rightFromText="187" w:vertAnchor="page" w:horzAnchor="page" w:tblpXSpec="center" w:tblpYSpec="center"/>
        <w:tblW w:w="5538" w:type="pct"/>
        <w:tblCellMar>
          <w:top w:w="216" w:type="dxa"/>
          <w:left w:w="216" w:type="dxa"/>
          <w:bottom w:w="216" w:type="dxa"/>
          <w:right w:w="216" w:type="dxa"/>
        </w:tblCellMar>
        <w:tblLook w:val="04A0" w:firstRow="1" w:lastRow="0" w:firstColumn="1" w:lastColumn="0" w:noHBand="0" w:noVBand="1"/>
      </w:tblPr>
      <w:tblGrid>
        <w:gridCol w:w="5463"/>
        <w:gridCol w:w="4535"/>
      </w:tblGrid>
      <w:tr w:rsidR="00D116C3" w14:paraId="241023CF" w14:textId="77777777" w:rsidTr="71C73A6E">
        <w:tc>
          <w:tcPr>
            <w:tcW w:w="5912" w:type="dxa"/>
            <w:tcBorders>
              <w:bottom w:val="single" w:sz="18" w:space="0" w:color="808080" w:themeColor="background1" w:themeShade="80"/>
              <w:right w:val="single" w:sz="18" w:space="0" w:color="808080" w:themeColor="background1" w:themeShade="80"/>
            </w:tcBorders>
            <w:vAlign w:val="center"/>
          </w:tcPr>
          <w:bookmarkStart w:id="0" w:name="OLE_LINK1"/>
          <w:bookmarkStart w:id="1" w:name="OLE_LINK2"/>
          <w:p w14:paraId="241023CC" w14:textId="201A5D2E" w:rsidR="00D116C3" w:rsidRDefault="005C02C7" w:rsidP="002B1626">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A1737F">
                  <w:rPr>
                    <w:rFonts w:asciiTheme="majorHAnsi" w:eastAsiaTheme="majorEastAsia" w:hAnsiTheme="majorHAnsi" w:cstheme="majorBidi"/>
                    <w:sz w:val="76"/>
                    <w:szCs w:val="72"/>
                    <w:lang w:val="en-IE"/>
                  </w:rPr>
                  <w:t>Agreed Procedure 13: Settlement Queries</w:t>
                </w:r>
              </w:sdtContent>
            </w:sdt>
          </w:p>
        </w:tc>
        <w:tc>
          <w:tcPr>
            <w:tcW w:w="4565" w:type="dxa"/>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dataBinding w:prefixMappings="xmlns:ns0='http://schemas.microsoft.com/office/2006/coverPageProps'" w:xpath="/ns0:CoverPageProperties[1]/ns0:PublishDate[1]" w:storeItemID="{55AF091B-3C7A-41E3-B477-F2FDAA23CFDA}"/>
              <w:date w:fullDate="2025-11-13T00:00:00Z">
                <w:dateFormat w:val="MMMM d"/>
                <w:lid w:val="en-US"/>
                <w:storeMappedDataAs w:val="dateTime"/>
                <w:calendar w:val="gregorian"/>
              </w:date>
            </w:sdtPr>
            <w:sdtEndPr/>
            <w:sdtContent>
              <w:p w14:paraId="241023CD" w14:textId="475C221B" w:rsidR="00D116C3" w:rsidRDefault="00AE7E0B" w:rsidP="71C73A6E">
                <w:pPr>
                  <w:pStyle w:val="NoSpacing"/>
                  <w:rPr>
                    <w:rFonts w:asciiTheme="majorHAnsi" w:eastAsiaTheme="majorEastAsia" w:hAnsiTheme="majorHAnsi" w:cstheme="majorBidi"/>
                    <w:sz w:val="36"/>
                    <w:szCs w:val="36"/>
                  </w:rPr>
                </w:pPr>
                <w:r w:rsidRPr="71C73A6E">
                  <w:rPr>
                    <w:rFonts w:asciiTheme="majorHAnsi" w:eastAsiaTheme="majorEastAsia" w:hAnsiTheme="majorHAnsi" w:cstheme="majorBidi"/>
                    <w:sz w:val="36"/>
                    <w:szCs w:val="36"/>
                    <w:lang w:val="en-US"/>
                  </w:rPr>
                  <w:t>November 13</w:t>
                </w:r>
              </w:p>
            </w:sdtContent>
          </w:sdt>
          <w:sdt>
            <w:sdtPr>
              <w:rPr>
                <w:color w:val="4F81BD" w:themeColor="accent1"/>
                <w:sz w:val="200"/>
                <w:szCs w:val="200"/>
              </w:rPr>
              <w:alias w:val="Year"/>
              <w:id w:val="276713170"/>
              <w:dataBinding w:prefixMappings="xmlns:ns0='http://schemas.microsoft.com/office/2006/coverPageProps'" w:xpath="/ns0:CoverPageProperties[1]/ns0:PublishDate[1]" w:storeItemID="{55AF091B-3C7A-41E3-B477-F2FDAA23CFDA}"/>
              <w:date w:fullDate="2025-11-13T00:00:00Z">
                <w:dateFormat w:val="yyyy"/>
                <w:lid w:val="en-US"/>
                <w:storeMappedDataAs w:val="dateTime"/>
                <w:calendar w:val="gregorian"/>
              </w:date>
            </w:sdtPr>
            <w:sdtEndPr>
              <w:rPr>
                <w:color w:val="auto"/>
                <w:sz w:val="20"/>
                <w:szCs w:val="20"/>
              </w:rPr>
            </w:sdtEndPr>
            <w:sdtContent>
              <w:p w14:paraId="241023CE" w14:textId="61B379D5" w:rsidR="00D116C3" w:rsidRPr="0064337E" w:rsidRDefault="00AE7E0B" w:rsidP="002B1626">
                <w:pPr>
                  <w:pStyle w:val="NoSpacing"/>
                  <w:rPr>
                    <w:color w:val="4F81BD" w:themeColor="accent1"/>
                    <w:sz w:val="200"/>
                    <w:szCs w:val="200"/>
                  </w:rPr>
                </w:pPr>
                <w:r w:rsidRPr="71C73A6E">
                  <w:rPr>
                    <w:color w:val="4F81BD" w:themeColor="accent1"/>
                    <w:sz w:val="200"/>
                    <w:szCs w:val="200"/>
                    <w:lang w:val="en-US"/>
                  </w:rPr>
                  <w:t>2025</w:t>
                </w:r>
              </w:p>
            </w:sdtContent>
          </w:sdt>
        </w:tc>
      </w:tr>
    </w:tbl>
    <w:bookmarkEnd w:id="0"/>
    <w:bookmarkEnd w:id="1"/>
    <w:p w14:paraId="241023D0" w14:textId="75AF52A6" w:rsidR="00D116C3" w:rsidRDefault="00D116C3" w:rsidP="00D116C3">
      <w:pPr>
        <w:pStyle w:val="CERNORMAL"/>
        <w:jc w:val="center"/>
        <w:rPr>
          <w:rFonts w:asciiTheme="majorHAnsi" w:eastAsiaTheme="majorEastAsia" w:hAnsiTheme="majorHAnsi" w:cstheme="majorBidi"/>
          <w:sz w:val="76"/>
          <w:szCs w:val="72"/>
          <w:lang w:val="en-IE"/>
        </w:rPr>
      </w:pPr>
      <w:r>
        <w:rPr>
          <w:rFonts w:asciiTheme="majorHAnsi" w:eastAsiaTheme="majorEastAsia" w:hAnsiTheme="majorHAnsi" w:cstheme="majorBidi"/>
          <w:sz w:val="76"/>
          <w:szCs w:val="72"/>
          <w:lang w:val="en-IE"/>
        </w:rPr>
        <w:t>Trading and Settlement Code</w:t>
      </w:r>
    </w:p>
    <w:p w14:paraId="241023D2" w14:textId="77777777" w:rsidR="00D116C3" w:rsidRDefault="00D116C3" w:rsidP="00D116C3">
      <w:pPr>
        <w:pStyle w:val="Project"/>
        <w:rPr>
          <w:rFonts w:cs="Arial"/>
          <w:sz w:val="40"/>
          <w:szCs w:val="40"/>
        </w:rPr>
      </w:pPr>
    </w:p>
    <w:p w14:paraId="241023D3" w14:textId="6202A27D" w:rsidR="00D116C3" w:rsidRDefault="00E36582" w:rsidP="00D116C3">
      <w:pPr>
        <w:pStyle w:val="Project"/>
        <w:rPr>
          <w:rFonts w:cs="Arial"/>
          <w:sz w:val="40"/>
          <w:szCs w:val="40"/>
        </w:rPr>
      </w:pPr>
      <w:r w:rsidRPr="003C5895">
        <w:rPr>
          <w:rFonts w:asciiTheme="majorHAnsi" w:eastAsiaTheme="majorEastAsia" w:hAnsiTheme="majorHAnsi" w:cstheme="majorBidi"/>
          <w:noProof/>
          <w:sz w:val="76"/>
          <w:szCs w:val="72"/>
          <w:lang w:eastAsia="en-IE"/>
        </w:rPr>
        <mc:AlternateContent>
          <mc:Choice Requires="wps">
            <w:drawing>
              <wp:anchor distT="0" distB="0" distL="114300" distR="114300" simplePos="0" relativeHeight="251657216" behindDoc="0" locked="0" layoutInCell="1" allowOverlap="1" wp14:anchorId="0CAD4C52" wp14:editId="1A207CBD">
                <wp:simplePos x="0" y="0"/>
                <wp:positionH relativeFrom="column">
                  <wp:posOffset>4545965</wp:posOffset>
                </wp:positionH>
                <wp:positionV relativeFrom="paragraph">
                  <wp:posOffset>2732405</wp:posOffset>
                </wp:positionV>
                <wp:extent cx="1143000" cy="367030"/>
                <wp:effectExtent l="0" t="0" r="1905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7030"/>
                        </a:xfrm>
                        <a:prstGeom prst="rect">
                          <a:avLst/>
                        </a:prstGeom>
                        <a:solidFill>
                          <a:srgbClr val="FFFFFF"/>
                        </a:solidFill>
                        <a:ln w="9525">
                          <a:solidFill>
                            <a:srgbClr val="000000"/>
                          </a:solidFill>
                          <a:miter lim="800000"/>
                          <a:headEnd/>
                          <a:tailEnd/>
                        </a:ln>
                      </wps:spPr>
                      <wps:txbx>
                        <w:txbxContent>
                          <w:p w14:paraId="1C0FCCC4" w14:textId="763BC51B" w:rsidR="003C5895" w:rsidRPr="0079297F" w:rsidRDefault="00606312">
                            <w:pPr>
                              <w:rPr>
                                <w:rFonts w:asciiTheme="majorHAnsi" w:hAnsiTheme="majorHAnsi"/>
                                <w:sz w:val="24"/>
                                <w:szCs w:val="24"/>
                                <w:lang w:val="en-IE"/>
                              </w:rPr>
                            </w:pPr>
                            <w:r w:rsidRPr="0079297F">
                              <w:rPr>
                                <w:rFonts w:asciiTheme="majorHAnsi" w:hAnsiTheme="majorHAnsi"/>
                                <w:sz w:val="24"/>
                                <w:szCs w:val="24"/>
                                <w:lang w:val="en-IE"/>
                              </w:rPr>
                              <w:t>Version</w:t>
                            </w:r>
                            <w:r w:rsidR="00F31CDB">
                              <w:rPr>
                                <w:rFonts w:asciiTheme="majorHAnsi" w:hAnsiTheme="majorHAnsi"/>
                                <w:sz w:val="24"/>
                                <w:szCs w:val="24"/>
                                <w:lang w:val="en-IE"/>
                              </w:rPr>
                              <w:t xml:space="preserve"> 3</w:t>
                            </w:r>
                            <w:r w:rsidR="00C61A34">
                              <w:rPr>
                                <w:rFonts w:asciiTheme="majorHAnsi" w:hAnsiTheme="majorHAnsi"/>
                                <w:sz w:val="24"/>
                                <w:szCs w:val="24"/>
                                <w:lang w:val="en-IE"/>
                              </w:rPr>
                              <w:t>1</w:t>
                            </w:r>
                            <w:r w:rsidRPr="0079297F">
                              <w:rPr>
                                <w:rFonts w:asciiTheme="majorHAnsi" w:hAnsiTheme="majorHAnsi"/>
                                <w:sz w:val="24"/>
                                <w:szCs w:val="24"/>
                                <w:lang w:val="en-IE"/>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D4C52" id="_x0000_t202" coordsize="21600,21600" o:spt="202" path="m,l,21600r21600,l21600,xe">
                <v:stroke joinstyle="miter"/>
                <v:path gradientshapeok="t" o:connecttype="rect"/>
              </v:shapetype>
              <v:shape id="Text Box 2" o:spid="_x0000_s1026" type="#_x0000_t202" style="position:absolute;left:0;text-align:left;margin-left:357.95pt;margin-top:215.15pt;width:90pt;height:2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">
                <v:textbox>
                  <w:txbxContent>
                    <w:p w14:paraId="1C0FCCC4" w14:textId="763BC51B" w:rsidR="003C5895" w:rsidRPr="0079297F" w:rsidRDefault="00606312">
                      <w:pPr>
                        <w:rPr>
                          <w:rFonts w:asciiTheme="majorHAnsi" w:hAnsiTheme="majorHAnsi"/>
                          <w:sz w:val="24"/>
                          <w:szCs w:val="24"/>
                          <w:lang w:val="en-IE"/>
                        </w:rPr>
                      </w:pPr>
                      <w:r w:rsidRPr="0079297F">
                        <w:rPr>
                          <w:rFonts w:asciiTheme="majorHAnsi" w:hAnsiTheme="majorHAnsi"/>
                          <w:sz w:val="24"/>
                          <w:szCs w:val="24"/>
                          <w:lang w:val="en-IE"/>
                        </w:rPr>
                        <w:t>Version</w:t>
                      </w:r>
                      <w:r w:rsidR="00F31CDB">
                        <w:rPr>
                          <w:rFonts w:asciiTheme="majorHAnsi" w:hAnsiTheme="majorHAnsi"/>
                          <w:sz w:val="24"/>
                          <w:szCs w:val="24"/>
                          <w:lang w:val="en-IE"/>
                        </w:rPr>
                        <w:t xml:space="preserve"> 3</w:t>
                      </w:r>
                      <w:r w:rsidR="00C61A34">
                        <w:rPr>
                          <w:rFonts w:asciiTheme="majorHAnsi" w:hAnsiTheme="majorHAnsi"/>
                          <w:sz w:val="24"/>
                          <w:szCs w:val="24"/>
                          <w:lang w:val="en-IE"/>
                        </w:rPr>
                        <w:t>1</w:t>
                      </w:r>
                      <w:r w:rsidRPr="0079297F">
                        <w:rPr>
                          <w:rFonts w:asciiTheme="majorHAnsi" w:hAnsiTheme="majorHAnsi"/>
                          <w:sz w:val="24"/>
                          <w:szCs w:val="24"/>
                          <w:lang w:val="en-IE"/>
                        </w:rPr>
                        <w:t>.0</w:t>
                      </w:r>
                    </w:p>
                  </w:txbxContent>
                </v:textbox>
              </v:shape>
            </w:pict>
          </mc:Fallback>
        </mc:AlternateContent>
      </w:r>
    </w:p>
    <w:p w14:paraId="241023D4" w14:textId="77777777" w:rsidR="00D116C3" w:rsidRDefault="00D116C3" w:rsidP="00D116C3">
      <w:pPr>
        <w:pStyle w:val="Project"/>
        <w:rPr>
          <w:rFonts w:cs="Arial"/>
          <w:sz w:val="40"/>
          <w:szCs w:val="40"/>
        </w:rPr>
      </w:pPr>
    </w:p>
    <w:p w14:paraId="241023D5" w14:textId="77777777" w:rsidR="00D116C3" w:rsidRDefault="00D116C3" w:rsidP="00D116C3">
      <w:pPr>
        <w:pStyle w:val="Project"/>
        <w:rPr>
          <w:rFonts w:cs="Arial"/>
          <w:sz w:val="40"/>
          <w:szCs w:val="40"/>
        </w:rPr>
      </w:pPr>
    </w:p>
    <w:p w14:paraId="241023D6" w14:textId="77777777" w:rsidR="00D116C3" w:rsidRDefault="00D116C3" w:rsidP="00D116C3">
      <w:pPr>
        <w:pStyle w:val="Project"/>
        <w:rPr>
          <w:rFonts w:cs="Arial"/>
          <w:sz w:val="40"/>
          <w:szCs w:val="40"/>
        </w:rPr>
      </w:pPr>
    </w:p>
    <w:p w14:paraId="241023D7" w14:textId="77777777" w:rsidR="00D116C3" w:rsidRDefault="00D116C3" w:rsidP="00D116C3">
      <w:pPr>
        <w:pStyle w:val="Project"/>
        <w:rPr>
          <w:rFonts w:cs="Arial"/>
          <w:sz w:val="40"/>
          <w:szCs w:val="40"/>
        </w:rPr>
      </w:pPr>
    </w:p>
    <w:p w14:paraId="241023D8" w14:textId="77777777" w:rsidR="00D116C3" w:rsidRDefault="00D116C3" w:rsidP="00D116C3">
      <w:pPr>
        <w:pStyle w:val="Project"/>
        <w:rPr>
          <w:rFonts w:cs="Arial"/>
          <w:sz w:val="40"/>
          <w:szCs w:val="40"/>
        </w:rPr>
      </w:pPr>
    </w:p>
    <w:p w14:paraId="5900B4A9" w14:textId="77777777" w:rsidR="00606312" w:rsidRDefault="00606312" w:rsidP="00D116C3">
      <w:pPr>
        <w:pStyle w:val="Project"/>
        <w:rPr>
          <w:rFonts w:cs="Arial"/>
          <w:sz w:val="40"/>
          <w:szCs w:val="40"/>
        </w:rPr>
      </w:pPr>
    </w:p>
    <w:p w14:paraId="0B1F931C" w14:textId="77777777" w:rsidR="00606312" w:rsidRDefault="00606312" w:rsidP="00D116C3">
      <w:pPr>
        <w:pStyle w:val="Project"/>
        <w:rPr>
          <w:rFonts w:cs="Arial"/>
          <w:sz w:val="40"/>
          <w:szCs w:val="40"/>
        </w:rPr>
      </w:pPr>
    </w:p>
    <w:p w14:paraId="555B593C" w14:textId="77777777" w:rsidR="00606312" w:rsidRDefault="00606312" w:rsidP="00D116C3">
      <w:pPr>
        <w:pStyle w:val="Project"/>
        <w:rPr>
          <w:rFonts w:cs="Arial"/>
          <w:sz w:val="40"/>
          <w:szCs w:val="40"/>
        </w:rPr>
      </w:pPr>
    </w:p>
    <w:p w14:paraId="241023D9" w14:textId="77777777" w:rsidR="00A04D3F" w:rsidRPr="00825DDF" w:rsidRDefault="00A04D3F" w:rsidP="00DD5202">
      <w:pPr>
        <w:pStyle w:val="Body1"/>
        <w:rPr>
          <w:rFonts w:ascii="Arial" w:hAnsi="Arial" w:cs="Arial"/>
          <w:lang w:val="en-IE"/>
        </w:rPr>
      </w:pPr>
    </w:p>
    <w:sdt>
      <w:sdtPr>
        <w:rPr>
          <w:rFonts w:cs="Times New Roman"/>
          <w:b w:val="0"/>
          <w:bCs w:val="0"/>
          <w:caps/>
          <w:noProof w:val="0"/>
          <w:color w:val="000000"/>
          <w:sz w:val="22"/>
          <w:szCs w:val="20"/>
          <w:lang w:val="en-GB" w:eastAsia="en-IE"/>
        </w:rPr>
        <w:id w:val="-154303441"/>
        <w:docPartObj>
          <w:docPartGallery w:val="Table of Contents"/>
          <w:docPartUnique/>
        </w:docPartObj>
      </w:sdtPr>
      <w:sdtEndPr>
        <w:rPr>
          <w:caps w:val="0"/>
          <w:color w:val="000000" w:themeColor="text1"/>
          <w:szCs w:val="22"/>
          <w:lang w:eastAsia="en-US"/>
        </w:rPr>
      </w:sdtEndPr>
      <w:sdtContent>
        <w:p w14:paraId="241023DA" w14:textId="77777777" w:rsidR="00D116C3" w:rsidRDefault="00D116C3" w:rsidP="00D116C3">
          <w:pPr>
            <w:pStyle w:val="TOC1"/>
            <w:rPr>
              <w:color w:val="1F497D" w:themeColor="text2"/>
            </w:rPr>
          </w:pPr>
          <w:r w:rsidRPr="00112282">
            <w:rPr>
              <w:color w:val="1F497D" w:themeColor="text2"/>
            </w:rPr>
            <w:t>Contents</w:t>
          </w:r>
        </w:p>
        <w:p w14:paraId="241023DB" w14:textId="77777777" w:rsidR="003A2EDF" w:rsidRPr="003A2EDF" w:rsidRDefault="003A2EDF" w:rsidP="003A2EDF">
          <w:pPr>
            <w:rPr>
              <w:lang w:val="en-IE"/>
            </w:rPr>
          </w:pPr>
        </w:p>
        <w:p w14:paraId="241023DC" w14:textId="77777777" w:rsidR="00C576C7" w:rsidRPr="00F06FFD" w:rsidRDefault="00AA2DEF" w:rsidP="000F6435">
          <w:pPr>
            <w:pStyle w:val="TOC1"/>
            <w:spacing w:before="0" w:after="120"/>
            <w:rPr>
              <w:rFonts w:eastAsiaTheme="minorEastAsia"/>
              <w:b w:val="0"/>
              <w:bCs w:val="0"/>
              <w:sz w:val="22"/>
              <w:lang w:eastAsia="en-IE"/>
            </w:rPr>
          </w:pPr>
          <w:r w:rsidRPr="00F06FFD">
            <w:rPr>
              <w:rFonts w:eastAsiaTheme="majorEastAsia"/>
              <w:b w:val="0"/>
              <w:bCs w:val="0"/>
              <w:color w:val="365F91" w:themeColor="accent1" w:themeShade="BF"/>
              <w:sz w:val="22"/>
            </w:rPr>
            <w:fldChar w:fldCharType="begin"/>
          </w:r>
          <w:r w:rsidR="00D116C3" w:rsidRPr="00F06FFD">
            <w:rPr>
              <w:rFonts w:eastAsiaTheme="majorEastAsia"/>
              <w:b w:val="0"/>
              <w:bCs w:val="0"/>
              <w:color w:val="365F91" w:themeColor="accent1" w:themeShade="BF"/>
              <w:sz w:val="22"/>
            </w:rPr>
            <w:instrText xml:space="preserve"> TOC \o "1-3" \h \z \t "AP NUM HEAD 1,1,AP NUM HEAD 2,2,AP NUM HEAD 3,3,AP Heading2,2,AP Heading 3,3" </w:instrText>
          </w:r>
          <w:r w:rsidRPr="00F06FFD">
            <w:rPr>
              <w:rFonts w:eastAsiaTheme="majorEastAsia"/>
              <w:b w:val="0"/>
              <w:bCs w:val="0"/>
              <w:color w:val="365F91" w:themeColor="accent1" w:themeShade="BF"/>
              <w:sz w:val="22"/>
            </w:rPr>
            <w:fldChar w:fldCharType="separate"/>
          </w:r>
          <w:hyperlink w:anchor="_Toc478995226" w:history="1">
            <w:r w:rsidR="00C576C7" w:rsidRPr="00F06FFD">
              <w:rPr>
                <w:rStyle w:val="Hyperlink"/>
                <w:kern w:val="28"/>
                <w:sz w:val="22"/>
              </w:rPr>
              <w:t>1.</w:t>
            </w:r>
            <w:r w:rsidR="00C576C7" w:rsidRPr="00F06FFD">
              <w:rPr>
                <w:rFonts w:eastAsiaTheme="minorEastAsia"/>
                <w:b w:val="0"/>
                <w:bCs w:val="0"/>
                <w:sz w:val="22"/>
                <w:lang w:eastAsia="en-IE"/>
              </w:rPr>
              <w:tab/>
            </w:r>
            <w:r w:rsidR="00C576C7" w:rsidRPr="00F06FFD">
              <w:rPr>
                <w:rStyle w:val="Hyperlink"/>
                <w:kern w:val="28"/>
                <w:sz w:val="22"/>
              </w:rPr>
              <w:t>Introduction</w:t>
            </w:r>
            <w:r w:rsidR="00C576C7" w:rsidRPr="00F06FFD">
              <w:rPr>
                <w:webHidden/>
                <w:sz w:val="22"/>
              </w:rPr>
              <w:tab/>
            </w:r>
            <w:r w:rsidRPr="00F06FFD">
              <w:rPr>
                <w:webHidden/>
                <w:sz w:val="22"/>
              </w:rPr>
              <w:fldChar w:fldCharType="begin"/>
            </w:r>
            <w:r w:rsidR="00C576C7" w:rsidRPr="00F06FFD">
              <w:rPr>
                <w:webHidden/>
                <w:sz w:val="22"/>
              </w:rPr>
              <w:instrText xml:space="preserve"> PAGEREF _Toc478995226 \h </w:instrText>
            </w:r>
            <w:r w:rsidRPr="00F06FFD">
              <w:rPr>
                <w:webHidden/>
                <w:sz w:val="22"/>
              </w:rPr>
            </w:r>
            <w:r w:rsidRPr="00F06FFD">
              <w:rPr>
                <w:webHidden/>
                <w:sz w:val="22"/>
              </w:rPr>
              <w:fldChar w:fldCharType="separate"/>
            </w:r>
            <w:r w:rsidR="006654EF">
              <w:rPr>
                <w:webHidden/>
                <w:sz w:val="22"/>
              </w:rPr>
              <w:t>1</w:t>
            </w:r>
            <w:r w:rsidRPr="00F06FFD">
              <w:rPr>
                <w:webHidden/>
                <w:sz w:val="22"/>
              </w:rPr>
              <w:fldChar w:fldCharType="end"/>
            </w:r>
          </w:hyperlink>
        </w:p>
        <w:p w14:paraId="241023DD" w14:textId="77777777" w:rsidR="00C576C7" w:rsidRPr="00F06FFD" w:rsidRDefault="00C576C7" w:rsidP="000F6435">
          <w:pPr>
            <w:pStyle w:val="TOC3"/>
            <w:spacing w:after="120"/>
            <w:rPr>
              <w:rFonts w:eastAsiaTheme="minorEastAsia"/>
              <w:lang w:val="en-IE" w:eastAsia="en-IE"/>
            </w:rPr>
          </w:pPr>
          <w:hyperlink w:anchor="_Toc478995227" w:history="1">
            <w:r w:rsidRPr="00F06FFD">
              <w:rPr>
                <w:rStyle w:val="Hyperlink"/>
              </w:rPr>
              <w:t>1.1</w:t>
            </w:r>
            <w:r w:rsidRPr="00F06FFD">
              <w:rPr>
                <w:rFonts w:eastAsiaTheme="minorEastAsia"/>
                <w:lang w:val="en-IE" w:eastAsia="en-IE"/>
              </w:rPr>
              <w:tab/>
            </w:r>
            <w:r w:rsidRPr="00F06FFD">
              <w:rPr>
                <w:rStyle w:val="Hyperlink"/>
              </w:rPr>
              <w:t>Background and Purpose</w:t>
            </w:r>
            <w:r w:rsidRPr="00F06FFD">
              <w:rPr>
                <w:webHidden/>
              </w:rPr>
              <w:tab/>
            </w:r>
            <w:r w:rsidR="00AA2DEF" w:rsidRPr="00F06FFD">
              <w:rPr>
                <w:webHidden/>
              </w:rPr>
              <w:fldChar w:fldCharType="begin"/>
            </w:r>
            <w:r w:rsidRPr="00F06FFD">
              <w:rPr>
                <w:webHidden/>
              </w:rPr>
              <w:instrText xml:space="preserve"> PAGEREF _Toc478995227 \h </w:instrText>
            </w:r>
            <w:r w:rsidR="00AA2DEF" w:rsidRPr="00F06FFD">
              <w:rPr>
                <w:webHidden/>
              </w:rPr>
            </w:r>
            <w:r w:rsidR="00AA2DEF" w:rsidRPr="00F06FFD">
              <w:rPr>
                <w:webHidden/>
              </w:rPr>
              <w:fldChar w:fldCharType="separate"/>
            </w:r>
            <w:r w:rsidR="006654EF">
              <w:rPr>
                <w:webHidden/>
              </w:rPr>
              <w:t>1</w:t>
            </w:r>
            <w:r w:rsidR="00AA2DEF" w:rsidRPr="00F06FFD">
              <w:rPr>
                <w:webHidden/>
              </w:rPr>
              <w:fldChar w:fldCharType="end"/>
            </w:r>
          </w:hyperlink>
        </w:p>
        <w:p w14:paraId="241023DE" w14:textId="77777777" w:rsidR="00C576C7" w:rsidRPr="00F06FFD" w:rsidRDefault="00C576C7" w:rsidP="000F6435">
          <w:pPr>
            <w:pStyle w:val="TOC3"/>
            <w:spacing w:after="120"/>
            <w:rPr>
              <w:rFonts w:eastAsiaTheme="minorEastAsia"/>
              <w:lang w:val="en-IE" w:eastAsia="en-IE"/>
            </w:rPr>
          </w:pPr>
          <w:hyperlink w:anchor="_Toc478995228" w:history="1">
            <w:r w:rsidRPr="00F06FFD">
              <w:rPr>
                <w:rStyle w:val="Hyperlink"/>
              </w:rPr>
              <w:t>1.2</w:t>
            </w:r>
            <w:r w:rsidRPr="00F06FFD">
              <w:rPr>
                <w:rFonts w:eastAsiaTheme="minorEastAsia"/>
                <w:lang w:val="en-IE" w:eastAsia="en-IE"/>
              </w:rPr>
              <w:tab/>
            </w:r>
            <w:r w:rsidRPr="00F06FFD">
              <w:rPr>
                <w:rStyle w:val="Hyperlink"/>
              </w:rPr>
              <w:t>Scope of Agreed Procedure</w:t>
            </w:r>
            <w:r w:rsidRPr="00F06FFD">
              <w:rPr>
                <w:webHidden/>
              </w:rPr>
              <w:tab/>
            </w:r>
            <w:r w:rsidR="00AA2DEF" w:rsidRPr="00F06FFD">
              <w:rPr>
                <w:webHidden/>
              </w:rPr>
              <w:fldChar w:fldCharType="begin"/>
            </w:r>
            <w:r w:rsidRPr="00F06FFD">
              <w:rPr>
                <w:webHidden/>
              </w:rPr>
              <w:instrText xml:space="preserve"> PAGEREF _Toc478995228 \h </w:instrText>
            </w:r>
            <w:r w:rsidR="00AA2DEF" w:rsidRPr="00F06FFD">
              <w:rPr>
                <w:webHidden/>
              </w:rPr>
            </w:r>
            <w:r w:rsidR="00AA2DEF" w:rsidRPr="00F06FFD">
              <w:rPr>
                <w:webHidden/>
              </w:rPr>
              <w:fldChar w:fldCharType="separate"/>
            </w:r>
            <w:r w:rsidR="006654EF">
              <w:rPr>
                <w:webHidden/>
              </w:rPr>
              <w:t>1</w:t>
            </w:r>
            <w:r w:rsidR="00AA2DEF" w:rsidRPr="00F06FFD">
              <w:rPr>
                <w:webHidden/>
              </w:rPr>
              <w:fldChar w:fldCharType="end"/>
            </w:r>
          </w:hyperlink>
        </w:p>
        <w:p w14:paraId="241023DF" w14:textId="77777777" w:rsidR="00C576C7" w:rsidRPr="00F06FFD" w:rsidRDefault="00C576C7" w:rsidP="000F6435">
          <w:pPr>
            <w:pStyle w:val="TOC3"/>
            <w:spacing w:after="120"/>
            <w:rPr>
              <w:rFonts w:eastAsiaTheme="minorEastAsia"/>
              <w:lang w:val="en-IE" w:eastAsia="en-IE"/>
            </w:rPr>
          </w:pPr>
          <w:hyperlink w:anchor="_Toc478995229" w:history="1">
            <w:r w:rsidRPr="00F06FFD">
              <w:rPr>
                <w:rStyle w:val="Hyperlink"/>
              </w:rPr>
              <w:t>1.3</w:t>
            </w:r>
            <w:r w:rsidRPr="00F06FFD">
              <w:rPr>
                <w:rFonts w:eastAsiaTheme="minorEastAsia"/>
                <w:lang w:val="en-IE" w:eastAsia="en-IE"/>
              </w:rPr>
              <w:tab/>
            </w:r>
            <w:r w:rsidRPr="00F06FFD">
              <w:rPr>
                <w:rStyle w:val="Hyperlink"/>
              </w:rPr>
              <w:t>Definitions</w:t>
            </w:r>
            <w:r w:rsidRPr="00F06FFD">
              <w:rPr>
                <w:webHidden/>
              </w:rPr>
              <w:tab/>
            </w:r>
            <w:r w:rsidR="00AA2DEF" w:rsidRPr="00F06FFD">
              <w:rPr>
                <w:webHidden/>
              </w:rPr>
              <w:fldChar w:fldCharType="begin"/>
            </w:r>
            <w:r w:rsidRPr="00F06FFD">
              <w:rPr>
                <w:webHidden/>
              </w:rPr>
              <w:instrText xml:space="preserve"> PAGEREF _Toc478995229 \h </w:instrText>
            </w:r>
            <w:r w:rsidR="00AA2DEF" w:rsidRPr="00F06FFD">
              <w:rPr>
                <w:webHidden/>
              </w:rPr>
            </w:r>
            <w:r w:rsidR="00AA2DEF" w:rsidRPr="00F06FFD">
              <w:rPr>
                <w:webHidden/>
              </w:rPr>
              <w:fldChar w:fldCharType="separate"/>
            </w:r>
            <w:r w:rsidR="006654EF">
              <w:rPr>
                <w:webHidden/>
              </w:rPr>
              <w:t>1</w:t>
            </w:r>
            <w:r w:rsidR="00AA2DEF" w:rsidRPr="00F06FFD">
              <w:rPr>
                <w:webHidden/>
              </w:rPr>
              <w:fldChar w:fldCharType="end"/>
            </w:r>
          </w:hyperlink>
        </w:p>
        <w:p w14:paraId="241023E0" w14:textId="77777777" w:rsidR="00C576C7" w:rsidRPr="00F06FFD" w:rsidRDefault="00C576C7" w:rsidP="000F6435">
          <w:pPr>
            <w:pStyle w:val="TOC3"/>
            <w:spacing w:after="120"/>
            <w:rPr>
              <w:rFonts w:eastAsiaTheme="minorEastAsia"/>
              <w:lang w:val="en-IE" w:eastAsia="en-IE"/>
            </w:rPr>
          </w:pPr>
          <w:hyperlink w:anchor="_Toc478995230" w:history="1">
            <w:r w:rsidRPr="00F06FFD">
              <w:rPr>
                <w:rStyle w:val="Hyperlink"/>
              </w:rPr>
              <w:t>1.4</w:t>
            </w:r>
            <w:r w:rsidRPr="00F06FFD">
              <w:rPr>
                <w:rFonts w:eastAsiaTheme="minorEastAsia"/>
                <w:lang w:val="en-IE" w:eastAsia="en-IE"/>
              </w:rPr>
              <w:tab/>
            </w:r>
            <w:r w:rsidRPr="00F06FFD">
              <w:rPr>
                <w:rStyle w:val="Hyperlink"/>
              </w:rPr>
              <w:t>Compliance with Agreed Procedure</w:t>
            </w:r>
            <w:r w:rsidRPr="00F06FFD">
              <w:rPr>
                <w:webHidden/>
              </w:rPr>
              <w:tab/>
            </w:r>
            <w:r w:rsidR="00AA2DEF" w:rsidRPr="00F06FFD">
              <w:rPr>
                <w:webHidden/>
              </w:rPr>
              <w:fldChar w:fldCharType="begin"/>
            </w:r>
            <w:r w:rsidRPr="00F06FFD">
              <w:rPr>
                <w:webHidden/>
              </w:rPr>
              <w:instrText xml:space="preserve"> PAGEREF _Toc478995230 \h </w:instrText>
            </w:r>
            <w:r w:rsidR="00AA2DEF" w:rsidRPr="00F06FFD">
              <w:rPr>
                <w:webHidden/>
              </w:rPr>
            </w:r>
            <w:r w:rsidR="00AA2DEF" w:rsidRPr="00F06FFD">
              <w:rPr>
                <w:webHidden/>
              </w:rPr>
              <w:fldChar w:fldCharType="separate"/>
            </w:r>
            <w:r w:rsidR="006654EF">
              <w:rPr>
                <w:webHidden/>
              </w:rPr>
              <w:t>1</w:t>
            </w:r>
            <w:r w:rsidR="00AA2DEF" w:rsidRPr="00F06FFD">
              <w:rPr>
                <w:webHidden/>
              </w:rPr>
              <w:fldChar w:fldCharType="end"/>
            </w:r>
          </w:hyperlink>
        </w:p>
        <w:p w14:paraId="241023E1" w14:textId="77777777" w:rsidR="00C576C7" w:rsidRPr="00F06FFD" w:rsidRDefault="00C576C7" w:rsidP="000F6435">
          <w:pPr>
            <w:pStyle w:val="TOC1"/>
            <w:spacing w:before="0" w:after="120"/>
            <w:rPr>
              <w:rFonts w:eastAsiaTheme="minorEastAsia"/>
              <w:b w:val="0"/>
              <w:bCs w:val="0"/>
              <w:sz w:val="22"/>
              <w:lang w:eastAsia="en-IE"/>
            </w:rPr>
          </w:pPr>
          <w:hyperlink w:anchor="_Toc478995231" w:history="1">
            <w:r w:rsidRPr="00F06FFD">
              <w:rPr>
                <w:rStyle w:val="Hyperlink"/>
                <w:kern w:val="28"/>
                <w:sz w:val="22"/>
              </w:rPr>
              <w:t>2.</w:t>
            </w:r>
            <w:r w:rsidRPr="00F06FFD">
              <w:rPr>
                <w:rFonts w:eastAsiaTheme="minorEastAsia"/>
                <w:b w:val="0"/>
                <w:bCs w:val="0"/>
                <w:sz w:val="22"/>
                <w:lang w:eastAsia="en-IE"/>
              </w:rPr>
              <w:tab/>
            </w:r>
            <w:r w:rsidRPr="00F06FFD">
              <w:rPr>
                <w:rStyle w:val="Hyperlink"/>
                <w:kern w:val="28"/>
                <w:sz w:val="22"/>
              </w:rPr>
              <w:t>Overview</w:t>
            </w:r>
            <w:r w:rsidRPr="00F06FFD">
              <w:rPr>
                <w:webHidden/>
                <w:sz w:val="22"/>
              </w:rPr>
              <w:tab/>
            </w:r>
            <w:r w:rsidR="00AA2DEF" w:rsidRPr="00F06FFD">
              <w:rPr>
                <w:webHidden/>
                <w:sz w:val="22"/>
              </w:rPr>
              <w:fldChar w:fldCharType="begin"/>
            </w:r>
            <w:r w:rsidRPr="00F06FFD">
              <w:rPr>
                <w:webHidden/>
                <w:sz w:val="22"/>
              </w:rPr>
              <w:instrText xml:space="preserve"> PAGEREF _Toc478995231 \h </w:instrText>
            </w:r>
            <w:r w:rsidR="00AA2DEF" w:rsidRPr="00F06FFD">
              <w:rPr>
                <w:webHidden/>
                <w:sz w:val="22"/>
              </w:rPr>
            </w:r>
            <w:r w:rsidR="00AA2DEF" w:rsidRPr="00F06FFD">
              <w:rPr>
                <w:webHidden/>
                <w:sz w:val="22"/>
              </w:rPr>
              <w:fldChar w:fldCharType="separate"/>
            </w:r>
            <w:r w:rsidR="006654EF">
              <w:rPr>
                <w:webHidden/>
                <w:sz w:val="22"/>
              </w:rPr>
              <w:t>2</w:t>
            </w:r>
            <w:r w:rsidR="00AA2DEF" w:rsidRPr="00F06FFD">
              <w:rPr>
                <w:webHidden/>
                <w:sz w:val="22"/>
              </w:rPr>
              <w:fldChar w:fldCharType="end"/>
            </w:r>
          </w:hyperlink>
        </w:p>
        <w:p w14:paraId="241023E2" w14:textId="77777777" w:rsidR="00C576C7" w:rsidRPr="00F06FFD" w:rsidRDefault="00C576C7" w:rsidP="000F6435">
          <w:pPr>
            <w:pStyle w:val="TOC3"/>
            <w:spacing w:after="120"/>
            <w:rPr>
              <w:rFonts w:eastAsiaTheme="minorEastAsia"/>
              <w:lang w:val="en-IE" w:eastAsia="en-IE"/>
            </w:rPr>
          </w:pPr>
          <w:hyperlink w:anchor="_Toc478995232" w:history="1">
            <w:r w:rsidRPr="00F06FFD">
              <w:rPr>
                <w:rStyle w:val="Hyperlink"/>
              </w:rPr>
              <w:t>2.1</w:t>
            </w:r>
            <w:r w:rsidRPr="00F06FFD">
              <w:rPr>
                <w:rFonts w:eastAsiaTheme="minorEastAsia"/>
                <w:lang w:val="en-IE" w:eastAsia="en-IE"/>
              </w:rPr>
              <w:tab/>
            </w:r>
            <w:r w:rsidRPr="00F06FFD">
              <w:rPr>
                <w:rStyle w:val="Hyperlink"/>
              </w:rPr>
              <w:t>Raising Settlement Queries</w:t>
            </w:r>
            <w:r w:rsidRPr="00F06FFD">
              <w:rPr>
                <w:webHidden/>
              </w:rPr>
              <w:tab/>
            </w:r>
            <w:r w:rsidR="00AA2DEF" w:rsidRPr="00F06FFD">
              <w:rPr>
                <w:webHidden/>
              </w:rPr>
              <w:fldChar w:fldCharType="begin"/>
            </w:r>
            <w:r w:rsidRPr="00F06FFD">
              <w:rPr>
                <w:webHidden/>
              </w:rPr>
              <w:instrText xml:space="preserve"> PAGEREF _Toc478995232 \h </w:instrText>
            </w:r>
            <w:r w:rsidR="00AA2DEF" w:rsidRPr="00F06FFD">
              <w:rPr>
                <w:webHidden/>
              </w:rPr>
            </w:r>
            <w:r w:rsidR="00AA2DEF" w:rsidRPr="00F06FFD">
              <w:rPr>
                <w:webHidden/>
              </w:rPr>
              <w:fldChar w:fldCharType="separate"/>
            </w:r>
            <w:r w:rsidR="006654EF">
              <w:rPr>
                <w:webHidden/>
              </w:rPr>
              <w:t>2</w:t>
            </w:r>
            <w:r w:rsidR="00AA2DEF" w:rsidRPr="00F06FFD">
              <w:rPr>
                <w:webHidden/>
              </w:rPr>
              <w:fldChar w:fldCharType="end"/>
            </w:r>
          </w:hyperlink>
        </w:p>
        <w:p w14:paraId="241023E3" w14:textId="77777777" w:rsidR="00C576C7" w:rsidRPr="00F06FFD" w:rsidRDefault="00C576C7" w:rsidP="000F6435">
          <w:pPr>
            <w:pStyle w:val="TOC3"/>
            <w:spacing w:after="120"/>
            <w:rPr>
              <w:rFonts w:eastAsiaTheme="minorEastAsia"/>
              <w:lang w:val="en-IE" w:eastAsia="en-IE"/>
            </w:rPr>
          </w:pPr>
          <w:hyperlink w:anchor="_Toc478995233" w:history="1">
            <w:r w:rsidRPr="00F06FFD">
              <w:rPr>
                <w:rStyle w:val="Hyperlink"/>
              </w:rPr>
              <w:t>2.2</w:t>
            </w:r>
            <w:r w:rsidRPr="00F06FFD">
              <w:rPr>
                <w:rFonts w:eastAsiaTheme="minorEastAsia"/>
                <w:lang w:val="en-IE" w:eastAsia="en-IE"/>
              </w:rPr>
              <w:tab/>
            </w:r>
            <w:r w:rsidRPr="00F06FFD">
              <w:rPr>
                <w:rStyle w:val="Hyperlink"/>
              </w:rPr>
              <w:t>Processing Settlement Queries</w:t>
            </w:r>
            <w:r w:rsidRPr="00F06FFD">
              <w:rPr>
                <w:webHidden/>
              </w:rPr>
              <w:tab/>
            </w:r>
            <w:r w:rsidR="00AA2DEF" w:rsidRPr="00F06FFD">
              <w:rPr>
                <w:webHidden/>
              </w:rPr>
              <w:fldChar w:fldCharType="begin"/>
            </w:r>
            <w:r w:rsidRPr="00F06FFD">
              <w:rPr>
                <w:webHidden/>
              </w:rPr>
              <w:instrText xml:space="preserve"> PAGEREF _Toc478995233 \h </w:instrText>
            </w:r>
            <w:r w:rsidR="00AA2DEF" w:rsidRPr="00F06FFD">
              <w:rPr>
                <w:webHidden/>
              </w:rPr>
            </w:r>
            <w:r w:rsidR="00AA2DEF" w:rsidRPr="00F06FFD">
              <w:rPr>
                <w:webHidden/>
              </w:rPr>
              <w:fldChar w:fldCharType="separate"/>
            </w:r>
            <w:r w:rsidR="006654EF">
              <w:rPr>
                <w:webHidden/>
              </w:rPr>
              <w:t>2</w:t>
            </w:r>
            <w:r w:rsidR="00AA2DEF" w:rsidRPr="00F06FFD">
              <w:rPr>
                <w:webHidden/>
              </w:rPr>
              <w:fldChar w:fldCharType="end"/>
            </w:r>
          </w:hyperlink>
        </w:p>
        <w:p w14:paraId="241023E4" w14:textId="77777777" w:rsidR="00C576C7" w:rsidRPr="00F06FFD" w:rsidRDefault="00C576C7" w:rsidP="000F6435">
          <w:pPr>
            <w:pStyle w:val="TOC3"/>
            <w:spacing w:after="120"/>
            <w:rPr>
              <w:rFonts w:eastAsiaTheme="minorEastAsia"/>
              <w:lang w:val="en-IE" w:eastAsia="en-IE"/>
            </w:rPr>
          </w:pPr>
          <w:hyperlink w:anchor="_Toc478995234" w:history="1">
            <w:r w:rsidRPr="00F06FFD">
              <w:rPr>
                <w:rStyle w:val="Hyperlink"/>
              </w:rPr>
              <w:t>2.3</w:t>
            </w:r>
            <w:r w:rsidRPr="00F06FFD">
              <w:rPr>
                <w:rFonts w:eastAsiaTheme="minorEastAsia"/>
                <w:lang w:val="en-IE" w:eastAsia="en-IE"/>
              </w:rPr>
              <w:tab/>
            </w:r>
            <w:r w:rsidRPr="00F06FFD">
              <w:rPr>
                <w:rStyle w:val="Hyperlink"/>
              </w:rPr>
              <w:t>Determinations of Settlement Query Materiality</w:t>
            </w:r>
            <w:r w:rsidRPr="00F06FFD">
              <w:rPr>
                <w:webHidden/>
              </w:rPr>
              <w:tab/>
            </w:r>
            <w:r w:rsidR="00AA2DEF" w:rsidRPr="00F06FFD">
              <w:rPr>
                <w:webHidden/>
              </w:rPr>
              <w:fldChar w:fldCharType="begin"/>
            </w:r>
            <w:r w:rsidRPr="00F06FFD">
              <w:rPr>
                <w:webHidden/>
              </w:rPr>
              <w:instrText xml:space="preserve"> PAGEREF _Toc478995234 \h </w:instrText>
            </w:r>
            <w:r w:rsidR="00AA2DEF" w:rsidRPr="00F06FFD">
              <w:rPr>
                <w:webHidden/>
              </w:rPr>
            </w:r>
            <w:r w:rsidR="00AA2DEF" w:rsidRPr="00F06FFD">
              <w:rPr>
                <w:webHidden/>
              </w:rPr>
              <w:fldChar w:fldCharType="separate"/>
            </w:r>
            <w:r w:rsidR="006654EF">
              <w:rPr>
                <w:webHidden/>
              </w:rPr>
              <w:t>2</w:t>
            </w:r>
            <w:r w:rsidR="00AA2DEF" w:rsidRPr="00F06FFD">
              <w:rPr>
                <w:webHidden/>
              </w:rPr>
              <w:fldChar w:fldCharType="end"/>
            </w:r>
          </w:hyperlink>
        </w:p>
        <w:p w14:paraId="241023E5" w14:textId="77777777" w:rsidR="00C576C7" w:rsidRPr="00F06FFD" w:rsidRDefault="00C576C7" w:rsidP="000F6435">
          <w:pPr>
            <w:pStyle w:val="TOC3"/>
            <w:spacing w:after="120"/>
            <w:rPr>
              <w:rFonts w:eastAsiaTheme="minorEastAsia"/>
              <w:lang w:val="en-IE" w:eastAsia="en-IE"/>
            </w:rPr>
          </w:pPr>
          <w:hyperlink w:anchor="_Toc478995235" w:history="1">
            <w:r w:rsidRPr="00F06FFD">
              <w:rPr>
                <w:rStyle w:val="Hyperlink"/>
              </w:rPr>
              <w:t>2.4</w:t>
            </w:r>
            <w:r w:rsidRPr="00F06FFD">
              <w:rPr>
                <w:rFonts w:eastAsiaTheme="minorEastAsia"/>
                <w:lang w:val="en-IE" w:eastAsia="en-IE"/>
              </w:rPr>
              <w:tab/>
            </w:r>
            <w:r w:rsidRPr="00F06FFD">
              <w:rPr>
                <w:rStyle w:val="Hyperlink"/>
              </w:rPr>
              <w:t>Corrective Actions</w:t>
            </w:r>
            <w:r w:rsidRPr="00F06FFD">
              <w:rPr>
                <w:webHidden/>
              </w:rPr>
              <w:tab/>
            </w:r>
            <w:r w:rsidR="00AA2DEF" w:rsidRPr="00F06FFD">
              <w:rPr>
                <w:webHidden/>
              </w:rPr>
              <w:fldChar w:fldCharType="begin"/>
            </w:r>
            <w:r w:rsidRPr="00F06FFD">
              <w:rPr>
                <w:webHidden/>
              </w:rPr>
              <w:instrText xml:space="preserve"> PAGEREF _Toc478995235 \h </w:instrText>
            </w:r>
            <w:r w:rsidR="00AA2DEF" w:rsidRPr="00F06FFD">
              <w:rPr>
                <w:webHidden/>
              </w:rPr>
            </w:r>
            <w:r w:rsidR="00AA2DEF" w:rsidRPr="00F06FFD">
              <w:rPr>
                <w:webHidden/>
              </w:rPr>
              <w:fldChar w:fldCharType="separate"/>
            </w:r>
            <w:r w:rsidR="006654EF">
              <w:rPr>
                <w:webHidden/>
              </w:rPr>
              <w:t>3</w:t>
            </w:r>
            <w:r w:rsidR="00AA2DEF" w:rsidRPr="00F06FFD">
              <w:rPr>
                <w:webHidden/>
              </w:rPr>
              <w:fldChar w:fldCharType="end"/>
            </w:r>
          </w:hyperlink>
        </w:p>
        <w:p w14:paraId="241023E6" w14:textId="77777777" w:rsidR="00C576C7" w:rsidRPr="00F06FFD" w:rsidRDefault="00C576C7" w:rsidP="000F6435">
          <w:pPr>
            <w:pStyle w:val="TOC3"/>
            <w:tabs>
              <w:tab w:val="clear" w:pos="1440"/>
              <w:tab w:val="left" w:pos="1350"/>
              <w:tab w:val="left" w:pos="1710"/>
            </w:tabs>
            <w:spacing w:after="120"/>
            <w:ind w:left="1980" w:hanging="558"/>
            <w:rPr>
              <w:rFonts w:eastAsiaTheme="minorEastAsia"/>
              <w:lang w:val="en-IE" w:eastAsia="en-IE"/>
            </w:rPr>
          </w:pPr>
          <w:hyperlink w:anchor="_Toc478995236" w:history="1">
            <w:r w:rsidRPr="00F06FFD">
              <w:rPr>
                <w:rStyle w:val="Hyperlink"/>
              </w:rPr>
              <w:t>2.4.1</w:t>
            </w:r>
            <w:r w:rsidRPr="00F06FFD">
              <w:rPr>
                <w:rFonts w:eastAsiaTheme="minorEastAsia"/>
                <w:lang w:val="en-IE" w:eastAsia="en-IE"/>
              </w:rPr>
              <w:tab/>
            </w:r>
            <w:r w:rsidRPr="00F06FFD">
              <w:rPr>
                <w:rStyle w:val="Hyperlink"/>
              </w:rPr>
              <w:t>Low Materiality</w:t>
            </w:r>
            <w:r w:rsidRPr="00F06FFD">
              <w:rPr>
                <w:webHidden/>
              </w:rPr>
              <w:tab/>
            </w:r>
            <w:r w:rsidR="00AA2DEF" w:rsidRPr="00F06FFD">
              <w:rPr>
                <w:webHidden/>
              </w:rPr>
              <w:fldChar w:fldCharType="begin"/>
            </w:r>
            <w:r w:rsidRPr="00F06FFD">
              <w:rPr>
                <w:webHidden/>
              </w:rPr>
              <w:instrText xml:space="preserve"> PAGEREF _Toc478995236 \h </w:instrText>
            </w:r>
            <w:r w:rsidR="00AA2DEF" w:rsidRPr="00F06FFD">
              <w:rPr>
                <w:webHidden/>
              </w:rPr>
            </w:r>
            <w:r w:rsidR="00AA2DEF" w:rsidRPr="00F06FFD">
              <w:rPr>
                <w:webHidden/>
              </w:rPr>
              <w:fldChar w:fldCharType="separate"/>
            </w:r>
            <w:r w:rsidR="006654EF">
              <w:rPr>
                <w:webHidden/>
              </w:rPr>
              <w:t>3</w:t>
            </w:r>
            <w:r w:rsidR="00AA2DEF" w:rsidRPr="00F06FFD">
              <w:rPr>
                <w:webHidden/>
              </w:rPr>
              <w:fldChar w:fldCharType="end"/>
            </w:r>
          </w:hyperlink>
        </w:p>
        <w:p w14:paraId="241023E7" w14:textId="77777777" w:rsidR="00C576C7" w:rsidRPr="00F06FFD" w:rsidRDefault="00C576C7" w:rsidP="000F6435">
          <w:pPr>
            <w:pStyle w:val="TOC3"/>
            <w:tabs>
              <w:tab w:val="clear" w:pos="1440"/>
              <w:tab w:val="left" w:pos="1350"/>
              <w:tab w:val="left" w:pos="1710"/>
            </w:tabs>
            <w:spacing w:after="120"/>
            <w:ind w:left="1980" w:hanging="558"/>
            <w:rPr>
              <w:rFonts w:eastAsiaTheme="minorEastAsia"/>
              <w:lang w:val="en-IE" w:eastAsia="en-IE"/>
            </w:rPr>
          </w:pPr>
          <w:hyperlink w:anchor="_Toc478995237" w:history="1">
            <w:r w:rsidRPr="00F06FFD">
              <w:rPr>
                <w:rStyle w:val="Hyperlink"/>
              </w:rPr>
              <w:t>2.4.2</w:t>
            </w:r>
            <w:r w:rsidR="000F6435">
              <w:rPr>
                <w:rStyle w:val="Hyperlink"/>
              </w:rPr>
              <w:t xml:space="preserve"> </w:t>
            </w:r>
            <w:r w:rsidRPr="00F06FFD">
              <w:rPr>
                <w:rStyle w:val="Hyperlink"/>
              </w:rPr>
              <w:t xml:space="preserve">High Materiality and Settlement Queries after the final </w:t>
            </w:r>
            <w:r w:rsidR="000F6435">
              <w:rPr>
                <w:rStyle w:val="Hyperlink"/>
              </w:rPr>
              <w:t xml:space="preserve">Timetabled </w:t>
            </w:r>
            <w:r w:rsidRPr="00F06FFD">
              <w:rPr>
                <w:rStyle w:val="Hyperlink"/>
              </w:rPr>
              <w:t>Settlement Rerun</w:t>
            </w:r>
            <w:r w:rsidRPr="00F06FFD">
              <w:rPr>
                <w:webHidden/>
              </w:rPr>
              <w:tab/>
            </w:r>
            <w:r w:rsidR="00AA2DEF" w:rsidRPr="00F06FFD">
              <w:rPr>
                <w:webHidden/>
              </w:rPr>
              <w:fldChar w:fldCharType="begin"/>
            </w:r>
            <w:r w:rsidRPr="00F06FFD">
              <w:rPr>
                <w:webHidden/>
              </w:rPr>
              <w:instrText xml:space="preserve"> PAGEREF _Toc478995237 \h </w:instrText>
            </w:r>
            <w:r w:rsidR="00AA2DEF" w:rsidRPr="00F06FFD">
              <w:rPr>
                <w:webHidden/>
              </w:rPr>
            </w:r>
            <w:r w:rsidR="00AA2DEF" w:rsidRPr="00F06FFD">
              <w:rPr>
                <w:webHidden/>
              </w:rPr>
              <w:fldChar w:fldCharType="separate"/>
            </w:r>
            <w:r w:rsidR="006654EF">
              <w:rPr>
                <w:webHidden/>
              </w:rPr>
              <w:t>3</w:t>
            </w:r>
            <w:r w:rsidR="00AA2DEF" w:rsidRPr="00F06FFD">
              <w:rPr>
                <w:webHidden/>
              </w:rPr>
              <w:fldChar w:fldCharType="end"/>
            </w:r>
          </w:hyperlink>
        </w:p>
        <w:p w14:paraId="241023E8" w14:textId="77777777" w:rsidR="00C576C7" w:rsidRPr="00F06FFD" w:rsidRDefault="00C576C7" w:rsidP="000F6435">
          <w:pPr>
            <w:pStyle w:val="TOC3"/>
            <w:tabs>
              <w:tab w:val="clear" w:pos="1440"/>
              <w:tab w:val="left" w:pos="1350"/>
              <w:tab w:val="left" w:pos="1710"/>
            </w:tabs>
            <w:spacing w:after="120"/>
            <w:ind w:left="1980" w:hanging="558"/>
            <w:rPr>
              <w:rFonts w:eastAsiaTheme="minorEastAsia"/>
              <w:lang w:val="en-IE" w:eastAsia="en-IE"/>
            </w:rPr>
          </w:pPr>
          <w:hyperlink w:anchor="_Toc478995238" w:history="1">
            <w:r w:rsidRPr="00F06FFD">
              <w:rPr>
                <w:rStyle w:val="Hyperlink"/>
              </w:rPr>
              <w:t>2.4.3</w:t>
            </w:r>
            <w:r w:rsidRPr="00F06FFD">
              <w:rPr>
                <w:rFonts w:eastAsiaTheme="minorEastAsia"/>
                <w:lang w:val="en-IE" w:eastAsia="en-IE"/>
              </w:rPr>
              <w:tab/>
            </w:r>
            <w:r w:rsidRPr="00F06FFD">
              <w:rPr>
                <w:rStyle w:val="Hyperlink"/>
              </w:rPr>
              <w:t>Dissatisfaction with determination of Settlement Query</w:t>
            </w:r>
            <w:r w:rsidRPr="00F06FFD">
              <w:rPr>
                <w:webHidden/>
              </w:rPr>
              <w:tab/>
            </w:r>
            <w:r w:rsidR="00AA2DEF" w:rsidRPr="00F06FFD">
              <w:rPr>
                <w:webHidden/>
              </w:rPr>
              <w:fldChar w:fldCharType="begin"/>
            </w:r>
            <w:r w:rsidRPr="00F06FFD">
              <w:rPr>
                <w:webHidden/>
              </w:rPr>
              <w:instrText xml:space="preserve"> PAGEREF _Toc478995238 \h </w:instrText>
            </w:r>
            <w:r w:rsidR="00AA2DEF" w:rsidRPr="00F06FFD">
              <w:rPr>
                <w:webHidden/>
              </w:rPr>
            </w:r>
            <w:r w:rsidR="00AA2DEF" w:rsidRPr="00F06FFD">
              <w:rPr>
                <w:webHidden/>
              </w:rPr>
              <w:fldChar w:fldCharType="separate"/>
            </w:r>
            <w:r w:rsidR="006654EF">
              <w:rPr>
                <w:webHidden/>
              </w:rPr>
              <w:t>4</w:t>
            </w:r>
            <w:r w:rsidR="00AA2DEF" w:rsidRPr="00F06FFD">
              <w:rPr>
                <w:webHidden/>
              </w:rPr>
              <w:fldChar w:fldCharType="end"/>
            </w:r>
          </w:hyperlink>
        </w:p>
        <w:p w14:paraId="241023E9" w14:textId="77777777" w:rsidR="00C576C7" w:rsidRPr="00F06FFD" w:rsidRDefault="00C576C7" w:rsidP="000F6435">
          <w:pPr>
            <w:pStyle w:val="TOC3"/>
            <w:spacing w:after="120"/>
            <w:rPr>
              <w:rFonts w:eastAsiaTheme="minorEastAsia"/>
              <w:lang w:val="en-IE" w:eastAsia="en-IE"/>
            </w:rPr>
          </w:pPr>
          <w:hyperlink w:anchor="_Toc478995239" w:history="1">
            <w:r w:rsidRPr="00F06FFD">
              <w:rPr>
                <w:rStyle w:val="Hyperlink"/>
              </w:rPr>
              <w:t>2.5</w:t>
            </w:r>
            <w:r w:rsidRPr="00F06FFD">
              <w:rPr>
                <w:rFonts w:eastAsiaTheme="minorEastAsia"/>
                <w:lang w:val="en-IE" w:eastAsia="en-IE"/>
              </w:rPr>
              <w:tab/>
            </w:r>
            <w:r w:rsidRPr="00F06FFD">
              <w:rPr>
                <w:rStyle w:val="Hyperlink"/>
              </w:rPr>
              <w:t>Other Queries</w:t>
            </w:r>
            <w:r w:rsidRPr="00F06FFD">
              <w:rPr>
                <w:webHidden/>
              </w:rPr>
              <w:tab/>
            </w:r>
            <w:r w:rsidR="00AA2DEF" w:rsidRPr="00F06FFD">
              <w:rPr>
                <w:webHidden/>
              </w:rPr>
              <w:fldChar w:fldCharType="begin"/>
            </w:r>
            <w:r w:rsidRPr="00F06FFD">
              <w:rPr>
                <w:webHidden/>
              </w:rPr>
              <w:instrText xml:space="preserve"> PAGEREF _Toc478995239 \h </w:instrText>
            </w:r>
            <w:r w:rsidR="00AA2DEF" w:rsidRPr="00F06FFD">
              <w:rPr>
                <w:webHidden/>
              </w:rPr>
            </w:r>
            <w:r w:rsidR="00AA2DEF" w:rsidRPr="00F06FFD">
              <w:rPr>
                <w:webHidden/>
              </w:rPr>
              <w:fldChar w:fldCharType="separate"/>
            </w:r>
            <w:r w:rsidR="006654EF">
              <w:rPr>
                <w:webHidden/>
              </w:rPr>
              <w:t>4</w:t>
            </w:r>
            <w:r w:rsidR="00AA2DEF" w:rsidRPr="00F06FFD">
              <w:rPr>
                <w:webHidden/>
              </w:rPr>
              <w:fldChar w:fldCharType="end"/>
            </w:r>
          </w:hyperlink>
        </w:p>
        <w:p w14:paraId="241023EA" w14:textId="77777777" w:rsidR="00C576C7" w:rsidRPr="00F06FFD" w:rsidRDefault="00C576C7" w:rsidP="000F6435">
          <w:pPr>
            <w:pStyle w:val="TOC1"/>
            <w:spacing w:before="0" w:after="120"/>
            <w:rPr>
              <w:rFonts w:eastAsiaTheme="minorEastAsia"/>
              <w:b w:val="0"/>
              <w:bCs w:val="0"/>
              <w:sz w:val="22"/>
              <w:lang w:eastAsia="en-IE"/>
            </w:rPr>
          </w:pPr>
          <w:hyperlink w:anchor="_Toc478995240" w:history="1">
            <w:r w:rsidRPr="00F06FFD">
              <w:rPr>
                <w:rStyle w:val="Hyperlink"/>
                <w:kern w:val="28"/>
                <w:sz w:val="22"/>
              </w:rPr>
              <w:t>3.</w:t>
            </w:r>
            <w:r w:rsidRPr="00F06FFD">
              <w:rPr>
                <w:rFonts w:eastAsiaTheme="minorEastAsia"/>
                <w:b w:val="0"/>
                <w:bCs w:val="0"/>
                <w:sz w:val="22"/>
                <w:lang w:eastAsia="en-IE"/>
              </w:rPr>
              <w:tab/>
            </w:r>
            <w:r w:rsidRPr="00F06FFD">
              <w:rPr>
                <w:rStyle w:val="Hyperlink"/>
                <w:kern w:val="28"/>
                <w:sz w:val="22"/>
              </w:rPr>
              <w:t>Procedural Steps</w:t>
            </w:r>
            <w:r w:rsidRPr="00F06FFD">
              <w:rPr>
                <w:webHidden/>
                <w:sz w:val="22"/>
              </w:rPr>
              <w:tab/>
            </w:r>
            <w:r w:rsidR="00AA2DEF" w:rsidRPr="00F06FFD">
              <w:rPr>
                <w:webHidden/>
                <w:sz w:val="22"/>
              </w:rPr>
              <w:fldChar w:fldCharType="begin"/>
            </w:r>
            <w:r w:rsidRPr="00F06FFD">
              <w:rPr>
                <w:webHidden/>
                <w:sz w:val="22"/>
              </w:rPr>
              <w:instrText xml:space="preserve"> PAGEREF _Toc478995240 \h </w:instrText>
            </w:r>
            <w:r w:rsidR="00AA2DEF" w:rsidRPr="00F06FFD">
              <w:rPr>
                <w:webHidden/>
                <w:sz w:val="22"/>
              </w:rPr>
            </w:r>
            <w:r w:rsidR="00AA2DEF" w:rsidRPr="00F06FFD">
              <w:rPr>
                <w:webHidden/>
                <w:sz w:val="22"/>
              </w:rPr>
              <w:fldChar w:fldCharType="separate"/>
            </w:r>
            <w:r w:rsidR="006654EF">
              <w:rPr>
                <w:webHidden/>
                <w:sz w:val="22"/>
              </w:rPr>
              <w:t>5</w:t>
            </w:r>
            <w:r w:rsidR="00AA2DEF" w:rsidRPr="00F06FFD">
              <w:rPr>
                <w:webHidden/>
                <w:sz w:val="22"/>
              </w:rPr>
              <w:fldChar w:fldCharType="end"/>
            </w:r>
          </w:hyperlink>
        </w:p>
        <w:p w14:paraId="241023EB" w14:textId="77777777" w:rsidR="00C576C7" w:rsidRPr="00F06FFD" w:rsidRDefault="00C576C7" w:rsidP="000F6435">
          <w:pPr>
            <w:pStyle w:val="TOC3"/>
            <w:spacing w:after="120"/>
            <w:rPr>
              <w:rFonts w:eastAsiaTheme="minorEastAsia"/>
              <w:lang w:val="en-IE" w:eastAsia="en-IE"/>
            </w:rPr>
          </w:pPr>
          <w:hyperlink w:anchor="_Toc478995241" w:history="1">
            <w:r w:rsidRPr="00F06FFD">
              <w:rPr>
                <w:rStyle w:val="Hyperlink"/>
              </w:rPr>
              <w:t>Settlement Queries</w:t>
            </w:r>
            <w:r w:rsidRPr="00F06FFD">
              <w:rPr>
                <w:webHidden/>
              </w:rPr>
              <w:tab/>
            </w:r>
            <w:r w:rsidR="00AA2DEF" w:rsidRPr="00F06FFD">
              <w:rPr>
                <w:webHidden/>
              </w:rPr>
              <w:fldChar w:fldCharType="begin"/>
            </w:r>
            <w:r w:rsidRPr="00F06FFD">
              <w:rPr>
                <w:webHidden/>
              </w:rPr>
              <w:instrText xml:space="preserve"> PAGEREF _Toc478995241 \h </w:instrText>
            </w:r>
            <w:r w:rsidR="00AA2DEF" w:rsidRPr="00F06FFD">
              <w:rPr>
                <w:webHidden/>
              </w:rPr>
            </w:r>
            <w:r w:rsidR="00AA2DEF" w:rsidRPr="00F06FFD">
              <w:rPr>
                <w:webHidden/>
              </w:rPr>
              <w:fldChar w:fldCharType="separate"/>
            </w:r>
            <w:r w:rsidR="006654EF">
              <w:rPr>
                <w:webHidden/>
              </w:rPr>
              <w:t>5</w:t>
            </w:r>
            <w:r w:rsidR="00AA2DEF" w:rsidRPr="00F06FFD">
              <w:rPr>
                <w:webHidden/>
              </w:rPr>
              <w:fldChar w:fldCharType="end"/>
            </w:r>
          </w:hyperlink>
        </w:p>
        <w:p w14:paraId="241023EC" w14:textId="77777777" w:rsidR="00D116C3" w:rsidRDefault="00AA2DEF" w:rsidP="000F6435">
          <w:pPr>
            <w:pStyle w:val="CERnon-indent"/>
            <w:spacing w:before="0"/>
            <w:outlineLvl w:val="2"/>
            <w:rPr>
              <w:noProof/>
              <w:szCs w:val="24"/>
            </w:rPr>
          </w:pPr>
          <w:r w:rsidRPr="00F06FFD">
            <w:rPr>
              <w:rFonts w:eastAsiaTheme="majorEastAsia" w:cs="Arial"/>
              <w:b/>
              <w:bCs/>
              <w:color w:val="365F91" w:themeColor="accent1" w:themeShade="BF"/>
              <w:szCs w:val="22"/>
            </w:rPr>
            <w:fldChar w:fldCharType="end"/>
          </w:r>
        </w:p>
      </w:sdtContent>
    </w:sdt>
    <w:p w14:paraId="241023ED" w14:textId="77777777" w:rsidR="00D116C3" w:rsidRDefault="00D116C3" w:rsidP="00DD5202">
      <w:pPr>
        <w:pStyle w:val="Body1"/>
        <w:rPr>
          <w:rFonts w:ascii="Arial" w:hAnsi="Arial" w:cs="Arial"/>
          <w:lang w:val="en-IE"/>
        </w:rPr>
      </w:pPr>
    </w:p>
    <w:p w14:paraId="241023EE" w14:textId="77777777" w:rsidR="005479BE" w:rsidRPr="00825DDF" w:rsidRDefault="005479BE" w:rsidP="00DD5202">
      <w:pPr>
        <w:pStyle w:val="Body1"/>
        <w:rPr>
          <w:rFonts w:ascii="Arial" w:hAnsi="Arial" w:cs="Arial"/>
          <w:lang w:val="en-IE"/>
        </w:rPr>
      </w:pPr>
      <w:r w:rsidRPr="00825DDF">
        <w:rPr>
          <w:rFonts w:ascii="Arial" w:hAnsi="Arial" w:cs="Arial"/>
          <w:lang w:val="en-IE"/>
        </w:rPr>
        <w:br w:type="page"/>
      </w:r>
    </w:p>
    <w:p w14:paraId="241023EF" w14:textId="77777777" w:rsidR="00792833" w:rsidRPr="001267B9" w:rsidRDefault="00792833" w:rsidP="00DD24BF">
      <w:pPr>
        <w:pStyle w:val="H1"/>
        <w:spacing w:after="240"/>
        <w:rPr>
          <w:rFonts w:ascii="Arial" w:hAnsi="Arial" w:cs="Arial"/>
          <w:sz w:val="24"/>
          <w:szCs w:val="24"/>
          <w:lang w:val="en-IE"/>
        </w:rPr>
      </w:pPr>
      <w:r w:rsidRPr="001267B9">
        <w:rPr>
          <w:rFonts w:ascii="Arial" w:hAnsi="Arial" w:cs="Arial"/>
          <w:sz w:val="24"/>
          <w:szCs w:val="24"/>
          <w:lang w:val="en-IE"/>
        </w:rPr>
        <w:lastRenderedPageBreak/>
        <w:t>Document History</w:t>
      </w:r>
    </w:p>
    <w:tbl>
      <w:tblPr>
        <w:tblStyle w:val="TableList3"/>
        <w:tblW w:w="9288" w:type="dxa"/>
        <w:tblLayout w:type="fixed"/>
        <w:tblLook w:val="0000" w:firstRow="0" w:lastRow="0" w:firstColumn="0" w:lastColumn="0" w:noHBand="0" w:noVBand="0"/>
      </w:tblPr>
      <w:tblGrid>
        <w:gridCol w:w="1176"/>
        <w:gridCol w:w="1452"/>
        <w:gridCol w:w="2700"/>
        <w:gridCol w:w="3960"/>
      </w:tblGrid>
      <w:tr w:rsidR="00792833" w:rsidRPr="001267B9" w14:paraId="241023F4" w14:textId="77777777" w:rsidTr="71C73A6E">
        <w:trPr>
          <w:trHeight w:val="77"/>
        </w:trPr>
        <w:tc>
          <w:tcPr>
            <w:tcW w:w="1176" w:type="dxa"/>
            <w:tcBorders>
              <w:top w:val="single" w:sz="18" w:space="0" w:color="auto"/>
              <w:bottom w:val="single" w:sz="18" w:space="0" w:color="auto"/>
            </w:tcBorders>
            <w:shd w:val="clear" w:color="auto" w:fill="F2F2F2" w:themeFill="background1" w:themeFillShade="F2"/>
          </w:tcPr>
          <w:p w14:paraId="241023F0" w14:textId="77777777" w:rsidR="00792833" w:rsidRPr="001267B9" w:rsidRDefault="00792833" w:rsidP="00DD24BF">
            <w:pPr>
              <w:pStyle w:val="TableColumnHeadings"/>
              <w:spacing w:before="120" w:after="120"/>
              <w:rPr>
                <w:rFonts w:ascii="Arial" w:hAnsi="Arial" w:cs="Arial"/>
                <w:smallCaps w:val="0"/>
                <w:lang w:val="en-IE"/>
              </w:rPr>
            </w:pPr>
            <w:r w:rsidRPr="001267B9">
              <w:rPr>
                <w:rFonts w:ascii="Arial" w:hAnsi="Arial" w:cs="Arial"/>
                <w:smallCaps w:val="0"/>
                <w:lang w:val="en-IE"/>
              </w:rPr>
              <w:t>Version</w:t>
            </w:r>
          </w:p>
        </w:tc>
        <w:tc>
          <w:tcPr>
            <w:tcW w:w="1452" w:type="dxa"/>
            <w:tcBorders>
              <w:top w:val="single" w:sz="18" w:space="0" w:color="auto"/>
              <w:bottom w:val="single" w:sz="18" w:space="0" w:color="auto"/>
            </w:tcBorders>
            <w:shd w:val="clear" w:color="auto" w:fill="F2F2F2" w:themeFill="background1" w:themeFillShade="F2"/>
          </w:tcPr>
          <w:p w14:paraId="241023F1" w14:textId="77777777" w:rsidR="00792833" w:rsidRPr="001267B9" w:rsidRDefault="00792833" w:rsidP="00DD24BF">
            <w:pPr>
              <w:pStyle w:val="TableColumnHeadings"/>
              <w:spacing w:before="120" w:after="120"/>
              <w:rPr>
                <w:rFonts w:ascii="Arial" w:hAnsi="Arial" w:cs="Arial"/>
                <w:smallCaps w:val="0"/>
                <w:lang w:val="en-IE"/>
              </w:rPr>
            </w:pPr>
            <w:r w:rsidRPr="001267B9">
              <w:rPr>
                <w:rFonts w:ascii="Arial" w:hAnsi="Arial" w:cs="Arial"/>
                <w:smallCaps w:val="0"/>
                <w:lang w:val="en-IE"/>
              </w:rPr>
              <w:t>Date</w:t>
            </w:r>
          </w:p>
        </w:tc>
        <w:tc>
          <w:tcPr>
            <w:tcW w:w="2700" w:type="dxa"/>
            <w:tcBorders>
              <w:top w:val="single" w:sz="18" w:space="0" w:color="auto"/>
              <w:bottom w:val="single" w:sz="18" w:space="0" w:color="auto"/>
            </w:tcBorders>
            <w:shd w:val="clear" w:color="auto" w:fill="F2F2F2" w:themeFill="background1" w:themeFillShade="F2"/>
          </w:tcPr>
          <w:p w14:paraId="241023F2" w14:textId="77777777" w:rsidR="00792833" w:rsidRPr="001267B9" w:rsidRDefault="00792833" w:rsidP="00DD24BF">
            <w:pPr>
              <w:pStyle w:val="TableColumnHeadings"/>
              <w:spacing w:before="120" w:after="120"/>
              <w:rPr>
                <w:rFonts w:ascii="Arial" w:hAnsi="Arial" w:cs="Arial"/>
                <w:smallCaps w:val="0"/>
                <w:lang w:val="en-IE"/>
              </w:rPr>
            </w:pPr>
            <w:r w:rsidRPr="001267B9">
              <w:rPr>
                <w:rFonts w:ascii="Arial" w:hAnsi="Arial" w:cs="Arial"/>
                <w:smallCaps w:val="0"/>
                <w:lang w:val="en-IE"/>
              </w:rPr>
              <w:t>Author</w:t>
            </w:r>
          </w:p>
        </w:tc>
        <w:tc>
          <w:tcPr>
            <w:tcW w:w="3960" w:type="dxa"/>
            <w:tcBorders>
              <w:top w:val="single" w:sz="18" w:space="0" w:color="auto"/>
              <w:bottom w:val="single" w:sz="18" w:space="0" w:color="auto"/>
            </w:tcBorders>
            <w:shd w:val="clear" w:color="auto" w:fill="F2F2F2" w:themeFill="background1" w:themeFillShade="F2"/>
          </w:tcPr>
          <w:p w14:paraId="241023F3" w14:textId="77777777" w:rsidR="00792833" w:rsidRPr="001267B9" w:rsidRDefault="00792833" w:rsidP="00DD24BF">
            <w:pPr>
              <w:pStyle w:val="TableColumnHeadings"/>
              <w:spacing w:before="120" w:after="120"/>
              <w:rPr>
                <w:rFonts w:ascii="Arial" w:hAnsi="Arial" w:cs="Arial"/>
                <w:smallCaps w:val="0"/>
                <w:lang w:val="en-IE"/>
              </w:rPr>
            </w:pPr>
            <w:r w:rsidRPr="001267B9">
              <w:rPr>
                <w:rFonts w:ascii="Arial" w:hAnsi="Arial" w:cs="Arial"/>
                <w:smallCaps w:val="0"/>
                <w:lang w:val="en-IE"/>
              </w:rPr>
              <w:t>Comment</w:t>
            </w:r>
          </w:p>
        </w:tc>
      </w:tr>
      <w:tr w:rsidR="006A6E3A" w:rsidRPr="001267B9" w14:paraId="241023F9" w14:textId="77777777" w:rsidTr="71C73A6E">
        <w:trPr>
          <w:trHeight w:val="300"/>
        </w:trPr>
        <w:tc>
          <w:tcPr>
            <w:tcW w:w="1176" w:type="dxa"/>
            <w:tcBorders>
              <w:top w:val="single" w:sz="18" w:space="0" w:color="auto"/>
            </w:tcBorders>
          </w:tcPr>
          <w:p w14:paraId="241023F5" w14:textId="77777777" w:rsidR="006A6E3A" w:rsidRDefault="00CE73BB" w:rsidP="00DD24BF">
            <w:pPr>
              <w:pStyle w:val="Body1"/>
              <w:spacing w:before="120" w:after="120"/>
              <w:rPr>
                <w:rFonts w:ascii="Arial" w:hAnsi="Arial" w:cs="Arial"/>
                <w:lang w:val="en-IE"/>
              </w:rPr>
            </w:pPr>
            <w:r>
              <w:rPr>
                <w:rFonts w:ascii="Arial" w:hAnsi="Arial" w:cs="Arial"/>
                <w:lang w:val="en-IE"/>
              </w:rPr>
              <w:t>20.0</w:t>
            </w:r>
          </w:p>
        </w:tc>
        <w:tc>
          <w:tcPr>
            <w:tcW w:w="1452" w:type="dxa"/>
            <w:tcBorders>
              <w:top w:val="single" w:sz="18" w:space="0" w:color="auto"/>
            </w:tcBorders>
          </w:tcPr>
          <w:p w14:paraId="241023F6" w14:textId="77777777" w:rsidR="006A6E3A" w:rsidRDefault="006A6E3A" w:rsidP="00DD24BF">
            <w:pPr>
              <w:pStyle w:val="Body1"/>
              <w:spacing w:before="120" w:after="120"/>
              <w:rPr>
                <w:rFonts w:ascii="Arial" w:hAnsi="Arial" w:cs="Arial"/>
                <w:lang w:val="en-IE"/>
              </w:rPr>
            </w:pPr>
            <w:r>
              <w:rPr>
                <w:rFonts w:ascii="Arial" w:hAnsi="Arial" w:cs="Arial"/>
                <w:lang w:val="en-IE"/>
              </w:rPr>
              <w:t>07/04/2017</w:t>
            </w:r>
          </w:p>
        </w:tc>
        <w:tc>
          <w:tcPr>
            <w:tcW w:w="2700" w:type="dxa"/>
            <w:tcBorders>
              <w:top w:val="single" w:sz="18" w:space="0" w:color="auto"/>
            </w:tcBorders>
          </w:tcPr>
          <w:p w14:paraId="241023F7" w14:textId="77777777" w:rsidR="006A6E3A" w:rsidRDefault="006A6E3A" w:rsidP="00DD24BF">
            <w:pPr>
              <w:pStyle w:val="Body1"/>
              <w:spacing w:before="120" w:after="120"/>
              <w:rPr>
                <w:rFonts w:ascii="Arial" w:hAnsi="Arial" w:cs="Arial"/>
                <w:lang w:val="en-IE"/>
              </w:rPr>
            </w:pPr>
            <w:r>
              <w:rPr>
                <w:rFonts w:ascii="Arial" w:hAnsi="Arial" w:cs="Arial"/>
                <w:lang w:val="en-IE"/>
              </w:rPr>
              <w:t>I-SEM Project Team</w:t>
            </w:r>
          </w:p>
        </w:tc>
        <w:tc>
          <w:tcPr>
            <w:tcW w:w="3960" w:type="dxa"/>
            <w:tcBorders>
              <w:top w:val="single" w:sz="18" w:space="0" w:color="auto"/>
            </w:tcBorders>
          </w:tcPr>
          <w:p w14:paraId="241023F8" w14:textId="77777777" w:rsidR="006A6E3A" w:rsidRPr="001267B9" w:rsidDel="00C917EB" w:rsidRDefault="00413883" w:rsidP="00DD24BF">
            <w:pPr>
              <w:pStyle w:val="Body1"/>
              <w:spacing w:before="120" w:after="120"/>
              <w:rPr>
                <w:rFonts w:ascii="Arial" w:hAnsi="Arial" w:cs="Arial"/>
                <w:lang w:val="en-IE"/>
              </w:rPr>
            </w:pPr>
            <w:r>
              <w:rPr>
                <w:rFonts w:cs="Arial"/>
              </w:rPr>
              <w:t>Baseline Documentation at V20.0</w:t>
            </w:r>
          </w:p>
        </w:tc>
      </w:tr>
      <w:tr w:rsidR="007653FC" w:rsidRPr="001267B9" w14:paraId="241023FE" w14:textId="77777777" w:rsidTr="71C73A6E">
        <w:trPr>
          <w:trHeight w:val="300"/>
        </w:trPr>
        <w:tc>
          <w:tcPr>
            <w:tcW w:w="1176" w:type="dxa"/>
            <w:tcBorders>
              <w:top w:val="single" w:sz="18" w:space="0" w:color="auto"/>
              <w:bottom w:val="single" w:sz="18" w:space="0" w:color="auto"/>
            </w:tcBorders>
          </w:tcPr>
          <w:p w14:paraId="241023FA" w14:textId="77777777" w:rsidR="007653FC" w:rsidRPr="001267B9" w:rsidDel="00C917EB" w:rsidRDefault="00CE73BB" w:rsidP="00DD24BF">
            <w:pPr>
              <w:pStyle w:val="Body1"/>
              <w:spacing w:before="120" w:after="120"/>
              <w:rPr>
                <w:rFonts w:ascii="Arial" w:hAnsi="Arial" w:cs="Arial"/>
                <w:lang w:val="en-IE"/>
              </w:rPr>
            </w:pPr>
            <w:r>
              <w:rPr>
                <w:rFonts w:ascii="Arial" w:hAnsi="Arial" w:cs="Arial"/>
                <w:lang w:val="en-IE"/>
              </w:rPr>
              <w:t>21.0</w:t>
            </w:r>
          </w:p>
        </w:tc>
        <w:tc>
          <w:tcPr>
            <w:tcW w:w="1452" w:type="dxa"/>
            <w:tcBorders>
              <w:top w:val="single" w:sz="18" w:space="0" w:color="auto"/>
              <w:bottom w:val="single" w:sz="18" w:space="0" w:color="auto"/>
            </w:tcBorders>
          </w:tcPr>
          <w:p w14:paraId="241023FB" w14:textId="77777777" w:rsidR="007653FC" w:rsidRPr="001267B9" w:rsidDel="00C917EB" w:rsidRDefault="00BD0C93" w:rsidP="00DD24BF">
            <w:pPr>
              <w:pStyle w:val="Body1"/>
              <w:spacing w:before="120" w:after="120"/>
              <w:rPr>
                <w:rFonts w:ascii="Arial" w:hAnsi="Arial" w:cs="Arial"/>
                <w:lang w:val="en-IE"/>
              </w:rPr>
            </w:pPr>
            <w:r>
              <w:t>12/04/2019</w:t>
            </w:r>
          </w:p>
        </w:tc>
        <w:tc>
          <w:tcPr>
            <w:tcW w:w="2700" w:type="dxa"/>
            <w:tcBorders>
              <w:top w:val="single" w:sz="18" w:space="0" w:color="auto"/>
              <w:bottom w:val="single" w:sz="18" w:space="0" w:color="auto"/>
            </w:tcBorders>
          </w:tcPr>
          <w:p w14:paraId="241023FC" w14:textId="77777777" w:rsidR="007653FC" w:rsidRPr="001267B9" w:rsidDel="00C917EB" w:rsidRDefault="00413883"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241023FD" w14:textId="77777777" w:rsidR="007653FC" w:rsidRPr="001267B9" w:rsidDel="00C917EB" w:rsidRDefault="00413883" w:rsidP="00DD24BF">
            <w:pPr>
              <w:pStyle w:val="Body1"/>
              <w:spacing w:before="120" w:after="120"/>
              <w:rPr>
                <w:rFonts w:ascii="Arial" w:hAnsi="Arial" w:cs="Arial"/>
                <w:lang w:val="en-IE"/>
              </w:rPr>
            </w:pPr>
            <w:r>
              <w:rPr>
                <w:rFonts w:cs="Arial"/>
              </w:rPr>
              <w:t>Baseline Documentation at V21.0</w:t>
            </w:r>
          </w:p>
        </w:tc>
      </w:tr>
      <w:tr w:rsidR="00817718" w:rsidRPr="001267B9" w14:paraId="4F8D382B" w14:textId="77777777" w:rsidTr="71C73A6E">
        <w:trPr>
          <w:trHeight w:val="300"/>
        </w:trPr>
        <w:tc>
          <w:tcPr>
            <w:tcW w:w="1176" w:type="dxa"/>
            <w:tcBorders>
              <w:top w:val="single" w:sz="18" w:space="0" w:color="auto"/>
              <w:bottom w:val="single" w:sz="18" w:space="0" w:color="auto"/>
            </w:tcBorders>
          </w:tcPr>
          <w:p w14:paraId="42B23D88" w14:textId="63EDDD7A" w:rsidR="00817718" w:rsidRDefault="00817718" w:rsidP="00DD24BF">
            <w:pPr>
              <w:pStyle w:val="Body1"/>
              <w:spacing w:before="120" w:after="120"/>
              <w:rPr>
                <w:rFonts w:ascii="Arial" w:hAnsi="Arial" w:cs="Arial"/>
                <w:lang w:val="en-IE"/>
              </w:rPr>
            </w:pPr>
            <w:r>
              <w:rPr>
                <w:rFonts w:ascii="Arial" w:hAnsi="Arial" w:cs="Arial"/>
                <w:lang w:val="en-IE"/>
              </w:rPr>
              <w:t>22.0</w:t>
            </w:r>
          </w:p>
        </w:tc>
        <w:tc>
          <w:tcPr>
            <w:tcW w:w="1452" w:type="dxa"/>
            <w:tcBorders>
              <w:top w:val="single" w:sz="18" w:space="0" w:color="auto"/>
              <w:bottom w:val="single" w:sz="18" w:space="0" w:color="auto"/>
            </w:tcBorders>
          </w:tcPr>
          <w:p w14:paraId="4AEF5243" w14:textId="78925C15" w:rsidR="00817718" w:rsidRDefault="00312841" w:rsidP="00312841">
            <w:pPr>
              <w:pStyle w:val="Body1"/>
              <w:spacing w:before="120" w:after="120"/>
            </w:pPr>
            <w:r>
              <w:t>29/04/2020</w:t>
            </w:r>
          </w:p>
        </w:tc>
        <w:tc>
          <w:tcPr>
            <w:tcW w:w="2700" w:type="dxa"/>
            <w:tcBorders>
              <w:top w:val="single" w:sz="18" w:space="0" w:color="auto"/>
              <w:bottom w:val="single" w:sz="18" w:space="0" w:color="auto"/>
            </w:tcBorders>
          </w:tcPr>
          <w:p w14:paraId="5A33B598" w14:textId="0B8A5C5A" w:rsidR="00817718" w:rsidRDefault="00817718"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0CCA7F95" w14:textId="5B1C158C" w:rsidR="00817718" w:rsidRDefault="00817718" w:rsidP="00817718">
            <w:pPr>
              <w:pStyle w:val="Body1"/>
              <w:spacing w:before="120" w:after="120"/>
              <w:rPr>
                <w:rFonts w:cs="Arial"/>
              </w:rPr>
            </w:pPr>
            <w:r>
              <w:rPr>
                <w:rFonts w:cs="Arial"/>
              </w:rPr>
              <w:t>Baseline Documentation at V22.0</w:t>
            </w:r>
          </w:p>
        </w:tc>
      </w:tr>
      <w:tr w:rsidR="00131F55" w:rsidRPr="001267B9" w14:paraId="543FB782" w14:textId="77777777" w:rsidTr="71C73A6E">
        <w:trPr>
          <w:trHeight w:val="300"/>
        </w:trPr>
        <w:tc>
          <w:tcPr>
            <w:tcW w:w="1176" w:type="dxa"/>
            <w:tcBorders>
              <w:top w:val="single" w:sz="18" w:space="0" w:color="auto"/>
              <w:bottom w:val="single" w:sz="18" w:space="0" w:color="auto"/>
            </w:tcBorders>
          </w:tcPr>
          <w:p w14:paraId="335563CE" w14:textId="149F236B" w:rsidR="00131F55" w:rsidRDefault="00131F55" w:rsidP="00DD24BF">
            <w:pPr>
              <w:pStyle w:val="Body1"/>
              <w:spacing w:before="120" w:after="120"/>
              <w:rPr>
                <w:rFonts w:ascii="Arial" w:hAnsi="Arial" w:cs="Arial"/>
                <w:lang w:val="en-IE"/>
              </w:rPr>
            </w:pPr>
            <w:r>
              <w:rPr>
                <w:rFonts w:ascii="Arial" w:hAnsi="Arial" w:cs="Arial"/>
                <w:lang w:val="en-IE"/>
              </w:rPr>
              <w:t>23.0</w:t>
            </w:r>
          </w:p>
        </w:tc>
        <w:tc>
          <w:tcPr>
            <w:tcW w:w="1452" w:type="dxa"/>
            <w:tcBorders>
              <w:top w:val="single" w:sz="18" w:space="0" w:color="auto"/>
              <w:bottom w:val="single" w:sz="18" w:space="0" w:color="auto"/>
            </w:tcBorders>
          </w:tcPr>
          <w:p w14:paraId="6DE2ABDA" w14:textId="381E69E8" w:rsidR="00131F55" w:rsidRDefault="00131F55" w:rsidP="00312841">
            <w:pPr>
              <w:pStyle w:val="Body1"/>
              <w:spacing w:before="120" w:after="120"/>
            </w:pPr>
            <w:r>
              <w:t>03/11/2020</w:t>
            </w:r>
          </w:p>
        </w:tc>
        <w:tc>
          <w:tcPr>
            <w:tcW w:w="2700" w:type="dxa"/>
            <w:tcBorders>
              <w:top w:val="single" w:sz="18" w:space="0" w:color="auto"/>
              <w:bottom w:val="single" w:sz="18" w:space="0" w:color="auto"/>
            </w:tcBorders>
          </w:tcPr>
          <w:p w14:paraId="2BE7B81E" w14:textId="01D1BF4E" w:rsidR="00131F55" w:rsidRDefault="00131F55"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738F1C5B" w14:textId="3312B5FC" w:rsidR="00131F55" w:rsidRDefault="00131F55" w:rsidP="00131F55">
            <w:pPr>
              <w:pStyle w:val="Body1"/>
              <w:spacing w:before="120" w:after="120"/>
              <w:rPr>
                <w:rFonts w:cs="Arial"/>
              </w:rPr>
            </w:pPr>
            <w:r>
              <w:rPr>
                <w:rFonts w:cs="Arial"/>
              </w:rPr>
              <w:t>Baseline Documentation at V23.0</w:t>
            </w:r>
          </w:p>
        </w:tc>
      </w:tr>
      <w:tr w:rsidR="00E87FB1" w:rsidRPr="001267B9" w14:paraId="71405C33" w14:textId="77777777" w:rsidTr="71C73A6E">
        <w:trPr>
          <w:trHeight w:val="300"/>
        </w:trPr>
        <w:tc>
          <w:tcPr>
            <w:tcW w:w="1176" w:type="dxa"/>
            <w:tcBorders>
              <w:top w:val="single" w:sz="18" w:space="0" w:color="auto"/>
              <w:bottom w:val="single" w:sz="18" w:space="0" w:color="auto"/>
            </w:tcBorders>
          </w:tcPr>
          <w:p w14:paraId="6502AECC" w14:textId="7C12D8BA" w:rsidR="00E87FB1" w:rsidRDefault="00E87FB1" w:rsidP="00DD24BF">
            <w:pPr>
              <w:pStyle w:val="Body1"/>
              <w:spacing w:before="120" w:after="120"/>
              <w:rPr>
                <w:rFonts w:ascii="Arial" w:hAnsi="Arial" w:cs="Arial"/>
                <w:lang w:val="en-IE"/>
              </w:rPr>
            </w:pPr>
            <w:r>
              <w:rPr>
                <w:rFonts w:ascii="Arial" w:hAnsi="Arial" w:cs="Arial"/>
                <w:lang w:val="en-IE"/>
              </w:rPr>
              <w:t>24.0</w:t>
            </w:r>
          </w:p>
        </w:tc>
        <w:tc>
          <w:tcPr>
            <w:tcW w:w="1452" w:type="dxa"/>
            <w:tcBorders>
              <w:top w:val="single" w:sz="18" w:space="0" w:color="auto"/>
              <w:bottom w:val="single" w:sz="18" w:space="0" w:color="auto"/>
            </w:tcBorders>
          </w:tcPr>
          <w:p w14:paraId="32F8B92D" w14:textId="7A114364" w:rsidR="00E87FB1" w:rsidRDefault="00E87FB1" w:rsidP="00312841">
            <w:pPr>
              <w:pStyle w:val="Body1"/>
              <w:spacing w:before="120" w:after="120"/>
            </w:pPr>
            <w:r>
              <w:t>01/07/2021</w:t>
            </w:r>
          </w:p>
        </w:tc>
        <w:tc>
          <w:tcPr>
            <w:tcW w:w="2700" w:type="dxa"/>
            <w:tcBorders>
              <w:top w:val="single" w:sz="18" w:space="0" w:color="auto"/>
              <w:bottom w:val="single" w:sz="18" w:space="0" w:color="auto"/>
            </w:tcBorders>
          </w:tcPr>
          <w:p w14:paraId="0AE4D0DD" w14:textId="03533BDB" w:rsidR="00E87FB1" w:rsidRDefault="00E87FB1"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072D55C7" w14:textId="2B2C0306" w:rsidR="00E87FB1" w:rsidRDefault="00E87FB1" w:rsidP="00131F55">
            <w:pPr>
              <w:pStyle w:val="Body1"/>
              <w:spacing w:before="120" w:after="120"/>
              <w:rPr>
                <w:rFonts w:cs="Arial"/>
              </w:rPr>
            </w:pPr>
            <w:r>
              <w:rPr>
                <w:rFonts w:cs="Arial"/>
              </w:rPr>
              <w:t>Baseline Documentation at V24.0</w:t>
            </w:r>
          </w:p>
        </w:tc>
      </w:tr>
      <w:tr w:rsidR="008C13C8" w:rsidRPr="001267B9" w14:paraId="1390E241" w14:textId="77777777" w:rsidTr="71C73A6E">
        <w:trPr>
          <w:trHeight w:val="300"/>
        </w:trPr>
        <w:tc>
          <w:tcPr>
            <w:tcW w:w="1176" w:type="dxa"/>
            <w:tcBorders>
              <w:top w:val="single" w:sz="18" w:space="0" w:color="auto"/>
              <w:bottom w:val="single" w:sz="18" w:space="0" w:color="auto"/>
            </w:tcBorders>
          </w:tcPr>
          <w:p w14:paraId="74CE4F25" w14:textId="5EBCF5DE" w:rsidR="008C13C8" w:rsidRDefault="008C13C8" w:rsidP="00DD24BF">
            <w:pPr>
              <w:pStyle w:val="Body1"/>
              <w:spacing w:before="120" w:after="120"/>
              <w:rPr>
                <w:rFonts w:ascii="Arial" w:hAnsi="Arial" w:cs="Arial"/>
                <w:lang w:val="en-IE"/>
              </w:rPr>
            </w:pPr>
            <w:r>
              <w:rPr>
                <w:rFonts w:ascii="Arial" w:hAnsi="Arial" w:cs="Arial"/>
                <w:lang w:val="en-IE"/>
              </w:rPr>
              <w:t>25.0</w:t>
            </w:r>
          </w:p>
        </w:tc>
        <w:tc>
          <w:tcPr>
            <w:tcW w:w="1452" w:type="dxa"/>
            <w:tcBorders>
              <w:top w:val="single" w:sz="18" w:space="0" w:color="auto"/>
              <w:bottom w:val="single" w:sz="18" w:space="0" w:color="auto"/>
            </w:tcBorders>
          </w:tcPr>
          <w:p w14:paraId="29BF3CFF" w14:textId="099078B8" w:rsidR="008C13C8" w:rsidRDefault="003E5550" w:rsidP="00312841">
            <w:pPr>
              <w:pStyle w:val="Body1"/>
              <w:spacing w:before="120" w:after="120"/>
            </w:pPr>
            <w:r>
              <w:t>09</w:t>
            </w:r>
            <w:r w:rsidR="008C13C8">
              <w:t>/11/2021</w:t>
            </w:r>
          </w:p>
        </w:tc>
        <w:tc>
          <w:tcPr>
            <w:tcW w:w="2700" w:type="dxa"/>
            <w:tcBorders>
              <w:top w:val="single" w:sz="18" w:space="0" w:color="auto"/>
              <w:bottom w:val="single" w:sz="18" w:space="0" w:color="auto"/>
            </w:tcBorders>
          </w:tcPr>
          <w:p w14:paraId="2893D489" w14:textId="019D4F92" w:rsidR="008C13C8" w:rsidRDefault="008C13C8"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A4D53B3" w14:textId="0B023696" w:rsidR="008C13C8" w:rsidRDefault="008C13C8" w:rsidP="00131F55">
            <w:pPr>
              <w:pStyle w:val="Body1"/>
              <w:spacing w:before="120" w:after="120"/>
              <w:rPr>
                <w:rFonts w:cs="Arial"/>
              </w:rPr>
            </w:pPr>
            <w:r>
              <w:rPr>
                <w:rFonts w:cs="Arial"/>
              </w:rPr>
              <w:t>Baseline Documentation at V25.0</w:t>
            </w:r>
          </w:p>
        </w:tc>
      </w:tr>
      <w:tr w:rsidR="0079674B" w:rsidRPr="001267B9" w14:paraId="6A032C9E" w14:textId="77777777" w:rsidTr="71C73A6E">
        <w:trPr>
          <w:trHeight w:val="300"/>
        </w:trPr>
        <w:tc>
          <w:tcPr>
            <w:tcW w:w="1176" w:type="dxa"/>
            <w:tcBorders>
              <w:top w:val="single" w:sz="18" w:space="0" w:color="auto"/>
              <w:bottom w:val="single" w:sz="18" w:space="0" w:color="auto"/>
            </w:tcBorders>
          </w:tcPr>
          <w:p w14:paraId="77575D49" w14:textId="4FE87F2F" w:rsidR="0079674B" w:rsidRDefault="0079674B" w:rsidP="00DD24BF">
            <w:pPr>
              <w:pStyle w:val="Body1"/>
              <w:spacing w:before="120" w:after="120"/>
              <w:rPr>
                <w:rFonts w:ascii="Arial" w:hAnsi="Arial" w:cs="Arial"/>
                <w:lang w:val="en-IE"/>
              </w:rPr>
            </w:pPr>
            <w:r>
              <w:rPr>
                <w:rFonts w:ascii="Arial" w:hAnsi="Arial" w:cs="Arial"/>
                <w:lang w:val="en-IE"/>
              </w:rPr>
              <w:t>26.0</w:t>
            </w:r>
          </w:p>
        </w:tc>
        <w:tc>
          <w:tcPr>
            <w:tcW w:w="1452" w:type="dxa"/>
            <w:tcBorders>
              <w:top w:val="single" w:sz="18" w:space="0" w:color="auto"/>
              <w:bottom w:val="single" w:sz="18" w:space="0" w:color="auto"/>
            </w:tcBorders>
          </w:tcPr>
          <w:p w14:paraId="6DA2C2C9" w14:textId="027D8E6E" w:rsidR="0079674B" w:rsidRDefault="00C7570E" w:rsidP="00312841">
            <w:pPr>
              <w:pStyle w:val="Body1"/>
              <w:spacing w:before="120" w:after="120"/>
            </w:pPr>
            <w:r>
              <w:t>17/05/2022</w:t>
            </w:r>
          </w:p>
        </w:tc>
        <w:tc>
          <w:tcPr>
            <w:tcW w:w="2700" w:type="dxa"/>
            <w:tcBorders>
              <w:top w:val="single" w:sz="18" w:space="0" w:color="auto"/>
              <w:bottom w:val="single" w:sz="18" w:space="0" w:color="auto"/>
            </w:tcBorders>
          </w:tcPr>
          <w:p w14:paraId="1817903C" w14:textId="77A3EC85" w:rsidR="0079674B" w:rsidRDefault="0079674B"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5B0500F9" w14:textId="013EF636" w:rsidR="0079674B" w:rsidRDefault="0079674B" w:rsidP="00131F55">
            <w:pPr>
              <w:pStyle w:val="Body1"/>
              <w:spacing w:before="120" w:after="120"/>
              <w:rPr>
                <w:rFonts w:cs="Arial"/>
              </w:rPr>
            </w:pPr>
            <w:r>
              <w:rPr>
                <w:rFonts w:cs="Arial"/>
              </w:rPr>
              <w:t>Baseline Documentation at V26.0</w:t>
            </w:r>
          </w:p>
        </w:tc>
      </w:tr>
      <w:tr w:rsidR="008129C1" w:rsidRPr="001267B9" w14:paraId="1A6E9EE3" w14:textId="77777777" w:rsidTr="71C73A6E">
        <w:trPr>
          <w:trHeight w:val="300"/>
        </w:trPr>
        <w:tc>
          <w:tcPr>
            <w:tcW w:w="1176" w:type="dxa"/>
            <w:tcBorders>
              <w:top w:val="single" w:sz="18" w:space="0" w:color="auto"/>
              <w:bottom w:val="single" w:sz="18" w:space="0" w:color="auto"/>
            </w:tcBorders>
          </w:tcPr>
          <w:p w14:paraId="1C797E8B" w14:textId="5D455D5C" w:rsidR="008129C1" w:rsidRDefault="008129C1" w:rsidP="00DD24BF">
            <w:pPr>
              <w:pStyle w:val="Body1"/>
              <w:spacing w:before="120" w:after="120"/>
              <w:rPr>
                <w:rFonts w:ascii="Arial" w:hAnsi="Arial" w:cs="Arial"/>
                <w:lang w:val="en-IE"/>
              </w:rPr>
            </w:pPr>
            <w:r>
              <w:rPr>
                <w:rFonts w:ascii="Arial" w:hAnsi="Arial" w:cs="Arial"/>
                <w:lang w:val="en-IE"/>
              </w:rPr>
              <w:t>27.0</w:t>
            </w:r>
          </w:p>
        </w:tc>
        <w:tc>
          <w:tcPr>
            <w:tcW w:w="1452" w:type="dxa"/>
            <w:tcBorders>
              <w:top w:val="single" w:sz="18" w:space="0" w:color="auto"/>
              <w:bottom w:val="single" w:sz="18" w:space="0" w:color="auto"/>
            </w:tcBorders>
          </w:tcPr>
          <w:p w14:paraId="7BF867AB" w14:textId="2C60CBB1" w:rsidR="008129C1" w:rsidRDefault="008129C1" w:rsidP="00312841">
            <w:pPr>
              <w:pStyle w:val="Body1"/>
              <w:spacing w:before="120" w:after="120"/>
            </w:pPr>
            <w:r>
              <w:t>0</w:t>
            </w:r>
            <w:r w:rsidR="009F70D9">
              <w:t>7</w:t>
            </w:r>
            <w:r>
              <w:t>/12/2022</w:t>
            </w:r>
          </w:p>
        </w:tc>
        <w:tc>
          <w:tcPr>
            <w:tcW w:w="2700" w:type="dxa"/>
            <w:tcBorders>
              <w:top w:val="single" w:sz="18" w:space="0" w:color="auto"/>
              <w:bottom w:val="single" w:sz="18" w:space="0" w:color="auto"/>
            </w:tcBorders>
          </w:tcPr>
          <w:p w14:paraId="03AE0EC6" w14:textId="2F838D40" w:rsidR="008129C1" w:rsidRDefault="008129C1"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7797AF3" w14:textId="3DE2D037" w:rsidR="008129C1" w:rsidRDefault="008129C1" w:rsidP="00131F55">
            <w:pPr>
              <w:pStyle w:val="Body1"/>
              <w:spacing w:before="120" w:after="120"/>
              <w:rPr>
                <w:rFonts w:cs="Arial"/>
              </w:rPr>
            </w:pPr>
            <w:r>
              <w:rPr>
                <w:rFonts w:cs="Arial"/>
              </w:rPr>
              <w:t>Baseline Documentation at V27.0</w:t>
            </w:r>
          </w:p>
        </w:tc>
      </w:tr>
      <w:tr w:rsidR="00796A63" w:rsidRPr="001267B9" w14:paraId="1FE28585" w14:textId="77777777" w:rsidTr="71C73A6E">
        <w:trPr>
          <w:trHeight w:val="300"/>
        </w:trPr>
        <w:tc>
          <w:tcPr>
            <w:tcW w:w="1176" w:type="dxa"/>
            <w:tcBorders>
              <w:top w:val="single" w:sz="18" w:space="0" w:color="auto"/>
              <w:bottom w:val="single" w:sz="18" w:space="0" w:color="auto"/>
            </w:tcBorders>
          </w:tcPr>
          <w:p w14:paraId="148F8C65" w14:textId="320154A3" w:rsidR="00796A63" w:rsidRDefault="00796A63" w:rsidP="00DD24BF">
            <w:pPr>
              <w:pStyle w:val="Body1"/>
              <w:spacing w:before="120" w:after="120"/>
              <w:rPr>
                <w:rFonts w:ascii="Arial" w:hAnsi="Arial" w:cs="Arial"/>
                <w:lang w:val="en-IE"/>
              </w:rPr>
            </w:pPr>
            <w:r>
              <w:rPr>
                <w:rFonts w:ascii="Arial" w:hAnsi="Arial" w:cs="Arial"/>
                <w:lang w:val="en-IE"/>
              </w:rPr>
              <w:t>28.0</w:t>
            </w:r>
          </w:p>
        </w:tc>
        <w:tc>
          <w:tcPr>
            <w:tcW w:w="1452" w:type="dxa"/>
            <w:tcBorders>
              <w:top w:val="single" w:sz="18" w:space="0" w:color="auto"/>
              <w:bottom w:val="single" w:sz="18" w:space="0" w:color="auto"/>
            </w:tcBorders>
          </w:tcPr>
          <w:p w14:paraId="6209AEDE" w14:textId="1E710BE5" w:rsidR="00796A63" w:rsidRDefault="00796A63" w:rsidP="00312841">
            <w:pPr>
              <w:pStyle w:val="Body1"/>
              <w:spacing w:before="120" w:after="120"/>
            </w:pPr>
            <w:r>
              <w:t>1</w:t>
            </w:r>
            <w:r w:rsidR="0066646B">
              <w:t>8</w:t>
            </w:r>
            <w:r>
              <w:t>/08/2023</w:t>
            </w:r>
          </w:p>
        </w:tc>
        <w:tc>
          <w:tcPr>
            <w:tcW w:w="2700" w:type="dxa"/>
            <w:tcBorders>
              <w:top w:val="single" w:sz="18" w:space="0" w:color="auto"/>
              <w:bottom w:val="single" w:sz="18" w:space="0" w:color="auto"/>
            </w:tcBorders>
          </w:tcPr>
          <w:p w14:paraId="288672FC" w14:textId="654D7A5A" w:rsidR="00796A63" w:rsidRDefault="00796A63"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48F5FC72" w14:textId="69022AD9" w:rsidR="00796A63" w:rsidRDefault="00796A63" w:rsidP="00131F55">
            <w:pPr>
              <w:pStyle w:val="Body1"/>
              <w:spacing w:before="120" w:after="120"/>
              <w:rPr>
                <w:rFonts w:cs="Arial"/>
              </w:rPr>
            </w:pPr>
            <w:r>
              <w:rPr>
                <w:rFonts w:cs="Arial"/>
              </w:rPr>
              <w:t>Baseline Documentation at V28.0</w:t>
            </w:r>
          </w:p>
        </w:tc>
      </w:tr>
      <w:tr w:rsidR="00FB032B" w:rsidRPr="001267B9" w14:paraId="6A2F3EE0" w14:textId="77777777" w:rsidTr="71C73A6E">
        <w:trPr>
          <w:trHeight w:val="300"/>
        </w:trPr>
        <w:tc>
          <w:tcPr>
            <w:tcW w:w="1176" w:type="dxa"/>
            <w:tcBorders>
              <w:top w:val="single" w:sz="18" w:space="0" w:color="auto"/>
              <w:bottom w:val="single" w:sz="18" w:space="0" w:color="auto"/>
            </w:tcBorders>
          </w:tcPr>
          <w:p w14:paraId="1349290F" w14:textId="3AC2B14E" w:rsidR="00FB032B" w:rsidRDefault="00FB032B" w:rsidP="00DD24BF">
            <w:pPr>
              <w:pStyle w:val="Body1"/>
              <w:spacing w:before="120" w:after="120"/>
              <w:rPr>
                <w:rFonts w:ascii="Arial" w:hAnsi="Arial" w:cs="Arial"/>
                <w:lang w:val="en-IE"/>
              </w:rPr>
            </w:pPr>
            <w:r>
              <w:rPr>
                <w:rFonts w:ascii="Arial" w:hAnsi="Arial" w:cs="Arial"/>
                <w:lang w:val="en-IE"/>
              </w:rPr>
              <w:t>28.0</w:t>
            </w:r>
          </w:p>
        </w:tc>
        <w:tc>
          <w:tcPr>
            <w:tcW w:w="1452" w:type="dxa"/>
            <w:tcBorders>
              <w:top w:val="single" w:sz="18" w:space="0" w:color="auto"/>
              <w:bottom w:val="single" w:sz="18" w:space="0" w:color="auto"/>
            </w:tcBorders>
          </w:tcPr>
          <w:p w14:paraId="78B8D945" w14:textId="0B9A7AFC" w:rsidR="00FB032B" w:rsidRDefault="00FB032B" w:rsidP="00312841">
            <w:pPr>
              <w:pStyle w:val="Body1"/>
              <w:spacing w:before="120" w:after="120"/>
            </w:pPr>
            <w:r>
              <w:t>22/05/</w:t>
            </w:r>
            <w:r w:rsidR="008A148E">
              <w:t>2023</w:t>
            </w:r>
          </w:p>
        </w:tc>
        <w:tc>
          <w:tcPr>
            <w:tcW w:w="2700" w:type="dxa"/>
            <w:tcBorders>
              <w:top w:val="single" w:sz="18" w:space="0" w:color="auto"/>
              <w:bottom w:val="single" w:sz="18" w:space="0" w:color="auto"/>
            </w:tcBorders>
          </w:tcPr>
          <w:p w14:paraId="66742E71" w14:textId="1B5043F2" w:rsidR="00FB032B" w:rsidRDefault="00FB032B"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122680FE" w14:textId="3FB29518" w:rsidR="00FB032B" w:rsidRDefault="00FB032B" w:rsidP="00131F55">
            <w:pPr>
              <w:pStyle w:val="Body1"/>
              <w:spacing w:before="120" w:after="120"/>
              <w:rPr>
                <w:rFonts w:cs="Arial"/>
              </w:rPr>
            </w:pPr>
            <w:r>
              <w:rPr>
                <w:rFonts w:cs="Arial"/>
              </w:rPr>
              <w:t xml:space="preserve">Mod_03_23 </w:t>
            </w:r>
            <w:proofErr w:type="spellStart"/>
            <w:r>
              <w:rPr>
                <w:rFonts w:cs="Arial"/>
              </w:rPr>
              <w:t>Modifiy</w:t>
            </w:r>
            <w:proofErr w:type="spellEnd"/>
            <w:r>
              <w:rPr>
                <w:rFonts w:cs="Arial"/>
              </w:rPr>
              <w:t xml:space="preserve"> SEMO timing sending Settlement Query to external Data Provider</w:t>
            </w:r>
          </w:p>
        </w:tc>
      </w:tr>
      <w:tr w:rsidR="00F91BD9" w:rsidRPr="001267B9" w14:paraId="6AC056C2" w14:textId="77777777" w:rsidTr="71C73A6E">
        <w:trPr>
          <w:trHeight w:val="300"/>
        </w:trPr>
        <w:tc>
          <w:tcPr>
            <w:tcW w:w="1176" w:type="dxa"/>
            <w:tcBorders>
              <w:top w:val="single" w:sz="18" w:space="0" w:color="auto"/>
              <w:bottom w:val="single" w:sz="18" w:space="0" w:color="auto"/>
            </w:tcBorders>
          </w:tcPr>
          <w:p w14:paraId="060F9424" w14:textId="69A59717" w:rsidR="00F91BD9" w:rsidRDefault="00F91BD9" w:rsidP="00DD24BF">
            <w:pPr>
              <w:pStyle w:val="Body1"/>
              <w:spacing w:before="120" w:after="120"/>
              <w:rPr>
                <w:rFonts w:ascii="Arial" w:hAnsi="Arial" w:cs="Arial"/>
                <w:lang w:val="en-IE"/>
              </w:rPr>
            </w:pPr>
            <w:r>
              <w:rPr>
                <w:rFonts w:ascii="Arial" w:hAnsi="Arial" w:cs="Arial"/>
                <w:lang w:val="en-IE"/>
              </w:rPr>
              <w:t>29.0</w:t>
            </w:r>
          </w:p>
        </w:tc>
        <w:tc>
          <w:tcPr>
            <w:tcW w:w="1452" w:type="dxa"/>
            <w:tcBorders>
              <w:top w:val="single" w:sz="18" w:space="0" w:color="auto"/>
              <w:bottom w:val="single" w:sz="18" w:space="0" w:color="auto"/>
            </w:tcBorders>
          </w:tcPr>
          <w:p w14:paraId="1EB2E70C" w14:textId="6E45AF4E" w:rsidR="00F91BD9" w:rsidRDefault="00F91BD9" w:rsidP="00312841">
            <w:pPr>
              <w:pStyle w:val="Body1"/>
              <w:spacing w:before="120" w:after="120"/>
            </w:pPr>
            <w:r>
              <w:t>30/07/</w:t>
            </w:r>
            <w:r w:rsidR="008A148E">
              <w:t>2024</w:t>
            </w:r>
          </w:p>
        </w:tc>
        <w:tc>
          <w:tcPr>
            <w:tcW w:w="2700" w:type="dxa"/>
            <w:tcBorders>
              <w:top w:val="single" w:sz="18" w:space="0" w:color="auto"/>
              <w:bottom w:val="single" w:sz="18" w:space="0" w:color="auto"/>
            </w:tcBorders>
          </w:tcPr>
          <w:p w14:paraId="50567327" w14:textId="135F2DA1" w:rsidR="00F91BD9" w:rsidRDefault="00F91BD9"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1F8C7710" w14:textId="23CF9AC5" w:rsidR="00F91BD9" w:rsidRDefault="00F91BD9" w:rsidP="00131F55">
            <w:pPr>
              <w:pStyle w:val="Body1"/>
              <w:spacing w:before="120" w:after="120"/>
              <w:rPr>
                <w:rFonts w:cs="Arial"/>
              </w:rPr>
            </w:pPr>
            <w:r>
              <w:rPr>
                <w:rFonts w:cs="Arial"/>
              </w:rPr>
              <w:t>Baseline Documentation at V29.0</w:t>
            </w:r>
          </w:p>
        </w:tc>
      </w:tr>
      <w:tr w:rsidR="008A148E" w:rsidRPr="001267B9" w14:paraId="29C46FF5" w14:textId="77777777" w:rsidTr="71C73A6E">
        <w:trPr>
          <w:trHeight w:val="300"/>
        </w:trPr>
        <w:tc>
          <w:tcPr>
            <w:tcW w:w="1176" w:type="dxa"/>
            <w:tcBorders>
              <w:top w:val="single" w:sz="18" w:space="0" w:color="auto"/>
              <w:bottom w:val="single" w:sz="18" w:space="0" w:color="auto"/>
            </w:tcBorders>
          </w:tcPr>
          <w:p w14:paraId="52C64CE6" w14:textId="270F3F72" w:rsidR="008A148E" w:rsidRDefault="008A148E" w:rsidP="00DD24BF">
            <w:pPr>
              <w:pStyle w:val="Body1"/>
              <w:spacing w:before="120" w:after="120"/>
              <w:rPr>
                <w:rFonts w:ascii="Arial" w:hAnsi="Arial" w:cs="Arial"/>
                <w:lang w:val="en-IE"/>
              </w:rPr>
            </w:pPr>
            <w:r>
              <w:rPr>
                <w:rFonts w:ascii="Arial" w:hAnsi="Arial" w:cs="Arial"/>
                <w:lang w:val="en-IE"/>
              </w:rPr>
              <w:t>30.0</w:t>
            </w:r>
          </w:p>
        </w:tc>
        <w:tc>
          <w:tcPr>
            <w:tcW w:w="1452" w:type="dxa"/>
            <w:tcBorders>
              <w:top w:val="single" w:sz="18" w:space="0" w:color="auto"/>
              <w:bottom w:val="single" w:sz="18" w:space="0" w:color="auto"/>
            </w:tcBorders>
          </w:tcPr>
          <w:p w14:paraId="1C81029A" w14:textId="124A2FB3" w:rsidR="008A148E" w:rsidRDefault="008A148E" w:rsidP="00312841">
            <w:pPr>
              <w:pStyle w:val="Body1"/>
              <w:spacing w:before="120" w:after="120"/>
            </w:pPr>
            <w:r>
              <w:t>08/11/2024</w:t>
            </w:r>
          </w:p>
        </w:tc>
        <w:tc>
          <w:tcPr>
            <w:tcW w:w="2700" w:type="dxa"/>
            <w:tcBorders>
              <w:top w:val="single" w:sz="18" w:space="0" w:color="auto"/>
              <w:bottom w:val="single" w:sz="18" w:space="0" w:color="auto"/>
            </w:tcBorders>
          </w:tcPr>
          <w:p w14:paraId="1C4D88C4" w14:textId="6BE0FBE3" w:rsidR="008A148E" w:rsidRDefault="008A148E" w:rsidP="00DD24BF">
            <w:pPr>
              <w:pStyle w:val="Body1"/>
              <w:spacing w:before="120" w:after="120"/>
              <w:rPr>
                <w:rFonts w:ascii="Arial" w:hAnsi="Arial" w:cs="Arial"/>
                <w:lang w:val="en-IE"/>
              </w:rPr>
            </w:pPr>
            <w:r>
              <w:rPr>
                <w:rFonts w:ascii="Arial" w:hAnsi="Arial" w:cs="Arial"/>
                <w:lang w:val="en-IE"/>
              </w:rPr>
              <w:t>SEMO</w:t>
            </w:r>
          </w:p>
        </w:tc>
        <w:tc>
          <w:tcPr>
            <w:tcW w:w="3960" w:type="dxa"/>
            <w:tcBorders>
              <w:top w:val="single" w:sz="18" w:space="0" w:color="auto"/>
              <w:bottom w:val="single" w:sz="18" w:space="0" w:color="auto"/>
            </w:tcBorders>
          </w:tcPr>
          <w:p w14:paraId="6584913B" w14:textId="08BD7AB8" w:rsidR="008A148E" w:rsidRDefault="008A148E" w:rsidP="00131F55">
            <w:pPr>
              <w:pStyle w:val="Body1"/>
              <w:spacing w:before="120" w:after="120"/>
              <w:rPr>
                <w:rFonts w:cs="Arial"/>
              </w:rPr>
            </w:pPr>
            <w:r>
              <w:rPr>
                <w:rFonts w:cs="Arial"/>
              </w:rPr>
              <w:t>Baseline Documentation at V30.0</w:t>
            </w:r>
          </w:p>
        </w:tc>
      </w:tr>
      <w:tr w:rsidR="00C61A34" w:rsidRPr="001267B9" w14:paraId="5229ED8D" w14:textId="77777777" w:rsidTr="71C73A6E">
        <w:trPr>
          <w:trHeight w:val="300"/>
        </w:trPr>
        <w:tc>
          <w:tcPr>
            <w:tcW w:w="1176" w:type="dxa"/>
            <w:tcBorders>
              <w:top w:val="single" w:sz="18" w:space="0" w:color="auto"/>
            </w:tcBorders>
          </w:tcPr>
          <w:p w14:paraId="621CDB03" w14:textId="7723E501" w:rsidR="00C61A34" w:rsidRDefault="00C61A34" w:rsidP="00DD24BF">
            <w:pPr>
              <w:pStyle w:val="Body1"/>
              <w:spacing w:before="120" w:after="120"/>
              <w:rPr>
                <w:rFonts w:ascii="Arial" w:hAnsi="Arial" w:cs="Arial"/>
                <w:lang w:val="en-IE"/>
              </w:rPr>
            </w:pPr>
            <w:r w:rsidRPr="71C73A6E">
              <w:rPr>
                <w:rFonts w:ascii="Arial" w:hAnsi="Arial" w:cs="Arial"/>
                <w:lang w:val="en-IE"/>
              </w:rPr>
              <w:t>31.0</w:t>
            </w:r>
          </w:p>
        </w:tc>
        <w:tc>
          <w:tcPr>
            <w:tcW w:w="1452" w:type="dxa"/>
            <w:tcBorders>
              <w:top w:val="single" w:sz="18" w:space="0" w:color="auto"/>
            </w:tcBorders>
          </w:tcPr>
          <w:p w14:paraId="080AE42D" w14:textId="7004DC54" w:rsidR="00C61A34" w:rsidRDefault="00C61A34" w:rsidP="00312841">
            <w:pPr>
              <w:pStyle w:val="Body1"/>
              <w:spacing w:before="120" w:after="120"/>
            </w:pPr>
            <w:r>
              <w:t>1</w:t>
            </w:r>
            <w:r w:rsidR="00AE7E0B">
              <w:t>3</w:t>
            </w:r>
            <w:r w:rsidR="006113B9">
              <w:t>/11/2025</w:t>
            </w:r>
          </w:p>
        </w:tc>
        <w:tc>
          <w:tcPr>
            <w:tcW w:w="2700" w:type="dxa"/>
            <w:tcBorders>
              <w:top w:val="single" w:sz="18" w:space="0" w:color="auto"/>
            </w:tcBorders>
          </w:tcPr>
          <w:p w14:paraId="24E03CE9" w14:textId="7419C5E5" w:rsidR="00C61A34" w:rsidRDefault="00C61A34" w:rsidP="00DD24BF">
            <w:pPr>
              <w:pStyle w:val="Body1"/>
              <w:spacing w:before="120" w:after="120"/>
              <w:rPr>
                <w:rFonts w:ascii="Arial" w:hAnsi="Arial" w:cs="Arial"/>
                <w:lang w:val="en-IE"/>
              </w:rPr>
            </w:pPr>
            <w:r w:rsidRPr="71C73A6E">
              <w:rPr>
                <w:rFonts w:ascii="Arial" w:hAnsi="Arial" w:cs="Arial"/>
                <w:lang w:val="en-IE"/>
              </w:rPr>
              <w:t>SEMO</w:t>
            </w:r>
          </w:p>
        </w:tc>
        <w:tc>
          <w:tcPr>
            <w:tcW w:w="3960" w:type="dxa"/>
            <w:tcBorders>
              <w:top w:val="single" w:sz="18" w:space="0" w:color="auto"/>
            </w:tcBorders>
          </w:tcPr>
          <w:p w14:paraId="498D70B7" w14:textId="6A870B90" w:rsidR="00C61A34" w:rsidRDefault="00C61A34" w:rsidP="00131F55">
            <w:pPr>
              <w:pStyle w:val="Body1"/>
              <w:spacing w:before="120" w:after="120"/>
              <w:rPr>
                <w:rFonts w:cs="Arial"/>
              </w:rPr>
            </w:pPr>
            <w:r w:rsidRPr="71C73A6E">
              <w:rPr>
                <w:rFonts w:cs="Arial"/>
              </w:rPr>
              <w:t>Baseline Documentation at V31.0</w:t>
            </w:r>
          </w:p>
        </w:tc>
      </w:tr>
    </w:tbl>
    <w:p w14:paraId="241023FF" w14:textId="77777777" w:rsidR="00C473A0" w:rsidRDefault="00C473A0" w:rsidP="00A82F36">
      <w:pPr>
        <w:pStyle w:val="H1"/>
        <w:spacing w:after="240"/>
        <w:rPr>
          <w:rFonts w:ascii="Arial" w:hAnsi="Arial" w:cs="Arial"/>
          <w:sz w:val="24"/>
          <w:szCs w:val="24"/>
          <w:lang w:val="en-IE"/>
        </w:rPr>
      </w:pPr>
    </w:p>
    <w:p w14:paraId="24102400" w14:textId="77777777" w:rsidR="00792833" w:rsidRPr="001267B9" w:rsidRDefault="00792833" w:rsidP="00A82F36">
      <w:pPr>
        <w:pStyle w:val="H1"/>
        <w:spacing w:after="240"/>
        <w:rPr>
          <w:rFonts w:ascii="Arial" w:hAnsi="Arial" w:cs="Arial"/>
          <w:sz w:val="24"/>
          <w:szCs w:val="24"/>
          <w:lang w:val="en-IE"/>
        </w:rPr>
      </w:pPr>
      <w:r w:rsidRPr="001267B9">
        <w:rPr>
          <w:rFonts w:ascii="Arial" w:hAnsi="Arial" w:cs="Arial"/>
          <w:sz w:val="24"/>
          <w:szCs w:val="24"/>
          <w:lang w:val="en-IE"/>
        </w:rPr>
        <w:t>Related Documents</w:t>
      </w:r>
    </w:p>
    <w:tbl>
      <w:tblPr>
        <w:tblStyle w:val="TableList3"/>
        <w:tblW w:w="9198" w:type="dxa"/>
        <w:tblLayout w:type="fixed"/>
        <w:tblLook w:val="0000" w:firstRow="0" w:lastRow="0" w:firstColumn="0" w:lastColumn="0" w:noHBand="0" w:noVBand="0"/>
      </w:tblPr>
      <w:tblGrid>
        <w:gridCol w:w="3528"/>
        <w:gridCol w:w="1260"/>
        <w:gridCol w:w="1416"/>
        <w:gridCol w:w="2994"/>
      </w:tblGrid>
      <w:tr w:rsidR="00792833" w:rsidRPr="001267B9" w14:paraId="24102405" w14:textId="77777777" w:rsidTr="71C73A6E">
        <w:trPr>
          <w:trHeight w:val="109"/>
        </w:trPr>
        <w:tc>
          <w:tcPr>
            <w:tcW w:w="3528" w:type="dxa"/>
            <w:tcBorders>
              <w:top w:val="single" w:sz="18" w:space="0" w:color="auto"/>
              <w:bottom w:val="single" w:sz="18" w:space="0" w:color="auto"/>
            </w:tcBorders>
            <w:shd w:val="clear" w:color="auto" w:fill="F2F2F2" w:themeFill="background1" w:themeFillShade="F2"/>
          </w:tcPr>
          <w:p w14:paraId="24102401" w14:textId="77777777" w:rsidR="00792833" w:rsidRPr="001267B9" w:rsidRDefault="00792833" w:rsidP="00A82F36">
            <w:pPr>
              <w:pStyle w:val="TableColumnHeadings"/>
              <w:spacing w:before="120" w:after="120"/>
              <w:rPr>
                <w:rFonts w:ascii="Arial" w:hAnsi="Arial" w:cs="Arial"/>
                <w:smallCaps w:val="0"/>
                <w:lang w:val="en-IE"/>
              </w:rPr>
            </w:pPr>
            <w:r w:rsidRPr="001267B9">
              <w:rPr>
                <w:rFonts w:ascii="Arial" w:hAnsi="Arial" w:cs="Arial"/>
                <w:smallCaps w:val="0"/>
                <w:lang w:val="en-IE"/>
              </w:rPr>
              <w:t>Document Title</w:t>
            </w:r>
          </w:p>
        </w:tc>
        <w:tc>
          <w:tcPr>
            <w:tcW w:w="1260" w:type="dxa"/>
            <w:tcBorders>
              <w:top w:val="single" w:sz="18" w:space="0" w:color="auto"/>
              <w:bottom w:val="single" w:sz="18" w:space="0" w:color="auto"/>
            </w:tcBorders>
            <w:shd w:val="clear" w:color="auto" w:fill="F2F2F2" w:themeFill="background1" w:themeFillShade="F2"/>
          </w:tcPr>
          <w:p w14:paraId="24102402" w14:textId="77777777" w:rsidR="00792833" w:rsidRPr="001267B9" w:rsidRDefault="00792833" w:rsidP="00A82F36">
            <w:pPr>
              <w:pStyle w:val="TableColumnHeadings"/>
              <w:spacing w:before="120" w:after="120"/>
              <w:rPr>
                <w:rFonts w:ascii="Arial" w:hAnsi="Arial" w:cs="Arial"/>
                <w:smallCaps w:val="0"/>
                <w:lang w:val="en-IE"/>
              </w:rPr>
            </w:pPr>
            <w:r w:rsidRPr="001267B9">
              <w:rPr>
                <w:rFonts w:ascii="Arial" w:hAnsi="Arial" w:cs="Arial"/>
                <w:smallCaps w:val="0"/>
                <w:lang w:val="en-IE"/>
              </w:rPr>
              <w:t xml:space="preserve">Version </w:t>
            </w:r>
          </w:p>
        </w:tc>
        <w:tc>
          <w:tcPr>
            <w:tcW w:w="1416" w:type="dxa"/>
            <w:tcBorders>
              <w:top w:val="single" w:sz="18" w:space="0" w:color="auto"/>
              <w:bottom w:val="single" w:sz="18" w:space="0" w:color="auto"/>
            </w:tcBorders>
            <w:shd w:val="clear" w:color="auto" w:fill="F2F2F2" w:themeFill="background1" w:themeFillShade="F2"/>
          </w:tcPr>
          <w:p w14:paraId="24102403" w14:textId="77777777" w:rsidR="00792833" w:rsidRPr="001267B9" w:rsidRDefault="00792833" w:rsidP="00A82F36">
            <w:pPr>
              <w:pStyle w:val="TableColumnHeadings"/>
              <w:spacing w:before="120" w:after="120"/>
              <w:rPr>
                <w:rFonts w:ascii="Arial" w:hAnsi="Arial" w:cs="Arial"/>
                <w:smallCaps w:val="0"/>
                <w:lang w:val="en-IE"/>
              </w:rPr>
            </w:pPr>
            <w:r w:rsidRPr="001267B9">
              <w:rPr>
                <w:rFonts w:ascii="Arial" w:hAnsi="Arial" w:cs="Arial"/>
                <w:smallCaps w:val="0"/>
                <w:lang w:val="en-IE"/>
              </w:rPr>
              <w:t>Date</w:t>
            </w:r>
          </w:p>
        </w:tc>
        <w:tc>
          <w:tcPr>
            <w:tcW w:w="2994" w:type="dxa"/>
            <w:tcBorders>
              <w:top w:val="single" w:sz="18" w:space="0" w:color="auto"/>
              <w:bottom w:val="single" w:sz="18" w:space="0" w:color="auto"/>
            </w:tcBorders>
            <w:shd w:val="clear" w:color="auto" w:fill="F2F2F2" w:themeFill="background1" w:themeFillShade="F2"/>
          </w:tcPr>
          <w:p w14:paraId="24102404" w14:textId="77777777" w:rsidR="00792833" w:rsidRPr="001267B9" w:rsidRDefault="00792833" w:rsidP="00A82F36">
            <w:pPr>
              <w:pStyle w:val="TableColumnHeadings"/>
              <w:spacing w:before="120" w:after="120"/>
              <w:rPr>
                <w:rFonts w:ascii="Arial" w:hAnsi="Arial" w:cs="Arial"/>
                <w:smallCaps w:val="0"/>
                <w:lang w:val="en-IE"/>
              </w:rPr>
            </w:pPr>
            <w:r w:rsidRPr="001267B9">
              <w:rPr>
                <w:rFonts w:ascii="Arial" w:hAnsi="Arial" w:cs="Arial"/>
                <w:smallCaps w:val="0"/>
                <w:lang w:val="en-IE"/>
              </w:rPr>
              <w:t>By</w:t>
            </w:r>
          </w:p>
        </w:tc>
      </w:tr>
      <w:tr w:rsidR="00916719" w:rsidRPr="001267B9" w14:paraId="2410240A" w14:textId="77777777" w:rsidTr="71C73A6E">
        <w:trPr>
          <w:trHeight w:val="300"/>
        </w:trPr>
        <w:tc>
          <w:tcPr>
            <w:tcW w:w="3528" w:type="dxa"/>
            <w:tcBorders>
              <w:top w:val="single" w:sz="18" w:space="0" w:color="auto"/>
            </w:tcBorders>
          </w:tcPr>
          <w:p w14:paraId="24102406" w14:textId="77777777" w:rsidR="00916719" w:rsidRPr="001267B9" w:rsidRDefault="00170F78" w:rsidP="00A82F36">
            <w:pPr>
              <w:pStyle w:val="Body1"/>
              <w:spacing w:before="120" w:after="120"/>
              <w:rPr>
                <w:rFonts w:ascii="Arial" w:hAnsi="Arial" w:cs="Arial"/>
                <w:lang w:val="en-IE"/>
              </w:rPr>
            </w:pPr>
            <w:r w:rsidRPr="001267B9">
              <w:rPr>
                <w:rFonts w:ascii="Arial" w:hAnsi="Arial" w:cs="Arial"/>
                <w:lang w:val="en-IE"/>
              </w:rPr>
              <w:t>Trading and Settlement C</w:t>
            </w:r>
            <w:r w:rsidR="00916719" w:rsidRPr="001267B9">
              <w:rPr>
                <w:rFonts w:ascii="Arial" w:hAnsi="Arial" w:cs="Arial"/>
                <w:lang w:val="en-IE"/>
              </w:rPr>
              <w:t>ode</w:t>
            </w:r>
            <w:r w:rsidR="00D63BFA" w:rsidRPr="001267B9">
              <w:rPr>
                <w:rFonts w:ascii="Arial" w:hAnsi="Arial" w:cs="Arial"/>
                <w:lang w:val="en-IE"/>
              </w:rPr>
              <w:t xml:space="preserve"> </w:t>
            </w:r>
          </w:p>
        </w:tc>
        <w:tc>
          <w:tcPr>
            <w:tcW w:w="1260" w:type="dxa"/>
            <w:tcBorders>
              <w:top w:val="single" w:sz="18" w:space="0" w:color="auto"/>
            </w:tcBorders>
          </w:tcPr>
          <w:p w14:paraId="24102407" w14:textId="7765061E" w:rsidR="00916719" w:rsidRPr="001267B9" w:rsidRDefault="008A148E" w:rsidP="008C13C8">
            <w:pPr>
              <w:pStyle w:val="Body1"/>
              <w:spacing w:before="120" w:after="120"/>
              <w:rPr>
                <w:rFonts w:ascii="Arial" w:hAnsi="Arial" w:cs="Arial"/>
                <w:lang w:val="en-IE"/>
              </w:rPr>
            </w:pPr>
            <w:r w:rsidRPr="71C73A6E">
              <w:rPr>
                <w:rFonts w:ascii="Arial" w:hAnsi="Arial" w:cs="Arial"/>
                <w:lang w:val="en-IE"/>
              </w:rPr>
              <w:t>3</w:t>
            </w:r>
            <w:r w:rsidR="00C61A34" w:rsidRPr="71C73A6E">
              <w:rPr>
                <w:rFonts w:ascii="Arial" w:hAnsi="Arial" w:cs="Arial"/>
                <w:lang w:val="en-IE"/>
              </w:rPr>
              <w:t>1</w:t>
            </w:r>
            <w:r w:rsidR="00413883" w:rsidRPr="71C73A6E">
              <w:rPr>
                <w:rFonts w:ascii="Arial" w:hAnsi="Arial" w:cs="Arial"/>
                <w:lang w:val="en-IE"/>
              </w:rPr>
              <w:t>.0</w:t>
            </w:r>
          </w:p>
        </w:tc>
        <w:tc>
          <w:tcPr>
            <w:tcW w:w="1416" w:type="dxa"/>
            <w:tcBorders>
              <w:top w:val="single" w:sz="18" w:space="0" w:color="auto"/>
            </w:tcBorders>
          </w:tcPr>
          <w:p w14:paraId="24102408" w14:textId="6ECFED43" w:rsidR="00645C5E" w:rsidRPr="001267B9" w:rsidRDefault="00C61A34" w:rsidP="008C13C8">
            <w:pPr>
              <w:pStyle w:val="Body1"/>
              <w:spacing w:before="120" w:after="120"/>
              <w:rPr>
                <w:rFonts w:ascii="Arial" w:hAnsi="Arial" w:cs="Arial"/>
                <w:snapToGrid w:val="0"/>
                <w:lang w:val="en-IE"/>
              </w:rPr>
            </w:pPr>
            <w:r>
              <w:rPr>
                <w:rFonts w:ascii="Arial" w:hAnsi="Arial" w:cs="Arial"/>
                <w:snapToGrid w:val="0"/>
                <w:lang w:val="en-IE"/>
              </w:rPr>
              <w:t>1</w:t>
            </w:r>
            <w:r w:rsidR="00AE7E0B">
              <w:rPr>
                <w:rFonts w:ascii="Arial" w:hAnsi="Arial" w:cs="Arial"/>
                <w:snapToGrid w:val="0"/>
                <w:lang w:val="en-IE"/>
              </w:rPr>
              <w:t>3</w:t>
            </w:r>
            <w:r w:rsidR="006113B9">
              <w:rPr>
                <w:rFonts w:ascii="Arial" w:hAnsi="Arial" w:cs="Arial"/>
                <w:snapToGrid w:val="0"/>
                <w:lang w:val="en-IE"/>
              </w:rPr>
              <w:t>/11/2025</w:t>
            </w:r>
          </w:p>
        </w:tc>
        <w:tc>
          <w:tcPr>
            <w:tcW w:w="2994" w:type="dxa"/>
            <w:tcBorders>
              <w:top w:val="single" w:sz="18" w:space="0" w:color="auto"/>
            </w:tcBorders>
          </w:tcPr>
          <w:p w14:paraId="24102409" w14:textId="77777777" w:rsidR="00916719" w:rsidRPr="001267B9" w:rsidRDefault="00413883" w:rsidP="00A82F36">
            <w:pPr>
              <w:pStyle w:val="Body1"/>
              <w:spacing w:before="120" w:after="120"/>
              <w:rPr>
                <w:rFonts w:ascii="Arial" w:hAnsi="Arial" w:cs="Arial"/>
                <w:lang w:val="en-IE"/>
              </w:rPr>
            </w:pPr>
            <w:r>
              <w:rPr>
                <w:rFonts w:ascii="Arial" w:hAnsi="Arial" w:cs="Arial"/>
                <w:lang w:val="en-IE"/>
              </w:rPr>
              <w:t>SEMO</w:t>
            </w:r>
          </w:p>
        </w:tc>
      </w:tr>
      <w:tr w:rsidR="006F7199" w:rsidRPr="001267B9" w14:paraId="2410240F" w14:textId="77777777" w:rsidTr="71C73A6E">
        <w:trPr>
          <w:trHeight w:val="300"/>
        </w:trPr>
        <w:tc>
          <w:tcPr>
            <w:tcW w:w="3528" w:type="dxa"/>
          </w:tcPr>
          <w:p w14:paraId="2410240B" w14:textId="77777777" w:rsidR="006F7199" w:rsidRPr="001267B9" w:rsidRDefault="006F7199" w:rsidP="00A82F36">
            <w:pPr>
              <w:pStyle w:val="Body1"/>
              <w:spacing w:before="120" w:after="120"/>
              <w:rPr>
                <w:rFonts w:ascii="Arial" w:hAnsi="Arial" w:cs="Arial"/>
                <w:lang w:val="en-IE"/>
              </w:rPr>
            </w:pPr>
            <w:r w:rsidRPr="001267B9">
              <w:rPr>
                <w:rFonts w:ascii="Arial" w:hAnsi="Arial" w:cs="Arial"/>
                <w:bCs/>
                <w:lang w:val="en-IE"/>
              </w:rPr>
              <w:t>Agreed Procedure 11 “Market System Operation, Testing, Upgrading and Support”</w:t>
            </w:r>
          </w:p>
        </w:tc>
        <w:tc>
          <w:tcPr>
            <w:tcW w:w="1260" w:type="dxa"/>
          </w:tcPr>
          <w:p w14:paraId="2410240C" w14:textId="77777777" w:rsidR="006F7199" w:rsidRPr="001267B9" w:rsidRDefault="006F7199" w:rsidP="00A82F36">
            <w:pPr>
              <w:pStyle w:val="Body1"/>
              <w:spacing w:before="120" w:after="120"/>
              <w:rPr>
                <w:rFonts w:ascii="Arial" w:hAnsi="Arial" w:cs="Arial"/>
                <w:lang w:val="en-IE"/>
              </w:rPr>
            </w:pPr>
          </w:p>
        </w:tc>
        <w:tc>
          <w:tcPr>
            <w:tcW w:w="1416" w:type="dxa"/>
          </w:tcPr>
          <w:p w14:paraId="2410240D" w14:textId="77777777" w:rsidR="006F7199" w:rsidRPr="001267B9" w:rsidRDefault="006F7199" w:rsidP="00A82F36">
            <w:pPr>
              <w:pStyle w:val="Body1"/>
              <w:spacing w:before="120" w:after="120"/>
              <w:rPr>
                <w:rFonts w:ascii="Arial" w:hAnsi="Arial" w:cs="Arial"/>
                <w:lang w:val="en-IE"/>
              </w:rPr>
            </w:pPr>
          </w:p>
        </w:tc>
        <w:tc>
          <w:tcPr>
            <w:tcW w:w="2994" w:type="dxa"/>
          </w:tcPr>
          <w:p w14:paraId="2410240E" w14:textId="77777777" w:rsidR="006F7199" w:rsidRPr="001267B9" w:rsidRDefault="006F7199" w:rsidP="00A82F36">
            <w:pPr>
              <w:pStyle w:val="Body1"/>
              <w:spacing w:before="120" w:after="120"/>
              <w:rPr>
                <w:rFonts w:ascii="Arial" w:hAnsi="Arial" w:cs="Arial"/>
                <w:lang w:val="en-IE"/>
              </w:rPr>
            </w:pPr>
          </w:p>
        </w:tc>
      </w:tr>
      <w:tr w:rsidR="006F7199" w:rsidRPr="001267B9" w14:paraId="24102414" w14:textId="77777777" w:rsidTr="71C73A6E">
        <w:trPr>
          <w:trHeight w:val="300"/>
        </w:trPr>
        <w:tc>
          <w:tcPr>
            <w:tcW w:w="3528" w:type="dxa"/>
          </w:tcPr>
          <w:p w14:paraId="24102410" w14:textId="77777777" w:rsidR="006F7199" w:rsidRPr="001267B9" w:rsidRDefault="006F7199" w:rsidP="00A82F36">
            <w:pPr>
              <w:pStyle w:val="Body1"/>
              <w:spacing w:before="120" w:after="120"/>
              <w:rPr>
                <w:rFonts w:ascii="Arial" w:hAnsi="Arial" w:cs="Arial"/>
                <w:lang w:val="en-IE"/>
              </w:rPr>
            </w:pPr>
            <w:r w:rsidRPr="001267B9">
              <w:rPr>
                <w:rFonts w:ascii="Arial" w:hAnsi="Arial" w:cs="Arial"/>
                <w:lang w:val="en-IE"/>
              </w:rPr>
              <w:t>Agreed Procedure 14 "Disputes"</w:t>
            </w:r>
          </w:p>
        </w:tc>
        <w:tc>
          <w:tcPr>
            <w:tcW w:w="1260" w:type="dxa"/>
          </w:tcPr>
          <w:p w14:paraId="24102411" w14:textId="77777777" w:rsidR="006F7199" w:rsidRPr="001267B9" w:rsidRDefault="006F7199" w:rsidP="00A82F36">
            <w:pPr>
              <w:pStyle w:val="Body1"/>
              <w:spacing w:before="120" w:after="120"/>
              <w:rPr>
                <w:rFonts w:ascii="Arial" w:hAnsi="Arial" w:cs="Arial"/>
                <w:lang w:val="en-IE"/>
              </w:rPr>
            </w:pPr>
          </w:p>
        </w:tc>
        <w:tc>
          <w:tcPr>
            <w:tcW w:w="1416" w:type="dxa"/>
          </w:tcPr>
          <w:p w14:paraId="24102412" w14:textId="77777777" w:rsidR="006F7199" w:rsidRPr="001267B9" w:rsidRDefault="006F7199" w:rsidP="00A82F36">
            <w:pPr>
              <w:pStyle w:val="Body1"/>
              <w:spacing w:before="120" w:after="120"/>
              <w:rPr>
                <w:rFonts w:ascii="Arial" w:hAnsi="Arial" w:cs="Arial"/>
                <w:lang w:val="en-IE"/>
              </w:rPr>
            </w:pPr>
          </w:p>
        </w:tc>
        <w:tc>
          <w:tcPr>
            <w:tcW w:w="2994" w:type="dxa"/>
          </w:tcPr>
          <w:p w14:paraId="24102413" w14:textId="77777777" w:rsidR="006F7199" w:rsidRPr="001267B9" w:rsidRDefault="006F7199" w:rsidP="00A82F36">
            <w:pPr>
              <w:pStyle w:val="Body1"/>
              <w:spacing w:before="120" w:after="120"/>
              <w:rPr>
                <w:rFonts w:ascii="Arial" w:hAnsi="Arial" w:cs="Arial"/>
                <w:lang w:val="en-IE"/>
              </w:rPr>
            </w:pPr>
          </w:p>
        </w:tc>
      </w:tr>
    </w:tbl>
    <w:p w14:paraId="24102415" w14:textId="77777777" w:rsidR="001529F6" w:rsidRPr="001267B9" w:rsidRDefault="001529F6" w:rsidP="00DD5202">
      <w:pPr>
        <w:pStyle w:val="Body1"/>
        <w:tabs>
          <w:tab w:val="left" w:pos="3528"/>
          <w:tab w:val="left" w:pos="4968"/>
          <w:tab w:val="left" w:pos="6204"/>
        </w:tabs>
        <w:rPr>
          <w:rFonts w:ascii="Arial" w:hAnsi="Arial" w:cs="Arial"/>
          <w:lang w:val="en-IE"/>
        </w:rPr>
      </w:pPr>
    </w:p>
    <w:p w14:paraId="24102416" w14:textId="77777777" w:rsidR="001529F6" w:rsidRPr="001267B9" w:rsidRDefault="001529F6" w:rsidP="00DD5202">
      <w:pPr>
        <w:pStyle w:val="Body1"/>
        <w:tabs>
          <w:tab w:val="left" w:pos="3528"/>
          <w:tab w:val="left" w:pos="4968"/>
          <w:tab w:val="left" w:pos="6204"/>
        </w:tabs>
        <w:rPr>
          <w:rFonts w:ascii="Arial" w:hAnsi="Arial" w:cs="Arial"/>
          <w:lang w:val="en-IE"/>
        </w:rPr>
      </w:pPr>
    </w:p>
    <w:p w14:paraId="24102417" w14:textId="77777777" w:rsidR="0052126A" w:rsidRPr="001267B9" w:rsidRDefault="0052126A" w:rsidP="005479BE">
      <w:pPr>
        <w:rPr>
          <w:rFonts w:ascii="Arial" w:hAnsi="Arial" w:cs="Arial"/>
          <w:lang w:val="en-IE"/>
        </w:rPr>
        <w:sectPr w:rsidR="0052126A" w:rsidRPr="001267B9" w:rsidSect="005479BE">
          <w:footerReference w:type="default" r:id="rId15"/>
          <w:footerReference w:type="first" r:id="rId16"/>
          <w:pgSz w:w="11907" w:h="16840" w:code="9"/>
          <w:pgMar w:top="1440" w:right="1440" w:bottom="1440" w:left="1440" w:header="720" w:footer="720" w:gutter="0"/>
          <w:cols w:space="720"/>
          <w:titlePg/>
        </w:sectPr>
      </w:pPr>
    </w:p>
    <w:p w14:paraId="24102418" w14:textId="77777777" w:rsidR="001438CB" w:rsidRPr="00C8396F" w:rsidRDefault="00DD5E51" w:rsidP="00D73B9D">
      <w:pPr>
        <w:pStyle w:val="APNUMHEAD1"/>
        <w:numPr>
          <w:ilvl w:val="0"/>
          <w:numId w:val="9"/>
        </w:numPr>
        <w:tabs>
          <w:tab w:val="clear" w:pos="851"/>
          <w:tab w:val="num" w:pos="990"/>
        </w:tabs>
        <w:overflowPunct w:val="0"/>
        <w:autoSpaceDE w:val="0"/>
        <w:autoSpaceDN w:val="0"/>
        <w:adjustRightInd w:val="0"/>
        <w:spacing w:after="360"/>
        <w:ind w:left="994" w:hanging="994"/>
        <w:jc w:val="both"/>
        <w:textAlignment w:val="baseline"/>
        <w:outlineLvl w:val="0"/>
        <w:rPr>
          <w:rFonts w:cs="Arial"/>
          <w:bCs/>
          <w:kern w:val="28"/>
          <w:szCs w:val="28"/>
          <w:lang w:val="en-IE" w:eastAsia="en-GB"/>
        </w:rPr>
      </w:pPr>
      <w:bookmarkStart w:id="2" w:name="_Toc170997185"/>
      <w:bookmarkStart w:id="3" w:name="_Toc465936516"/>
      <w:bookmarkStart w:id="4" w:name="_Toc477420692"/>
      <w:bookmarkStart w:id="5" w:name="_Toc478995226"/>
      <w:r w:rsidRPr="00C8396F">
        <w:rPr>
          <w:rFonts w:cs="Arial"/>
          <w:bCs/>
          <w:kern w:val="28"/>
          <w:szCs w:val="28"/>
          <w:lang w:val="en-IE" w:eastAsia="en-GB"/>
        </w:rPr>
        <w:lastRenderedPageBreak/>
        <w:t>Introduction</w:t>
      </w:r>
      <w:bookmarkEnd w:id="2"/>
      <w:bookmarkEnd w:id="3"/>
      <w:bookmarkEnd w:id="4"/>
      <w:bookmarkEnd w:id="5"/>
    </w:p>
    <w:p w14:paraId="24102419" w14:textId="77777777" w:rsidR="00DD5E51" w:rsidRPr="001267B9" w:rsidRDefault="00C8396F" w:rsidP="00D73B9D">
      <w:pPr>
        <w:pStyle w:val="APNUMHEAD3"/>
        <w:numPr>
          <w:ilvl w:val="1"/>
          <w:numId w:val="9"/>
        </w:numPr>
        <w:spacing w:before="120" w:after="240"/>
        <w:jc w:val="both"/>
      </w:pPr>
      <w:bookmarkStart w:id="6" w:name="_Toc22548714"/>
      <w:bookmarkStart w:id="7" w:name="_Toc139788471"/>
      <w:bookmarkStart w:id="8" w:name="_Toc170997186"/>
      <w:bookmarkStart w:id="9" w:name="_Toc465936517"/>
      <w:bookmarkStart w:id="10" w:name="_Toc477420693"/>
      <w:bookmarkStart w:id="11" w:name="_Toc478995227"/>
      <w:r>
        <w:t>Background and</w:t>
      </w:r>
      <w:r w:rsidR="00DD5E51" w:rsidRPr="001267B9">
        <w:t xml:space="preserve"> Purpose</w:t>
      </w:r>
      <w:bookmarkEnd w:id="6"/>
      <w:bookmarkEnd w:id="7"/>
      <w:bookmarkEnd w:id="8"/>
      <w:bookmarkEnd w:id="9"/>
      <w:bookmarkEnd w:id="10"/>
      <w:bookmarkEnd w:id="11"/>
    </w:p>
    <w:p w14:paraId="2410241A" w14:textId="77777777" w:rsidR="00881D93" w:rsidRPr="00185F85" w:rsidRDefault="00C25DF3" w:rsidP="00C8396F">
      <w:pPr>
        <w:pStyle w:val="Body1"/>
        <w:spacing w:before="120" w:after="120"/>
        <w:jc w:val="both"/>
        <w:rPr>
          <w:rFonts w:ascii="Arial" w:hAnsi="Arial" w:cs="Arial"/>
          <w:lang w:val="en-IE"/>
        </w:rPr>
      </w:pPr>
      <w:r w:rsidRPr="00185F85">
        <w:rPr>
          <w:rFonts w:ascii="Arial" w:hAnsi="Arial" w:cs="Arial"/>
          <w:lang w:val="en-IE"/>
        </w:rPr>
        <w:t>The provisions in relation to queries in respect of Settlement Data are set out at section G.3 of the Trading and Settlement Code (hereinafter referred to as the “</w:t>
      </w:r>
      <w:r w:rsidRPr="00155ACC">
        <w:rPr>
          <w:rFonts w:ascii="Arial" w:hAnsi="Arial" w:cs="Arial"/>
          <w:b/>
          <w:lang w:val="en-IE"/>
        </w:rPr>
        <w:t>Code</w:t>
      </w:r>
      <w:r w:rsidRPr="00185F85">
        <w:rPr>
          <w:rFonts w:ascii="Arial" w:hAnsi="Arial" w:cs="Arial"/>
          <w:lang w:val="en-IE"/>
        </w:rPr>
        <w:t>”).</w:t>
      </w:r>
    </w:p>
    <w:p w14:paraId="2410241B" w14:textId="77777777" w:rsidR="00A31239" w:rsidRPr="00185F85" w:rsidRDefault="00A31239" w:rsidP="00C8396F">
      <w:pPr>
        <w:pStyle w:val="Body1"/>
        <w:spacing w:before="120" w:after="120"/>
        <w:jc w:val="both"/>
        <w:rPr>
          <w:rFonts w:ascii="Arial" w:hAnsi="Arial" w:cs="Arial"/>
          <w:lang w:val="en-IE"/>
        </w:rPr>
      </w:pPr>
      <w:r w:rsidRPr="00185F85">
        <w:rPr>
          <w:rFonts w:ascii="Arial" w:hAnsi="Arial" w:cs="Arial"/>
          <w:lang w:val="en-IE"/>
        </w:rPr>
        <w:t xml:space="preserve">This Agreed Procedure sets out the </w:t>
      </w:r>
      <w:r w:rsidR="000E0390" w:rsidRPr="00185F85">
        <w:rPr>
          <w:rFonts w:ascii="Arial" w:hAnsi="Arial" w:cs="Arial"/>
          <w:lang w:val="en-IE"/>
        </w:rPr>
        <w:t xml:space="preserve">procedures </w:t>
      </w:r>
      <w:r w:rsidR="005706DC">
        <w:rPr>
          <w:rFonts w:ascii="Arial" w:hAnsi="Arial" w:cs="Arial"/>
          <w:lang w:val="en-IE"/>
        </w:rPr>
        <w:t>in relation to</w:t>
      </w:r>
      <w:r w:rsidR="000E0390" w:rsidRPr="00185F85">
        <w:rPr>
          <w:rFonts w:ascii="Arial" w:hAnsi="Arial" w:cs="Arial"/>
          <w:lang w:val="en-IE"/>
        </w:rPr>
        <w:t xml:space="preserve"> </w:t>
      </w:r>
      <w:r w:rsidR="00974E29" w:rsidRPr="00185F85">
        <w:rPr>
          <w:rFonts w:ascii="Arial" w:hAnsi="Arial" w:cs="Arial"/>
          <w:lang w:val="en-IE"/>
        </w:rPr>
        <w:t>Settlement Queries</w:t>
      </w:r>
      <w:r w:rsidR="00284AA1" w:rsidRPr="00185F85">
        <w:rPr>
          <w:rFonts w:ascii="Arial" w:hAnsi="Arial" w:cs="Arial"/>
          <w:lang w:val="en-IE"/>
        </w:rPr>
        <w:t xml:space="preserve"> </w:t>
      </w:r>
      <w:r w:rsidRPr="00185F85">
        <w:rPr>
          <w:rFonts w:ascii="Arial" w:hAnsi="Arial" w:cs="Arial"/>
          <w:lang w:val="en-IE"/>
        </w:rPr>
        <w:t xml:space="preserve">with which </w:t>
      </w:r>
      <w:r w:rsidR="006312A8" w:rsidRPr="00185F85">
        <w:rPr>
          <w:rFonts w:ascii="Arial" w:hAnsi="Arial" w:cs="Arial"/>
          <w:lang w:val="en-IE"/>
        </w:rPr>
        <w:t>P</w:t>
      </w:r>
      <w:r w:rsidRPr="00185F85">
        <w:rPr>
          <w:rFonts w:ascii="Arial" w:hAnsi="Arial" w:cs="Arial"/>
          <w:lang w:val="en-IE"/>
        </w:rPr>
        <w:t xml:space="preserve">arties to the Code must comply.  </w:t>
      </w:r>
    </w:p>
    <w:p w14:paraId="2410241C" w14:textId="77777777" w:rsidR="00CF7496" w:rsidRPr="001267B9" w:rsidRDefault="00CF7496" w:rsidP="00C8396F">
      <w:pPr>
        <w:pStyle w:val="Body1"/>
        <w:jc w:val="both"/>
        <w:rPr>
          <w:rFonts w:ascii="Arial" w:hAnsi="Arial" w:cs="Arial"/>
          <w:lang w:val="en-IE"/>
        </w:rPr>
      </w:pPr>
    </w:p>
    <w:p w14:paraId="2410241D" w14:textId="77777777" w:rsidR="00F90D28" w:rsidRPr="001267B9" w:rsidRDefault="00F90D28" w:rsidP="00D73B9D">
      <w:pPr>
        <w:pStyle w:val="APNUMHEAD3"/>
        <w:numPr>
          <w:ilvl w:val="1"/>
          <w:numId w:val="9"/>
        </w:numPr>
        <w:spacing w:before="120" w:after="240"/>
        <w:jc w:val="both"/>
      </w:pPr>
      <w:bookmarkStart w:id="12" w:name="_Toc22548718"/>
      <w:bookmarkStart w:id="13" w:name="_Toc139788474"/>
      <w:bookmarkStart w:id="14" w:name="_Toc465936518"/>
      <w:bookmarkStart w:id="15" w:name="_Toc477420694"/>
      <w:bookmarkStart w:id="16" w:name="_Toc478995228"/>
      <w:r w:rsidRPr="001267B9">
        <w:t xml:space="preserve">Scope </w:t>
      </w:r>
      <w:r w:rsidR="00C8396F">
        <w:t>o</w:t>
      </w:r>
      <w:r w:rsidR="004F3507" w:rsidRPr="001267B9">
        <w:t xml:space="preserve">f </w:t>
      </w:r>
      <w:r w:rsidRPr="001267B9">
        <w:t>Agreed Procedure</w:t>
      </w:r>
      <w:bookmarkEnd w:id="12"/>
      <w:bookmarkEnd w:id="13"/>
      <w:bookmarkEnd w:id="14"/>
      <w:bookmarkEnd w:id="15"/>
      <w:bookmarkEnd w:id="16"/>
    </w:p>
    <w:p w14:paraId="2410241E" w14:textId="77777777" w:rsidR="00D73B9D" w:rsidRPr="00185F85" w:rsidRDefault="00E64EA0" w:rsidP="00C8396F">
      <w:pPr>
        <w:pStyle w:val="Body1"/>
        <w:spacing w:before="120" w:after="120"/>
        <w:jc w:val="both"/>
        <w:rPr>
          <w:rFonts w:ascii="Arial" w:hAnsi="Arial" w:cs="Arial"/>
          <w:lang w:val="en-IE"/>
        </w:rPr>
      </w:pPr>
      <w:r w:rsidRPr="00185F85">
        <w:rPr>
          <w:rFonts w:ascii="Arial" w:hAnsi="Arial" w:cs="Arial"/>
          <w:lang w:val="en-IE"/>
        </w:rPr>
        <w:t xml:space="preserve">This Agreed Procedure </w:t>
      </w:r>
      <w:r w:rsidR="00974E29" w:rsidRPr="00185F85">
        <w:rPr>
          <w:rFonts w:ascii="Arial" w:hAnsi="Arial" w:cs="Arial"/>
          <w:lang w:val="en-IE"/>
        </w:rPr>
        <w:t xml:space="preserve">sets out </w:t>
      </w:r>
      <w:r w:rsidRPr="00185F85">
        <w:rPr>
          <w:rFonts w:ascii="Arial" w:hAnsi="Arial" w:cs="Arial"/>
          <w:lang w:val="en-IE"/>
        </w:rPr>
        <w:t>the proce</w:t>
      </w:r>
      <w:r w:rsidR="009B5D8C" w:rsidRPr="00185F85">
        <w:rPr>
          <w:rFonts w:ascii="Arial" w:hAnsi="Arial" w:cs="Arial"/>
          <w:lang w:val="en-IE"/>
        </w:rPr>
        <w:t>dure</w:t>
      </w:r>
      <w:r w:rsidRPr="00185F85">
        <w:rPr>
          <w:rFonts w:ascii="Arial" w:hAnsi="Arial" w:cs="Arial"/>
          <w:lang w:val="en-IE"/>
        </w:rPr>
        <w:t>s for</w:t>
      </w:r>
      <w:r w:rsidR="00974E29" w:rsidRPr="00185F85">
        <w:rPr>
          <w:rFonts w:ascii="Arial" w:hAnsi="Arial" w:cs="Arial"/>
          <w:lang w:val="en-IE"/>
        </w:rPr>
        <w:t xml:space="preserve">: </w:t>
      </w:r>
    </w:p>
    <w:p w14:paraId="2410241F" w14:textId="77777777" w:rsidR="00D73B9D" w:rsidRPr="00185F85" w:rsidRDefault="00E64EA0" w:rsidP="00185F85">
      <w:pPr>
        <w:pStyle w:val="Body1"/>
        <w:numPr>
          <w:ilvl w:val="0"/>
          <w:numId w:val="12"/>
        </w:numPr>
        <w:tabs>
          <w:tab w:val="num" w:pos="720"/>
        </w:tabs>
        <w:spacing w:before="120" w:after="120"/>
        <w:ind w:left="720"/>
        <w:jc w:val="both"/>
        <w:rPr>
          <w:rFonts w:ascii="Arial" w:hAnsi="Arial" w:cs="Arial"/>
          <w:lang w:val="en-US"/>
        </w:rPr>
      </w:pPr>
      <w:r w:rsidRPr="00185F85">
        <w:rPr>
          <w:rFonts w:ascii="Arial" w:hAnsi="Arial" w:cs="Arial"/>
          <w:lang w:val="en-US"/>
        </w:rPr>
        <w:t>the raising</w:t>
      </w:r>
      <w:r w:rsidR="00974E29" w:rsidRPr="00185F85">
        <w:rPr>
          <w:rFonts w:ascii="Arial" w:hAnsi="Arial" w:cs="Arial"/>
          <w:lang w:val="en-US"/>
        </w:rPr>
        <w:t xml:space="preserve"> of Settlement Queries; </w:t>
      </w:r>
    </w:p>
    <w:p w14:paraId="24102420" w14:textId="77777777" w:rsidR="00D73B9D" w:rsidRPr="00185F85" w:rsidRDefault="00974E29" w:rsidP="00185F85">
      <w:pPr>
        <w:pStyle w:val="Body1"/>
        <w:numPr>
          <w:ilvl w:val="0"/>
          <w:numId w:val="12"/>
        </w:numPr>
        <w:tabs>
          <w:tab w:val="num" w:pos="720"/>
        </w:tabs>
        <w:spacing w:before="120" w:after="120"/>
        <w:ind w:left="720"/>
        <w:jc w:val="both"/>
        <w:rPr>
          <w:rFonts w:ascii="Arial" w:hAnsi="Arial" w:cs="Arial"/>
          <w:lang w:val="en-US"/>
        </w:rPr>
      </w:pPr>
      <w:r w:rsidRPr="00185F85">
        <w:rPr>
          <w:rFonts w:ascii="Arial" w:hAnsi="Arial" w:cs="Arial"/>
          <w:lang w:val="en-US"/>
        </w:rPr>
        <w:t>the</w:t>
      </w:r>
      <w:r w:rsidR="00E64EA0" w:rsidRPr="00185F85">
        <w:rPr>
          <w:rFonts w:ascii="Arial" w:hAnsi="Arial" w:cs="Arial"/>
          <w:lang w:val="en-US"/>
        </w:rPr>
        <w:t xml:space="preserve"> processing</w:t>
      </w:r>
      <w:r w:rsidRPr="00185F85">
        <w:rPr>
          <w:rFonts w:ascii="Arial" w:hAnsi="Arial" w:cs="Arial"/>
          <w:lang w:val="en-US"/>
        </w:rPr>
        <w:t xml:space="preserve"> and determination of</w:t>
      </w:r>
      <w:r w:rsidR="00E64EA0" w:rsidRPr="00185F85">
        <w:rPr>
          <w:rFonts w:ascii="Arial" w:hAnsi="Arial" w:cs="Arial"/>
          <w:lang w:val="en-US"/>
        </w:rPr>
        <w:t xml:space="preserve"> Settlement </w:t>
      </w:r>
      <w:r w:rsidR="002C1309" w:rsidRPr="00185F85">
        <w:rPr>
          <w:rFonts w:ascii="Arial" w:hAnsi="Arial" w:cs="Arial"/>
          <w:lang w:val="en-US"/>
        </w:rPr>
        <w:t>Queries</w:t>
      </w:r>
      <w:r w:rsidRPr="00185F85">
        <w:rPr>
          <w:rFonts w:ascii="Arial" w:hAnsi="Arial" w:cs="Arial"/>
          <w:lang w:val="en-US"/>
        </w:rPr>
        <w:t xml:space="preserve">; and </w:t>
      </w:r>
    </w:p>
    <w:p w14:paraId="24102421" w14:textId="77777777" w:rsidR="00E47AAC" w:rsidRPr="00185F85" w:rsidRDefault="00974E29" w:rsidP="1CAE5838">
      <w:pPr>
        <w:pStyle w:val="Body1"/>
        <w:numPr>
          <w:ilvl w:val="0"/>
          <w:numId w:val="12"/>
        </w:numPr>
        <w:tabs>
          <w:tab w:val="num" w:pos="720"/>
        </w:tabs>
        <w:spacing w:before="120" w:after="120"/>
        <w:ind w:left="720"/>
        <w:jc w:val="both"/>
        <w:rPr>
          <w:rFonts w:ascii="Arial" w:hAnsi="Arial" w:cs="Arial"/>
        </w:rPr>
      </w:pPr>
      <w:r w:rsidRPr="1CAE5838">
        <w:rPr>
          <w:rFonts w:ascii="Arial" w:hAnsi="Arial" w:cs="Arial"/>
        </w:rPr>
        <w:t>corrective actions following determination of Settlement Quer</w:t>
      </w:r>
      <w:r w:rsidR="00EE7C93" w:rsidRPr="1CAE5838">
        <w:rPr>
          <w:rFonts w:ascii="Arial" w:hAnsi="Arial" w:cs="Arial"/>
        </w:rPr>
        <w:t>ies</w:t>
      </w:r>
      <w:r w:rsidR="00E64EA0" w:rsidRPr="1CAE5838">
        <w:rPr>
          <w:rFonts w:ascii="Arial" w:hAnsi="Arial" w:cs="Arial"/>
        </w:rPr>
        <w:t xml:space="preserve">.  </w:t>
      </w:r>
    </w:p>
    <w:p w14:paraId="24102422" w14:textId="77777777" w:rsidR="00F90D28" w:rsidRDefault="001B36D8" w:rsidP="00C8396F">
      <w:pPr>
        <w:pStyle w:val="Body1"/>
        <w:spacing w:before="120" w:after="120"/>
        <w:jc w:val="both"/>
        <w:rPr>
          <w:rFonts w:ascii="Arial" w:hAnsi="Arial" w:cs="Arial"/>
          <w:lang w:val="en-IE"/>
        </w:rPr>
      </w:pPr>
      <w:r>
        <w:rPr>
          <w:rFonts w:ascii="Arial" w:hAnsi="Arial" w:cs="Arial"/>
          <w:lang w:val="en-IE"/>
        </w:rPr>
        <w:t>This Agreed Procedure</w:t>
      </w:r>
      <w:r w:rsidR="00F90D28" w:rsidRPr="00185F85">
        <w:rPr>
          <w:rFonts w:ascii="Arial" w:hAnsi="Arial" w:cs="Arial"/>
          <w:lang w:val="en-IE"/>
        </w:rPr>
        <w:t xml:space="preserve"> forms an annex to, and is governed by, the Code. This document </w:t>
      </w:r>
      <w:r>
        <w:rPr>
          <w:rFonts w:ascii="Arial" w:hAnsi="Arial" w:cs="Arial"/>
          <w:lang w:val="en-IE"/>
        </w:rPr>
        <w:t>set</w:t>
      </w:r>
      <w:r w:rsidR="008266C4">
        <w:rPr>
          <w:rFonts w:ascii="Arial" w:hAnsi="Arial" w:cs="Arial"/>
          <w:lang w:val="en-IE"/>
        </w:rPr>
        <w:t>s out procedures to be followed</w:t>
      </w:r>
      <w:r>
        <w:rPr>
          <w:rFonts w:ascii="Arial" w:hAnsi="Arial" w:cs="Arial"/>
          <w:lang w:val="en-IE"/>
        </w:rPr>
        <w:t xml:space="preserve"> subject to</w:t>
      </w:r>
      <w:r w:rsidR="00E417EF" w:rsidRPr="00185F85">
        <w:rPr>
          <w:rFonts w:ascii="Arial" w:hAnsi="Arial" w:cs="Arial"/>
          <w:lang w:val="en-IE"/>
        </w:rPr>
        <w:t xml:space="preserve"> </w:t>
      </w:r>
      <w:r w:rsidR="00A86C9C">
        <w:rPr>
          <w:rFonts w:ascii="Arial" w:hAnsi="Arial" w:cs="Arial"/>
          <w:lang w:val="en-IE"/>
        </w:rPr>
        <w:t xml:space="preserve">the </w:t>
      </w:r>
      <w:r w:rsidR="00A86C9C" w:rsidRPr="00185F85">
        <w:rPr>
          <w:rFonts w:ascii="Arial" w:hAnsi="Arial" w:cs="Arial"/>
          <w:lang w:val="en-IE"/>
        </w:rPr>
        <w:t>rights</w:t>
      </w:r>
      <w:r w:rsidR="00F90D28" w:rsidRPr="00185F85">
        <w:rPr>
          <w:rFonts w:ascii="Arial" w:hAnsi="Arial" w:cs="Arial"/>
          <w:lang w:val="en-IE"/>
        </w:rPr>
        <w:t xml:space="preserve"> and obligations</w:t>
      </w:r>
      <w:r w:rsidR="00E417EF" w:rsidRPr="00185F85">
        <w:rPr>
          <w:rFonts w:ascii="Arial" w:hAnsi="Arial" w:cs="Arial"/>
          <w:lang w:val="en-IE"/>
        </w:rPr>
        <w:t xml:space="preserve"> </w:t>
      </w:r>
      <w:r w:rsidR="008266C4">
        <w:rPr>
          <w:rFonts w:ascii="Arial" w:hAnsi="Arial" w:cs="Arial"/>
          <w:lang w:val="en-IE"/>
        </w:rPr>
        <w:t xml:space="preserve">of </w:t>
      </w:r>
      <w:r w:rsidR="000A37E1">
        <w:rPr>
          <w:rFonts w:ascii="Arial" w:hAnsi="Arial" w:cs="Arial"/>
          <w:lang w:val="en-IE"/>
        </w:rPr>
        <w:t>Parties under</w:t>
      </w:r>
      <w:r w:rsidR="00F90D28" w:rsidRPr="00185F85">
        <w:rPr>
          <w:rFonts w:ascii="Arial" w:hAnsi="Arial" w:cs="Arial"/>
          <w:lang w:val="en-IE"/>
        </w:rPr>
        <w:t xml:space="preserve"> the </w:t>
      </w:r>
      <w:r w:rsidR="00E417EF" w:rsidRPr="00185F85">
        <w:rPr>
          <w:rFonts w:ascii="Arial" w:hAnsi="Arial" w:cs="Arial"/>
          <w:lang w:val="en-IE"/>
        </w:rPr>
        <w:t>Code.</w:t>
      </w:r>
      <w:r w:rsidR="007E6413">
        <w:rPr>
          <w:rFonts w:ascii="Arial" w:hAnsi="Arial" w:cs="Arial"/>
          <w:lang w:val="en-IE"/>
        </w:rPr>
        <w:t xml:space="preserve"> </w:t>
      </w:r>
      <w:r w:rsidR="007E6413" w:rsidRPr="007E6413">
        <w:rPr>
          <w:rFonts w:ascii="Arial" w:hAnsi="Arial" w:cs="Arial"/>
          <w:lang w:val="en-IE"/>
        </w:rPr>
        <w:t>In the event of any conflict between a Party’s obligations set out in the Code and this Agreed Procedure, the Code shall take precedence.</w:t>
      </w:r>
      <w:r w:rsidR="007E6413">
        <w:rPr>
          <w:rFonts w:ascii="Arial" w:hAnsi="Arial" w:cs="Arial"/>
          <w:lang w:val="en-IE"/>
        </w:rPr>
        <w:t xml:space="preserve"> </w:t>
      </w:r>
    </w:p>
    <w:p w14:paraId="24102423" w14:textId="77777777" w:rsidR="001B36D8" w:rsidRPr="00B00CB7" w:rsidRDefault="001B36D8" w:rsidP="001B36D8">
      <w:pPr>
        <w:pStyle w:val="Body1"/>
        <w:spacing w:before="120" w:after="120"/>
        <w:jc w:val="both"/>
        <w:rPr>
          <w:rFonts w:ascii="Arial" w:hAnsi="Arial" w:cs="Arial"/>
          <w:lang w:val="en-IE"/>
        </w:rPr>
      </w:pPr>
      <w:bookmarkStart w:id="17" w:name="_Toc466536386"/>
      <w:r w:rsidRPr="00B00CB7">
        <w:rPr>
          <w:rFonts w:ascii="Arial" w:hAnsi="Arial" w:cs="Arial"/>
          <w:lang w:val="en-IE"/>
        </w:rPr>
        <w:t>It is not intended that there be any inconsistency or conflict between section 2 “Overview” and section 3 “Procedural Steps”. However, in the event of any inconsistency or conflict, section 3 “Procedural Steps” shall take precedence.</w:t>
      </w:r>
      <w:bookmarkEnd w:id="17"/>
    </w:p>
    <w:p w14:paraId="24102424" w14:textId="77777777" w:rsidR="001B36D8" w:rsidRPr="00B00CB7" w:rsidRDefault="001B36D8" w:rsidP="001B36D8">
      <w:pPr>
        <w:pStyle w:val="Body1"/>
        <w:spacing w:before="120" w:after="120"/>
        <w:jc w:val="both"/>
        <w:rPr>
          <w:rFonts w:ascii="Arial" w:hAnsi="Arial" w:cs="Arial"/>
          <w:lang w:val="en-IE"/>
        </w:rPr>
      </w:pPr>
      <w:r w:rsidRPr="00B00CB7">
        <w:rPr>
          <w:rFonts w:ascii="Arial" w:hAnsi="Arial" w:cs="Arial"/>
          <w:lang w:val="en-IE"/>
        </w:rPr>
        <w:t xml:space="preserve">In section 3 “Procedural Steps” a corresponding process flow diagram </w:t>
      </w:r>
      <w:r>
        <w:rPr>
          <w:rFonts w:ascii="Arial" w:hAnsi="Arial" w:cs="Arial"/>
          <w:lang w:val="en-IE"/>
        </w:rPr>
        <w:t>is</w:t>
      </w:r>
      <w:r w:rsidRPr="00B00CB7">
        <w:rPr>
          <w:rFonts w:ascii="Arial" w:hAnsi="Arial" w:cs="Arial"/>
          <w:lang w:val="en-IE"/>
        </w:rPr>
        <w:t xml:space="preserve"> included for each procedural steps table.  Process flow diagrams are for illustrative purposes.  It is not intended that there be any inconsistency or conflict between any procedural steps table and process flow diagram however, in the event of any inconsistency or conflict, a procedural steps table shall take precedence.</w:t>
      </w:r>
    </w:p>
    <w:p w14:paraId="24102425" w14:textId="77777777" w:rsidR="00427EE1" w:rsidRPr="001267B9" w:rsidRDefault="00427EE1" w:rsidP="00C8396F">
      <w:pPr>
        <w:pStyle w:val="Body1"/>
        <w:jc w:val="both"/>
        <w:rPr>
          <w:rFonts w:ascii="Arial" w:hAnsi="Arial" w:cs="Arial"/>
          <w:lang w:val="en-IE"/>
        </w:rPr>
      </w:pPr>
    </w:p>
    <w:p w14:paraId="24102426" w14:textId="77777777" w:rsidR="00DB498B" w:rsidRPr="001267B9" w:rsidRDefault="00DB498B" w:rsidP="00D73B9D">
      <w:pPr>
        <w:pStyle w:val="APNUMHEAD3"/>
        <w:numPr>
          <w:ilvl w:val="1"/>
          <w:numId w:val="9"/>
        </w:numPr>
        <w:spacing w:before="120" w:after="240"/>
        <w:jc w:val="both"/>
      </w:pPr>
      <w:bookmarkStart w:id="18" w:name="_Toc22359370"/>
      <w:bookmarkStart w:id="19" w:name="_Toc22545099"/>
      <w:bookmarkStart w:id="20" w:name="_Toc22548623"/>
      <w:bookmarkStart w:id="21" w:name="_Toc22548715"/>
      <w:bookmarkStart w:id="22" w:name="_Toc139788472"/>
      <w:bookmarkStart w:id="23" w:name="_Toc465936519"/>
      <w:bookmarkStart w:id="24" w:name="_Toc477420695"/>
      <w:bookmarkStart w:id="25" w:name="_Toc478995229"/>
      <w:r w:rsidRPr="001267B9">
        <w:t>Definitions</w:t>
      </w:r>
      <w:bookmarkEnd w:id="18"/>
      <w:bookmarkEnd w:id="19"/>
      <w:bookmarkEnd w:id="20"/>
      <w:bookmarkEnd w:id="21"/>
      <w:bookmarkEnd w:id="22"/>
      <w:bookmarkEnd w:id="23"/>
      <w:bookmarkEnd w:id="24"/>
      <w:bookmarkEnd w:id="25"/>
    </w:p>
    <w:p w14:paraId="24102427" w14:textId="77777777" w:rsidR="00DB498B" w:rsidRPr="00185F85" w:rsidRDefault="00B834F7" w:rsidP="00C8396F">
      <w:pPr>
        <w:pStyle w:val="Body1"/>
        <w:spacing w:before="120" w:after="120"/>
        <w:jc w:val="both"/>
        <w:rPr>
          <w:rFonts w:ascii="Arial" w:hAnsi="Arial" w:cs="Arial"/>
          <w:lang w:val="en-IE"/>
        </w:rPr>
      </w:pPr>
      <w:r w:rsidRPr="00185F85">
        <w:rPr>
          <w:rFonts w:ascii="Arial" w:hAnsi="Arial" w:cs="Arial"/>
          <w:lang w:val="en-IE"/>
        </w:rPr>
        <w:t>Words and expressions defined in the Code shall, unless the context otherwise requires or unless otherwise defined herein, have the same meanings when used in this Agreed Procedure.</w:t>
      </w:r>
      <w:r w:rsidR="00B90DF3" w:rsidRPr="00185F85">
        <w:rPr>
          <w:rFonts w:ascii="Arial" w:hAnsi="Arial" w:cs="Arial"/>
          <w:lang w:val="en-IE"/>
        </w:rPr>
        <w:t xml:space="preserve"> </w:t>
      </w:r>
    </w:p>
    <w:p w14:paraId="24102428" w14:textId="77777777" w:rsidR="00DB498B" w:rsidRPr="00185F85" w:rsidRDefault="00DB498B" w:rsidP="00C8396F">
      <w:pPr>
        <w:pStyle w:val="Body1"/>
        <w:spacing w:before="120" w:after="120"/>
        <w:jc w:val="both"/>
        <w:rPr>
          <w:rFonts w:ascii="Arial" w:hAnsi="Arial" w:cs="Arial"/>
          <w:lang w:val="en-IE"/>
        </w:rPr>
      </w:pPr>
      <w:r w:rsidRPr="00185F85">
        <w:rPr>
          <w:rFonts w:ascii="Arial" w:hAnsi="Arial" w:cs="Arial"/>
          <w:lang w:val="en-IE"/>
        </w:rPr>
        <w:t>References to particular sections relate internally to this Agreed Procedure unless specifically noted.</w:t>
      </w:r>
    </w:p>
    <w:p w14:paraId="24102429" w14:textId="77777777" w:rsidR="00F90D28" w:rsidRPr="001267B9" w:rsidRDefault="00F90D28" w:rsidP="00C8396F">
      <w:pPr>
        <w:pStyle w:val="Body1"/>
        <w:jc w:val="both"/>
        <w:rPr>
          <w:rFonts w:ascii="Arial" w:hAnsi="Arial" w:cs="Arial"/>
          <w:lang w:val="en-IE"/>
        </w:rPr>
      </w:pPr>
    </w:p>
    <w:p w14:paraId="2410242A" w14:textId="77777777" w:rsidR="00F90D28" w:rsidRPr="001267B9" w:rsidRDefault="00F90D28" w:rsidP="00D73B9D">
      <w:pPr>
        <w:pStyle w:val="APNUMHEAD3"/>
        <w:numPr>
          <w:ilvl w:val="1"/>
          <w:numId w:val="9"/>
        </w:numPr>
        <w:spacing w:before="120" w:after="240"/>
        <w:jc w:val="both"/>
      </w:pPr>
      <w:bookmarkStart w:id="26" w:name="_Toc22548719"/>
      <w:bookmarkStart w:id="27" w:name="_Toc139788475"/>
      <w:bookmarkStart w:id="28" w:name="_Toc465936520"/>
      <w:bookmarkStart w:id="29" w:name="_Toc477420696"/>
      <w:bookmarkStart w:id="30" w:name="_Toc478995230"/>
      <w:r w:rsidRPr="001267B9">
        <w:t xml:space="preserve">Compliance </w:t>
      </w:r>
      <w:r w:rsidR="00B96C9D">
        <w:t>w</w:t>
      </w:r>
      <w:r w:rsidR="004F3507" w:rsidRPr="001267B9">
        <w:t xml:space="preserve">ith </w:t>
      </w:r>
      <w:r w:rsidRPr="001267B9">
        <w:t>Agreed Procedure</w:t>
      </w:r>
      <w:bookmarkEnd w:id="26"/>
      <w:bookmarkEnd w:id="27"/>
      <w:bookmarkEnd w:id="28"/>
      <w:bookmarkEnd w:id="29"/>
      <w:bookmarkEnd w:id="30"/>
    </w:p>
    <w:p w14:paraId="2410242B" w14:textId="77777777" w:rsidR="008B0947" w:rsidRPr="00185F85" w:rsidRDefault="00F90D28" w:rsidP="008B0947">
      <w:pPr>
        <w:pStyle w:val="Body1"/>
        <w:spacing w:before="120" w:after="120"/>
        <w:jc w:val="both"/>
        <w:rPr>
          <w:rFonts w:ascii="Arial" w:hAnsi="Arial" w:cs="Arial"/>
          <w:lang w:val="en-IE"/>
        </w:rPr>
      </w:pPr>
      <w:r w:rsidRPr="00185F85">
        <w:rPr>
          <w:rFonts w:ascii="Arial" w:hAnsi="Arial" w:cs="Arial"/>
          <w:lang w:val="en-IE"/>
        </w:rPr>
        <w:t xml:space="preserve">Compliance with this Agreed Procedure is required under the terms as set out in </w:t>
      </w:r>
      <w:r w:rsidR="002F1CAC" w:rsidRPr="00185F85">
        <w:rPr>
          <w:rFonts w:ascii="Arial" w:hAnsi="Arial" w:cs="Arial"/>
          <w:lang w:val="en-IE"/>
        </w:rPr>
        <w:t>the Code</w:t>
      </w:r>
      <w:r w:rsidRPr="00185F85">
        <w:rPr>
          <w:rFonts w:ascii="Arial" w:hAnsi="Arial" w:cs="Arial"/>
          <w:lang w:val="en-IE"/>
        </w:rPr>
        <w:t>.</w:t>
      </w:r>
    </w:p>
    <w:p w14:paraId="2410242C" w14:textId="77777777" w:rsidR="008B0947" w:rsidRPr="008B0947" w:rsidRDefault="008B0947" w:rsidP="008B0947">
      <w:pPr>
        <w:pStyle w:val="Body1"/>
        <w:spacing w:before="120" w:after="120"/>
        <w:jc w:val="both"/>
        <w:rPr>
          <w:rFonts w:ascii="Arial" w:hAnsi="Arial" w:cs="Arial"/>
          <w:lang w:val="en-US"/>
        </w:rPr>
      </w:pPr>
    </w:p>
    <w:p w14:paraId="2410242D" w14:textId="77777777" w:rsidR="00427EE1" w:rsidRPr="00B96C9D" w:rsidRDefault="008B0947" w:rsidP="00D73B9D">
      <w:pPr>
        <w:pStyle w:val="APNUMHEAD1"/>
        <w:numPr>
          <w:ilvl w:val="0"/>
          <w:numId w:val="9"/>
        </w:numPr>
        <w:tabs>
          <w:tab w:val="clear" w:pos="851"/>
          <w:tab w:val="num" w:pos="990"/>
        </w:tabs>
        <w:overflowPunct w:val="0"/>
        <w:autoSpaceDE w:val="0"/>
        <w:autoSpaceDN w:val="0"/>
        <w:adjustRightInd w:val="0"/>
        <w:spacing w:after="360"/>
        <w:ind w:left="994" w:hanging="994"/>
        <w:jc w:val="both"/>
        <w:textAlignment w:val="baseline"/>
        <w:outlineLvl w:val="0"/>
        <w:rPr>
          <w:rFonts w:cs="Arial"/>
          <w:bCs/>
          <w:kern w:val="28"/>
          <w:szCs w:val="28"/>
          <w:lang w:val="en-IE" w:eastAsia="en-GB"/>
        </w:rPr>
      </w:pPr>
      <w:bookmarkStart w:id="31" w:name="_Toc465936521"/>
      <w:bookmarkStart w:id="32" w:name="_Toc465936522"/>
      <w:bookmarkStart w:id="33" w:name="_Toc465936523"/>
      <w:bookmarkStart w:id="34" w:name="_Toc164279681"/>
      <w:bookmarkStart w:id="35" w:name="_Toc164279682"/>
      <w:bookmarkStart w:id="36" w:name="_Toc164279683"/>
      <w:bookmarkStart w:id="37" w:name="_Toc164279684"/>
      <w:bookmarkStart w:id="38" w:name="_Toc164279685"/>
      <w:bookmarkStart w:id="39" w:name="_Toc164279686"/>
      <w:bookmarkStart w:id="40" w:name="_Toc164279687"/>
      <w:bookmarkStart w:id="41" w:name="_Toc164279688"/>
      <w:bookmarkStart w:id="42" w:name="_Toc164279689"/>
      <w:bookmarkStart w:id="43" w:name="_Toc164279690"/>
      <w:bookmarkStart w:id="44" w:name="_Toc164279691"/>
      <w:bookmarkStart w:id="45" w:name="_Toc164279692"/>
      <w:bookmarkStart w:id="46" w:name="_Toc164279693"/>
      <w:bookmarkStart w:id="47" w:name="_Toc164279694"/>
      <w:bookmarkStart w:id="48" w:name="_Toc164279695"/>
      <w:bookmarkStart w:id="49" w:name="_Toc164279696"/>
      <w:bookmarkStart w:id="50" w:name="_Toc164279697"/>
      <w:bookmarkStart w:id="51" w:name="_Toc164279698"/>
      <w:bookmarkStart w:id="52" w:name="_Toc164279699"/>
      <w:bookmarkStart w:id="53" w:name="_Toc164279700"/>
      <w:bookmarkStart w:id="54" w:name="_Toc164279701"/>
      <w:bookmarkStart w:id="55" w:name="_Toc164279702"/>
      <w:bookmarkStart w:id="56" w:name="_Toc164279707"/>
      <w:bookmarkStart w:id="57" w:name="_Toc164279709"/>
      <w:bookmarkStart w:id="58" w:name="_Toc164279710"/>
      <w:bookmarkStart w:id="59" w:name="_Toc164279711"/>
      <w:bookmarkStart w:id="60" w:name="_Toc465936524"/>
      <w:bookmarkStart w:id="61" w:name="_Toc477420697"/>
      <w:bookmarkStart w:id="62" w:name="_Toc47899523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cs="Arial"/>
          <w:bCs/>
          <w:kern w:val="28"/>
          <w:szCs w:val="28"/>
          <w:lang w:val="en-IE" w:eastAsia="en-GB"/>
        </w:rPr>
        <w:lastRenderedPageBreak/>
        <w:t>O</w:t>
      </w:r>
      <w:r w:rsidR="002C7476" w:rsidRPr="00B96C9D">
        <w:rPr>
          <w:rFonts w:cs="Arial"/>
          <w:bCs/>
          <w:kern w:val="28"/>
          <w:szCs w:val="28"/>
          <w:lang w:val="en-IE" w:eastAsia="en-GB"/>
        </w:rPr>
        <w:t>verview</w:t>
      </w:r>
      <w:bookmarkEnd w:id="60"/>
      <w:bookmarkEnd w:id="61"/>
      <w:bookmarkEnd w:id="62"/>
    </w:p>
    <w:p w14:paraId="2410242E" w14:textId="77777777" w:rsidR="00CB2B21" w:rsidRPr="001267B9" w:rsidRDefault="00CB2B21" w:rsidP="00D73B9D">
      <w:pPr>
        <w:pStyle w:val="APNUMHEAD3"/>
        <w:numPr>
          <w:ilvl w:val="1"/>
          <w:numId w:val="9"/>
        </w:numPr>
        <w:spacing w:before="120" w:after="240"/>
        <w:jc w:val="both"/>
      </w:pPr>
      <w:bookmarkStart w:id="63" w:name="_Toc462901077"/>
      <w:bookmarkStart w:id="64" w:name="_Toc462901078"/>
      <w:bookmarkStart w:id="65" w:name="_Toc462901079"/>
      <w:bookmarkStart w:id="66" w:name="_Toc462901080"/>
      <w:bookmarkStart w:id="67" w:name="_Toc462901081"/>
      <w:bookmarkStart w:id="68" w:name="_Toc462901082"/>
      <w:bookmarkStart w:id="69" w:name="_Toc462901083"/>
      <w:bookmarkStart w:id="70" w:name="_Toc462901084"/>
      <w:bookmarkStart w:id="71" w:name="_Toc462901085"/>
      <w:bookmarkStart w:id="72" w:name="_Toc462901086"/>
      <w:bookmarkStart w:id="73" w:name="_Toc462901087"/>
      <w:bookmarkStart w:id="74" w:name="_Toc462901088"/>
      <w:bookmarkStart w:id="75" w:name="_Toc462901089"/>
      <w:bookmarkStart w:id="76" w:name="_Toc462901090"/>
      <w:bookmarkStart w:id="77" w:name="_Toc462901091"/>
      <w:bookmarkStart w:id="78" w:name="_Toc462901092"/>
      <w:bookmarkStart w:id="79" w:name="_Toc462901093"/>
      <w:bookmarkStart w:id="80" w:name="_Toc462901094"/>
      <w:bookmarkStart w:id="81" w:name="_Toc462901095"/>
      <w:bookmarkStart w:id="82" w:name="_Toc462901096"/>
      <w:bookmarkStart w:id="83" w:name="_Toc462901097"/>
      <w:bookmarkStart w:id="84" w:name="_Toc462901098"/>
      <w:bookmarkStart w:id="85" w:name="_Toc462901099"/>
      <w:bookmarkStart w:id="86" w:name="_Toc462901100"/>
      <w:bookmarkStart w:id="87" w:name="_Toc462901101"/>
      <w:bookmarkStart w:id="88" w:name="_Toc462901102"/>
      <w:bookmarkStart w:id="89" w:name="_Toc462901103"/>
      <w:bookmarkStart w:id="90" w:name="_Toc462901104"/>
      <w:bookmarkStart w:id="91" w:name="_Toc462901105"/>
      <w:bookmarkStart w:id="92" w:name="_Toc462901106"/>
      <w:bookmarkStart w:id="93" w:name="_Toc462901107"/>
      <w:bookmarkStart w:id="94" w:name="_Toc462901108"/>
      <w:bookmarkStart w:id="95" w:name="_Toc462901109"/>
      <w:bookmarkStart w:id="96" w:name="_Toc462901110"/>
      <w:bookmarkStart w:id="97" w:name="_Toc462901111"/>
      <w:bookmarkStart w:id="98" w:name="_Toc462901112"/>
      <w:bookmarkStart w:id="99" w:name="_Toc462901113"/>
      <w:bookmarkStart w:id="100" w:name="_Toc462901114"/>
      <w:bookmarkStart w:id="101" w:name="_Toc462901115"/>
      <w:bookmarkStart w:id="102" w:name="_Toc462901116"/>
      <w:bookmarkStart w:id="103" w:name="_Toc462901117"/>
      <w:bookmarkStart w:id="104" w:name="_Toc462901118"/>
      <w:bookmarkStart w:id="105" w:name="_Toc462901119"/>
      <w:bookmarkStart w:id="106" w:name="_Toc462901120"/>
      <w:bookmarkStart w:id="107" w:name="_Toc462901121"/>
      <w:bookmarkStart w:id="108" w:name="_Toc462901122"/>
      <w:bookmarkStart w:id="109" w:name="_Toc462901123"/>
      <w:bookmarkStart w:id="110" w:name="_Toc462901124"/>
      <w:bookmarkStart w:id="111" w:name="_Toc462901125"/>
      <w:bookmarkStart w:id="112" w:name="_Toc462901126"/>
      <w:bookmarkStart w:id="113" w:name="_Toc462901127"/>
      <w:bookmarkStart w:id="114" w:name="_Toc462901128"/>
      <w:bookmarkStart w:id="115" w:name="_Toc462901129"/>
      <w:bookmarkStart w:id="116" w:name="_Toc462901130"/>
      <w:bookmarkStart w:id="117" w:name="_Toc462901131"/>
      <w:bookmarkStart w:id="118" w:name="_Toc462901132"/>
      <w:bookmarkStart w:id="119" w:name="_Toc462901133"/>
      <w:bookmarkStart w:id="120" w:name="_Toc462901134"/>
      <w:bookmarkStart w:id="121" w:name="_Toc462901135"/>
      <w:bookmarkStart w:id="122" w:name="_Toc462901136"/>
      <w:bookmarkStart w:id="123" w:name="_Toc462901137"/>
      <w:bookmarkStart w:id="124" w:name="_Toc462901138"/>
      <w:bookmarkStart w:id="125" w:name="_Toc462901139"/>
      <w:bookmarkStart w:id="126" w:name="_Toc462901140"/>
      <w:bookmarkStart w:id="127" w:name="_Toc462901141"/>
      <w:bookmarkStart w:id="128" w:name="_Toc462901142"/>
      <w:bookmarkStart w:id="129" w:name="_Toc462901143"/>
      <w:bookmarkStart w:id="130" w:name="_Toc462901144"/>
      <w:bookmarkStart w:id="131" w:name="_Toc462901145"/>
      <w:bookmarkStart w:id="132" w:name="_Toc462901146"/>
      <w:bookmarkStart w:id="133" w:name="_Toc462901147"/>
      <w:bookmarkStart w:id="134" w:name="_Toc465936525"/>
      <w:bookmarkStart w:id="135" w:name="_Toc477420698"/>
      <w:bookmarkStart w:id="136" w:name="_Toc4789952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1267B9">
        <w:t>Raising Settlement Que</w:t>
      </w:r>
      <w:r w:rsidRPr="00B96C9D">
        <w:t>rie</w:t>
      </w:r>
      <w:r w:rsidRPr="001267B9">
        <w:t>s</w:t>
      </w:r>
      <w:bookmarkEnd w:id="134"/>
      <w:bookmarkEnd w:id="135"/>
      <w:bookmarkEnd w:id="136"/>
    </w:p>
    <w:p w14:paraId="2410242F" w14:textId="77777777" w:rsidR="00A35F7B" w:rsidRPr="009B221F" w:rsidRDefault="00CD4987" w:rsidP="00B96C9D">
      <w:pPr>
        <w:pStyle w:val="Body1"/>
        <w:spacing w:before="120" w:after="120"/>
        <w:jc w:val="both"/>
        <w:rPr>
          <w:rFonts w:ascii="Arial" w:hAnsi="Arial" w:cs="Arial"/>
          <w:lang w:val="en-IE"/>
        </w:rPr>
      </w:pPr>
      <w:r w:rsidRPr="009B221F">
        <w:rPr>
          <w:rFonts w:ascii="Arial" w:hAnsi="Arial" w:cs="Arial"/>
          <w:lang w:val="en-IE"/>
        </w:rPr>
        <w:t xml:space="preserve">A Settlement Query is a query in respect of the correctness </w:t>
      </w:r>
      <w:r w:rsidR="00102EAC" w:rsidRPr="009B221F">
        <w:rPr>
          <w:rFonts w:ascii="Arial" w:hAnsi="Arial" w:cs="Arial"/>
          <w:lang w:val="en-IE"/>
        </w:rPr>
        <w:t>of</w:t>
      </w:r>
      <w:r w:rsidR="00261DCB" w:rsidRPr="009B221F">
        <w:rPr>
          <w:rFonts w:ascii="Arial" w:hAnsi="Arial" w:cs="Arial"/>
          <w:lang w:val="en-IE"/>
        </w:rPr>
        <w:t xml:space="preserve"> any one or more of the amounts set out at paragraph G.3.2.5 of the Code</w:t>
      </w:r>
      <w:r w:rsidR="00085ECD" w:rsidRPr="009B221F">
        <w:rPr>
          <w:rFonts w:ascii="Arial" w:hAnsi="Arial" w:cs="Arial"/>
          <w:lang w:val="en-IE"/>
        </w:rPr>
        <w:t xml:space="preserve"> (subject to paragraph G.3.2.6 of the Code)</w:t>
      </w:r>
      <w:r w:rsidR="00102EAC" w:rsidRPr="009B221F">
        <w:rPr>
          <w:rFonts w:ascii="Arial" w:hAnsi="Arial" w:cs="Arial"/>
          <w:lang w:val="en-IE"/>
        </w:rPr>
        <w:t xml:space="preserve"> </w:t>
      </w:r>
      <w:r w:rsidR="00CB2B21" w:rsidRPr="009B221F">
        <w:rPr>
          <w:rFonts w:ascii="Arial" w:hAnsi="Arial" w:cs="Arial"/>
          <w:lang w:val="en-IE"/>
        </w:rPr>
        <w:t xml:space="preserve">and may span a number of Settlement Days (e.g. a metering fault affecting a number of meters over an extended period).  </w:t>
      </w:r>
      <w:r w:rsidR="00AE3A5C" w:rsidRPr="009B221F">
        <w:rPr>
          <w:rFonts w:ascii="Arial" w:hAnsi="Arial" w:cs="Arial"/>
          <w:lang w:val="en-IE"/>
        </w:rPr>
        <w:t xml:space="preserve">In order to raise a Settlement Query, the Raising Party shall complete </w:t>
      </w:r>
      <w:r w:rsidR="00261DCB" w:rsidRPr="009B221F">
        <w:rPr>
          <w:rFonts w:ascii="Arial" w:hAnsi="Arial" w:cs="Arial"/>
          <w:lang w:val="en-IE"/>
        </w:rPr>
        <w:t>the Settlement Query F</w:t>
      </w:r>
      <w:r w:rsidR="00A27802" w:rsidRPr="009B221F">
        <w:rPr>
          <w:rFonts w:ascii="Arial" w:hAnsi="Arial" w:cs="Arial"/>
          <w:lang w:val="en-IE"/>
        </w:rPr>
        <w:t xml:space="preserve">orm </w:t>
      </w:r>
      <w:r w:rsidR="00894F9F">
        <w:rPr>
          <w:rFonts w:ascii="Arial" w:hAnsi="Arial" w:cs="Arial"/>
          <w:lang w:val="en-IE"/>
        </w:rPr>
        <w:t>available on the Market Operator’s website</w:t>
      </w:r>
      <w:r w:rsidR="00A27802" w:rsidRPr="009B221F">
        <w:rPr>
          <w:rFonts w:ascii="Arial" w:hAnsi="Arial" w:cs="Arial"/>
          <w:lang w:val="en-IE"/>
        </w:rPr>
        <w:t xml:space="preserve">, </w:t>
      </w:r>
      <w:r w:rsidR="00AE3A5C" w:rsidRPr="009B221F">
        <w:rPr>
          <w:rFonts w:ascii="Arial" w:hAnsi="Arial" w:cs="Arial"/>
          <w:lang w:val="en-IE"/>
        </w:rPr>
        <w:t>and deliver it to the Help</w:t>
      </w:r>
      <w:r w:rsidR="009133EA" w:rsidRPr="009B221F">
        <w:rPr>
          <w:rFonts w:ascii="Arial" w:hAnsi="Arial" w:cs="Arial"/>
          <w:lang w:val="en-IE"/>
        </w:rPr>
        <w:t>d</w:t>
      </w:r>
      <w:r w:rsidR="00AE3A5C" w:rsidRPr="009B221F">
        <w:rPr>
          <w:rFonts w:ascii="Arial" w:hAnsi="Arial" w:cs="Arial"/>
          <w:lang w:val="en-IE"/>
        </w:rPr>
        <w:t xml:space="preserve">esk </w:t>
      </w:r>
      <w:r w:rsidR="00163D49" w:rsidRPr="009B221F">
        <w:rPr>
          <w:rFonts w:ascii="Arial" w:hAnsi="Arial" w:cs="Arial"/>
          <w:lang w:val="en-IE"/>
        </w:rPr>
        <w:t xml:space="preserve">by registered </w:t>
      </w:r>
      <w:r w:rsidR="00261DCB" w:rsidRPr="009B221F">
        <w:rPr>
          <w:rFonts w:ascii="Arial" w:hAnsi="Arial" w:cs="Arial"/>
          <w:lang w:val="en-IE"/>
        </w:rPr>
        <w:t>post</w:t>
      </w:r>
      <w:r w:rsidR="00163D49" w:rsidRPr="009B221F">
        <w:rPr>
          <w:rFonts w:ascii="Arial" w:hAnsi="Arial" w:cs="Arial"/>
          <w:lang w:val="en-IE"/>
        </w:rPr>
        <w:t xml:space="preserve">, </w:t>
      </w:r>
      <w:r w:rsidR="00197337">
        <w:rPr>
          <w:rFonts w:ascii="Arial" w:hAnsi="Arial" w:cs="Arial"/>
          <w:lang w:val="en-IE"/>
        </w:rPr>
        <w:t>facsimile</w:t>
      </w:r>
      <w:r w:rsidR="00163D49" w:rsidRPr="009B221F">
        <w:rPr>
          <w:rFonts w:ascii="Arial" w:hAnsi="Arial" w:cs="Arial"/>
          <w:lang w:val="en-IE"/>
        </w:rPr>
        <w:t xml:space="preserve"> or email. Settlement Queries </w:t>
      </w:r>
      <w:r w:rsidR="007541F6">
        <w:rPr>
          <w:rFonts w:ascii="Arial" w:hAnsi="Arial" w:cs="Arial"/>
          <w:lang w:val="en-IE"/>
        </w:rPr>
        <w:t xml:space="preserve">shall </w:t>
      </w:r>
      <w:r w:rsidR="00163D49" w:rsidRPr="009B221F">
        <w:rPr>
          <w:rFonts w:ascii="Arial" w:hAnsi="Arial" w:cs="Arial"/>
          <w:lang w:val="en-IE"/>
        </w:rPr>
        <w:t xml:space="preserve">not be accepted by telephone. </w:t>
      </w:r>
    </w:p>
    <w:p w14:paraId="24102430" w14:textId="77777777" w:rsidR="00CB2B21" w:rsidRPr="009B221F" w:rsidRDefault="0073432B" w:rsidP="00B96C9D">
      <w:pPr>
        <w:pStyle w:val="Body1"/>
        <w:spacing w:before="120" w:after="120"/>
        <w:jc w:val="both"/>
        <w:rPr>
          <w:rFonts w:ascii="Arial" w:hAnsi="Arial" w:cs="Arial"/>
          <w:lang w:val="en-IE"/>
        </w:rPr>
      </w:pPr>
      <w:r>
        <w:rPr>
          <w:rFonts w:ascii="Arial" w:hAnsi="Arial" w:cs="Arial"/>
          <w:lang w:val="en-IE"/>
        </w:rPr>
        <w:t>In accordance with paragraph G.3.2.3 of the Code, a</w:t>
      </w:r>
      <w:r w:rsidR="00D579B8" w:rsidRPr="009B221F">
        <w:rPr>
          <w:rFonts w:ascii="Arial" w:hAnsi="Arial" w:cs="Arial"/>
          <w:lang w:val="en-IE"/>
        </w:rPr>
        <w:t xml:space="preserve"> </w:t>
      </w:r>
      <w:r w:rsidR="00CB2B21" w:rsidRPr="009B221F">
        <w:rPr>
          <w:rFonts w:ascii="Arial" w:hAnsi="Arial" w:cs="Arial"/>
          <w:lang w:val="en-IE"/>
        </w:rPr>
        <w:t xml:space="preserve">Settlement Query </w:t>
      </w:r>
      <w:r w:rsidR="007541F6">
        <w:rPr>
          <w:rFonts w:ascii="Arial" w:hAnsi="Arial" w:cs="Arial"/>
          <w:lang w:val="en-IE"/>
        </w:rPr>
        <w:t>may</w:t>
      </w:r>
      <w:r w:rsidR="007541F6" w:rsidRPr="009B221F">
        <w:rPr>
          <w:rFonts w:ascii="Arial" w:hAnsi="Arial" w:cs="Arial"/>
          <w:lang w:val="en-IE"/>
        </w:rPr>
        <w:t xml:space="preserve"> </w:t>
      </w:r>
      <w:r w:rsidR="00CB2B21" w:rsidRPr="009B221F">
        <w:rPr>
          <w:rFonts w:ascii="Arial" w:hAnsi="Arial" w:cs="Arial"/>
          <w:lang w:val="en-IE"/>
        </w:rPr>
        <w:t xml:space="preserve">be raised </w:t>
      </w:r>
      <w:r w:rsidR="00AE3A5C" w:rsidRPr="009B221F">
        <w:rPr>
          <w:rFonts w:ascii="Arial" w:hAnsi="Arial" w:cs="Arial"/>
          <w:lang w:val="en-IE"/>
        </w:rPr>
        <w:t>after publication of the relevant Settlement Statement and before 17:00 of the 20th Working Day after issuing the last set of sche</w:t>
      </w:r>
      <w:r w:rsidR="00890D74" w:rsidRPr="009B221F">
        <w:rPr>
          <w:rFonts w:ascii="Arial" w:hAnsi="Arial" w:cs="Arial"/>
          <w:lang w:val="en-IE"/>
        </w:rPr>
        <w:t xml:space="preserve">duled Settlement Statements </w:t>
      </w:r>
      <w:r w:rsidR="00AE3A5C" w:rsidRPr="009B221F">
        <w:rPr>
          <w:rFonts w:ascii="Arial" w:hAnsi="Arial" w:cs="Arial"/>
          <w:lang w:val="en-IE"/>
        </w:rPr>
        <w:t>in accordance with the Settlement Calendar</w:t>
      </w:r>
      <w:r w:rsidR="00F6345A" w:rsidRPr="009B221F">
        <w:rPr>
          <w:rFonts w:ascii="Arial" w:hAnsi="Arial" w:cs="Arial"/>
          <w:lang w:val="en-IE"/>
        </w:rPr>
        <w:t>.</w:t>
      </w:r>
      <w:r w:rsidR="00AE3A5C" w:rsidRPr="009B221F">
        <w:rPr>
          <w:rFonts w:ascii="Arial" w:hAnsi="Arial" w:cs="Arial"/>
          <w:lang w:val="en-IE"/>
        </w:rPr>
        <w:t xml:space="preserve"> </w:t>
      </w:r>
    </w:p>
    <w:p w14:paraId="24102431" w14:textId="77777777" w:rsidR="00CB2B21" w:rsidRPr="001267B9" w:rsidRDefault="00CB2B21" w:rsidP="00915A2A">
      <w:pPr>
        <w:pStyle w:val="Body1"/>
        <w:jc w:val="both"/>
        <w:rPr>
          <w:rFonts w:ascii="Arial" w:hAnsi="Arial" w:cs="Arial"/>
          <w:lang w:val="en-IE"/>
        </w:rPr>
      </w:pPr>
    </w:p>
    <w:p w14:paraId="24102432" w14:textId="77777777" w:rsidR="00CB2B21" w:rsidRPr="001267B9" w:rsidRDefault="00CB2B21" w:rsidP="00D73B9D">
      <w:pPr>
        <w:pStyle w:val="APNUMHEAD3"/>
        <w:numPr>
          <w:ilvl w:val="1"/>
          <w:numId w:val="9"/>
        </w:numPr>
        <w:spacing w:before="120" w:after="240"/>
        <w:jc w:val="both"/>
      </w:pPr>
      <w:bookmarkStart w:id="137" w:name="_Toc465936526"/>
      <w:bookmarkStart w:id="138" w:name="_Toc477420699"/>
      <w:bookmarkStart w:id="139" w:name="_Toc478995233"/>
      <w:r w:rsidRPr="001267B9">
        <w:t>Processing Settlement Queries</w:t>
      </w:r>
      <w:bookmarkEnd w:id="137"/>
      <w:bookmarkEnd w:id="138"/>
      <w:bookmarkEnd w:id="139"/>
    </w:p>
    <w:p w14:paraId="24102433" w14:textId="77777777" w:rsidR="00481940" w:rsidRPr="009B221F" w:rsidRDefault="00E66E64" w:rsidP="00B96C9D">
      <w:pPr>
        <w:pStyle w:val="Body1"/>
        <w:spacing w:before="120" w:after="120"/>
        <w:jc w:val="both"/>
        <w:rPr>
          <w:rFonts w:ascii="Arial" w:hAnsi="Arial" w:cs="Arial"/>
          <w:lang w:val="en-IE"/>
        </w:rPr>
      </w:pPr>
      <w:r w:rsidRPr="009B221F">
        <w:rPr>
          <w:rFonts w:ascii="Arial" w:hAnsi="Arial" w:cs="Arial"/>
          <w:lang w:val="en-IE"/>
        </w:rPr>
        <w:t xml:space="preserve">The Market Operator </w:t>
      </w:r>
      <w:r w:rsidR="007541F6">
        <w:rPr>
          <w:rFonts w:ascii="Arial" w:hAnsi="Arial" w:cs="Arial"/>
          <w:lang w:val="en-IE"/>
        </w:rPr>
        <w:t>shall</w:t>
      </w:r>
      <w:r w:rsidR="007541F6" w:rsidRPr="009B221F">
        <w:rPr>
          <w:rFonts w:ascii="Arial" w:hAnsi="Arial" w:cs="Arial"/>
          <w:lang w:val="en-IE"/>
        </w:rPr>
        <w:t xml:space="preserve"> </w:t>
      </w:r>
      <w:r w:rsidRPr="009B221F">
        <w:rPr>
          <w:rFonts w:ascii="Arial" w:hAnsi="Arial" w:cs="Arial"/>
          <w:lang w:val="en-IE"/>
        </w:rPr>
        <w:t>resolve the Settlement Query</w:t>
      </w:r>
      <w:r w:rsidR="007541F6">
        <w:rPr>
          <w:rFonts w:ascii="Arial" w:hAnsi="Arial" w:cs="Arial"/>
          <w:lang w:val="en-IE"/>
        </w:rPr>
        <w:t xml:space="preserve"> within one month</w:t>
      </w:r>
      <w:r w:rsidR="007D0689">
        <w:rPr>
          <w:rFonts w:ascii="Arial" w:hAnsi="Arial" w:cs="Arial"/>
          <w:lang w:val="en-IE"/>
        </w:rPr>
        <w:t xml:space="preserve"> unless </w:t>
      </w:r>
      <w:r w:rsidR="00D579B8" w:rsidRPr="009B221F">
        <w:rPr>
          <w:rFonts w:ascii="Arial" w:hAnsi="Arial" w:cs="Arial"/>
          <w:lang w:val="en-IE"/>
        </w:rPr>
        <w:t>t</w:t>
      </w:r>
      <w:r w:rsidRPr="009B221F">
        <w:rPr>
          <w:rFonts w:ascii="Arial" w:hAnsi="Arial" w:cs="Arial"/>
          <w:lang w:val="en-IE"/>
        </w:rPr>
        <w:t xml:space="preserve">he Raising Party </w:t>
      </w:r>
      <w:r w:rsidR="007D0689">
        <w:rPr>
          <w:rFonts w:ascii="Arial" w:hAnsi="Arial" w:cs="Arial"/>
          <w:lang w:val="en-IE"/>
        </w:rPr>
        <w:t>agrees in writing</w:t>
      </w:r>
      <w:r w:rsidR="007541F6">
        <w:rPr>
          <w:rFonts w:ascii="Arial" w:hAnsi="Arial" w:cs="Arial"/>
          <w:lang w:val="en-IE"/>
        </w:rPr>
        <w:t>,</w:t>
      </w:r>
      <w:r w:rsidR="005E366D">
        <w:rPr>
          <w:rFonts w:ascii="Arial" w:hAnsi="Arial" w:cs="Arial"/>
          <w:lang w:val="en-IE"/>
        </w:rPr>
        <w:t xml:space="preserve"> upon request from the Market Operator</w:t>
      </w:r>
      <w:r w:rsidR="007D0689">
        <w:rPr>
          <w:rFonts w:ascii="Arial" w:hAnsi="Arial" w:cs="Arial"/>
          <w:lang w:val="en-IE"/>
        </w:rPr>
        <w:t>, to</w:t>
      </w:r>
      <w:r w:rsidRPr="009B221F">
        <w:rPr>
          <w:rFonts w:ascii="Arial" w:hAnsi="Arial" w:cs="Arial"/>
          <w:lang w:val="en-IE"/>
        </w:rPr>
        <w:t xml:space="preserve"> extend this time</w:t>
      </w:r>
      <w:r w:rsidR="00D579B8" w:rsidRPr="009B221F">
        <w:rPr>
          <w:rFonts w:ascii="Arial" w:hAnsi="Arial" w:cs="Arial"/>
          <w:lang w:val="en-IE"/>
        </w:rPr>
        <w:t xml:space="preserve"> by</w:t>
      </w:r>
      <w:r w:rsidRPr="009B221F">
        <w:rPr>
          <w:rFonts w:ascii="Arial" w:hAnsi="Arial" w:cs="Arial"/>
          <w:lang w:val="en-IE"/>
        </w:rPr>
        <w:t xml:space="preserve"> up to </w:t>
      </w:r>
      <w:r w:rsidR="00D73B9D" w:rsidRPr="009B221F">
        <w:rPr>
          <w:rFonts w:ascii="Arial" w:hAnsi="Arial" w:cs="Arial"/>
          <w:lang w:val="en-IE"/>
        </w:rPr>
        <w:t>10</w:t>
      </w:r>
      <w:r w:rsidRPr="009B221F">
        <w:rPr>
          <w:rFonts w:ascii="Arial" w:hAnsi="Arial" w:cs="Arial"/>
          <w:lang w:val="en-IE"/>
        </w:rPr>
        <w:t xml:space="preserve"> Working Days.   </w:t>
      </w:r>
    </w:p>
    <w:p w14:paraId="24102434" w14:textId="77777777" w:rsidR="00E66E64" w:rsidRPr="009B221F" w:rsidRDefault="00481940" w:rsidP="00B96C9D">
      <w:pPr>
        <w:pStyle w:val="Body1"/>
        <w:spacing w:before="120" w:after="120"/>
        <w:jc w:val="both"/>
        <w:rPr>
          <w:rFonts w:ascii="Arial" w:hAnsi="Arial" w:cs="Arial"/>
          <w:lang w:val="en-IE"/>
        </w:rPr>
      </w:pPr>
      <w:r w:rsidRPr="009B221F">
        <w:rPr>
          <w:rFonts w:ascii="Arial" w:hAnsi="Arial" w:cs="Arial"/>
          <w:lang w:val="en-IE"/>
        </w:rPr>
        <w:t xml:space="preserve">If the Settlement Query is not resolved during the </w:t>
      </w:r>
      <w:r w:rsidR="00B657E8" w:rsidRPr="009B221F">
        <w:rPr>
          <w:rFonts w:ascii="Arial" w:hAnsi="Arial" w:cs="Arial"/>
          <w:lang w:val="en-IE"/>
        </w:rPr>
        <w:t xml:space="preserve">initial </w:t>
      </w:r>
      <w:r w:rsidR="00D73B9D" w:rsidRPr="009B221F">
        <w:rPr>
          <w:rFonts w:ascii="Arial" w:hAnsi="Arial" w:cs="Arial"/>
          <w:lang w:val="en-IE"/>
        </w:rPr>
        <w:t>one</w:t>
      </w:r>
      <w:r w:rsidR="00D579B8" w:rsidRPr="009B221F">
        <w:rPr>
          <w:rFonts w:ascii="Arial" w:hAnsi="Arial" w:cs="Arial"/>
          <w:lang w:val="en-IE"/>
        </w:rPr>
        <w:t xml:space="preserve"> </w:t>
      </w:r>
      <w:r w:rsidRPr="009B221F">
        <w:rPr>
          <w:rFonts w:ascii="Arial" w:hAnsi="Arial" w:cs="Arial"/>
          <w:lang w:val="en-IE"/>
        </w:rPr>
        <w:t xml:space="preserve">month period, or during the extended </w:t>
      </w:r>
      <w:r w:rsidR="00D73B9D" w:rsidRPr="009B221F">
        <w:rPr>
          <w:rFonts w:ascii="Arial" w:hAnsi="Arial" w:cs="Arial"/>
          <w:lang w:val="en-IE"/>
        </w:rPr>
        <w:t xml:space="preserve">ten </w:t>
      </w:r>
      <w:r w:rsidRPr="009B221F">
        <w:rPr>
          <w:rFonts w:ascii="Arial" w:hAnsi="Arial" w:cs="Arial"/>
          <w:lang w:val="en-IE"/>
        </w:rPr>
        <w:t>W</w:t>
      </w:r>
      <w:r w:rsidR="00D579B8" w:rsidRPr="009B221F">
        <w:rPr>
          <w:rFonts w:ascii="Arial" w:hAnsi="Arial" w:cs="Arial"/>
          <w:lang w:val="en-IE"/>
        </w:rPr>
        <w:t xml:space="preserve">orking </w:t>
      </w:r>
      <w:r w:rsidRPr="009B221F">
        <w:rPr>
          <w:rFonts w:ascii="Arial" w:hAnsi="Arial" w:cs="Arial"/>
          <w:lang w:val="en-IE"/>
        </w:rPr>
        <w:t>D</w:t>
      </w:r>
      <w:r w:rsidR="00D579B8" w:rsidRPr="009B221F">
        <w:rPr>
          <w:rFonts w:ascii="Arial" w:hAnsi="Arial" w:cs="Arial"/>
          <w:lang w:val="en-IE"/>
        </w:rPr>
        <w:t>ay</w:t>
      </w:r>
      <w:r w:rsidRPr="009B221F">
        <w:rPr>
          <w:rFonts w:ascii="Arial" w:hAnsi="Arial" w:cs="Arial"/>
          <w:lang w:val="en-IE"/>
        </w:rPr>
        <w:t xml:space="preserve"> period (if a</w:t>
      </w:r>
      <w:r w:rsidR="007D0689">
        <w:rPr>
          <w:rFonts w:ascii="Arial" w:hAnsi="Arial" w:cs="Arial"/>
          <w:lang w:val="en-IE"/>
        </w:rPr>
        <w:t>gre</w:t>
      </w:r>
      <w:r w:rsidRPr="009B221F">
        <w:rPr>
          <w:rFonts w:ascii="Arial" w:hAnsi="Arial" w:cs="Arial"/>
          <w:lang w:val="en-IE"/>
        </w:rPr>
        <w:t>ed</w:t>
      </w:r>
      <w:r w:rsidR="007D0689">
        <w:rPr>
          <w:rFonts w:ascii="Arial" w:hAnsi="Arial" w:cs="Arial"/>
          <w:lang w:val="en-IE"/>
        </w:rPr>
        <w:t xml:space="preserve"> by the Raising Party</w:t>
      </w:r>
      <w:r w:rsidRPr="009B221F">
        <w:rPr>
          <w:rFonts w:ascii="Arial" w:hAnsi="Arial" w:cs="Arial"/>
          <w:lang w:val="en-IE"/>
        </w:rPr>
        <w:t>), the Settlement Query becomes a Settlement Dispute.</w:t>
      </w:r>
    </w:p>
    <w:p w14:paraId="24102435" w14:textId="77777777" w:rsidR="00A35F7B" w:rsidRPr="009B221F" w:rsidRDefault="00A35F7B" w:rsidP="00B96C9D">
      <w:pPr>
        <w:pStyle w:val="Body1"/>
        <w:spacing w:before="120" w:after="120"/>
        <w:jc w:val="both"/>
        <w:rPr>
          <w:rFonts w:ascii="Arial" w:hAnsi="Arial" w:cs="Arial"/>
          <w:lang w:val="en-IE"/>
        </w:rPr>
      </w:pPr>
      <w:r w:rsidRPr="009B221F">
        <w:rPr>
          <w:rFonts w:ascii="Arial" w:hAnsi="Arial" w:cs="Arial"/>
          <w:lang w:val="en-IE"/>
        </w:rPr>
        <w:t xml:space="preserve">The Market Operator will log all Settlement Queries and validate that the Settlement Query has all mandatory information complete (see Appendix </w:t>
      </w:r>
      <w:r w:rsidR="008E6187">
        <w:rPr>
          <w:rFonts w:ascii="Arial" w:hAnsi="Arial" w:cs="Arial"/>
          <w:lang w:val="en-IE"/>
        </w:rPr>
        <w:t>1</w:t>
      </w:r>
      <w:r w:rsidR="00D579B8" w:rsidRPr="009B221F">
        <w:rPr>
          <w:rFonts w:ascii="Arial" w:hAnsi="Arial" w:cs="Arial"/>
          <w:lang w:val="en-IE"/>
        </w:rPr>
        <w:t xml:space="preserve"> </w:t>
      </w:r>
      <w:r w:rsidR="003B60E9">
        <w:rPr>
          <w:rFonts w:ascii="Arial" w:hAnsi="Arial" w:cs="Arial"/>
          <w:lang w:val="en-IE"/>
        </w:rPr>
        <w:t>“</w:t>
      </w:r>
      <w:r w:rsidR="00D579B8" w:rsidRPr="009B221F">
        <w:rPr>
          <w:rFonts w:ascii="Arial" w:hAnsi="Arial" w:cs="Arial"/>
          <w:lang w:val="en-IE"/>
        </w:rPr>
        <w:t>Query Form Validation</w:t>
      </w:r>
      <w:r w:rsidR="003B60E9">
        <w:rPr>
          <w:rFonts w:ascii="Arial" w:hAnsi="Arial" w:cs="Arial"/>
          <w:lang w:val="en-IE"/>
        </w:rPr>
        <w:t>”</w:t>
      </w:r>
      <w:r w:rsidRPr="009B221F">
        <w:rPr>
          <w:rFonts w:ascii="Arial" w:hAnsi="Arial" w:cs="Arial"/>
          <w:lang w:val="en-IE"/>
        </w:rPr>
        <w:t>)  and has been submitted within the correct time</w:t>
      </w:r>
      <w:r w:rsidR="00E66871">
        <w:rPr>
          <w:rFonts w:ascii="Arial" w:hAnsi="Arial" w:cs="Arial"/>
          <w:lang w:val="en-IE"/>
        </w:rPr>
        <w:t>lines</w:t>
      </w:r>
      <w:r w:rsidRPr="009B221F">
        <w:rPr>
          <w:rFonts w:ascii="Arial" w:hAnsi="Arial" w:cs="Arial"/>
          <w:lang w:val="en-IE"/>
        </w:rPr>
        <w:t xml:space="preserve"> by a person authorised under Agreed Procedure 11 “Market System Operation, Testing, Upgrading and Support” to submit Settlement Queries on behalf of the Raising </w:t>
      </w:r>
      <w:r w:rsidR="00322155" w:rsidRPr="009B221F">
        <w:rPr>
          <w:rFonts w:ascii="Arial" w:hAnsi="Arial" w:cs="Arial"/>
          <w:lang w:val="en-IE"/>
        </w:rPr>
        <w:t>Party</w:t>
      </w:r>
      <w:r w:rsidRPr="009B221F">
        <w:rPr>
          <w:rFonts w:ascii="Arial" w:hAnsi="Arial" w:cs="Arial"/>
          <w:lang w:val="en-IE"/>
        </w:rPr>
        <w:t xml:space="preserve">. The Market Operator will confirm the validity or otherwise of the Settlement Query to the Raising </w:t>
      </w:r>
      <w:r w:rsidR="00322155" w:rsidRPr="009B221F">
        <w:rPr>
          <w:rFonts w:ascii="Arial" w:hAnsi="Arial" w:cs="Arial"/>
          <w:lang w:val="en-IE"/>
        </w:rPr>
        <w:t>Party</w:t>
      </w:r>
      <w:r w:rsidRPr="009B221F">
        <w:rPr>
          <w:rFonts w:ascii="Arial" w:hAnsi="Arial" w:cs="Arial"/>
          <w:lang w:val="en-IE"/>
        </w:rPr>
        <w:t xml:space="preserve"> under the timelines</w:t>
      </w:r>
      <w:r w:rsidR="00D579B8" w:rsidRPr="009B221F">
        <w:rPr>
          <w:rFonts w:ascii="Arial" w:hAnsi="Arial" w:cs="Arial"/>
          <w:lang w:val="en-IE"/>
        </w:rPr>
        <w:t xml:space="preserve"> set out</w:t>
      </w:r>
      <w:r w:rsidRPr="009B221F">
        <w:rPr>
          <w:rFonts w:ascii="Arial" w:hAnsi="Arial" w:cs="Arial"/>
          <w:lang w:val="en-IE"/>
        </w:rPr>
        <w:t xml:space="preserve"> </w:t>
      </w:r>
      <w:r w:rsidR="00085ECD" w:rsidRPr="009B221F">
        <w:rPr>
          <w:rFonts w:ascii="Arial" w:hAnsi="Arial" w:cs="Arial"/>
          <w:lang w:val="en-IE"/>
        </w:rPr>
        <w:t>at section 3 below</w:t>
      </w:r>
      <w:r w:rsidRPr="009B221F">
        <w:rPr>
          <w:rFonts w:ascii="Arial" w:hAnsi="Arial" w:cs="Arial"/>
          <w:lang w:val="en-IE"/>
        </w:rPr>
        <w:t xml:space="preserve">. </w:t>
      </w:r>
    </w:p>
    <w:p w14:paraId="24102436" w14:textId="77777777" w:rsidR="00987CDF" w:rsidRPr="009B221F" w:rsidRDefault="0003194A" w:rsidP="00B96C9D">
      <w:pPr>
        <w:pStyle w:val="Body1"/>
        <w:spacing w:before="120" w:after="120"/>
        <w:jc w:val="both"/>
        <w:rPr>
          <w:rFonts w:ascii="Arial" w:hAnsi="Arial" w:cs="Arial"/>
          <w:lang w:val="en-IE"/>
        </w:rPr>
      </w:pPr>
      <w:r w:rsidRPr="009B221F">
        <w:rPr>
          <w:rFonts w:ascii="Arial" w:hAnsi="Arial" w:cs="Arial"/>
          <w:lang w:val="en-IE"/>
        </w:rPr>
        <w:t>Where applicable, the</w:t>
      </w:r>
      <w:r w:rsidR="00CB2B21" w:rsidRPr="009B221F">
        <w:rPr>
          <w:rFonts w:ascii="Arial" w:hAnsi="Arial" w:cs="Arial"/>
          <w:lang w:val="en-IE"/>
        </w:rPr>
        <w:t xml:space="preserve"> Market Operator shall inform the Affected Participant(s).  The Affected Participant(s) shall assist the Market Operator in a timely manner</w:t>
      </w:r>
      <w:r w:rsidR="00D579B8" w:rsidRPr="009B221F">
        <w:rPr>
          <w:rFonts w:ascii="Arial" w:hAnsi="Arial" w:cs="Arial"/>
          <w:lang w:val="en-IE"/>
        </w:rPr>
        <w:t xml:space="preserve"> in</w:t>
      </w:r>
      <w:r w:rsidR="00CB2B21" w:rsidRPr="009B221F">
        <w:rPr>
          <w:rFonts w:ascii="Arial" w:hAnsi="Arial" w:cs="Arial"/>
          <w:lang w:val="en-IE"/>
        </w:rPr>
        <w:t xml:space="preserve"> dealing with the Settlement Query concerned.</w:t>
      </w:r>
    </w:p>
    <w:p w14:paraId="24102437" w14:textId="77777777" w:rsidR="00A35F7B" w:rsidRPr="009B221F" w:rsidRDefault="00A35F7B" w:rsidP="00B96C9D">
      <w:pPr>
        <w:pStyle w:val="Body1"/>
        <w:spacing w:before="120" w:after="120"/>
        <w:jc w:val="both"/>
        <w:rPr>
          <w:rFonts w:ascii="Arial" w:hAnsi="Arial" w:cs="Arial"/>
          <w:lang w:val="en-IE"/>
        </w:rPr>
      </w:pPr>
      <w:r w:rsidRPr="009B221F">
        <w:rPr>
          <w:rFonts w:ascii="Arial" w:hAnsi="Arial" w:cs="Arial"/>
          <w:lang w:val="en-IE"/>
        </w:rPr>
        <w:t>Where the Settlement Query is valid and is as a result of data from an External Data Provider (System Operator</w:t>
      </w:r>
      <w:r w:rsidR="009C47B3">
        <w:rPr>
          <w:rFonts w:ascii="Arial" w:hAnsi="Arial" w:cs="Arial"/>
          <w:lang w:val="en-IE"/>
        </w:rPr>
        <w:t>s</w:t>
      </w:r>
      <w:r w:rsidRPr="009B221F">
        <w:rPr>
          <w:rFonts w:ascii="Arial" w:hAnsi="Arial" w:cs="Arial"/>
          <w:lang w:val="en-IE"/>
        </w:rPr>
        <w:t>, Interconnector Administrator or Meter Data Provider)</w:t>
      </w:r>
      <w:r w:rsidR="007541F6">
        <w:rPr>
          <w:rFonts w:ascii="Arial" w:hAnsi="Arial" w:cs="Arial"/>
          <w:lang w:val="en-IE"/>
        </w:rPr>
        <w:t>,</w:t>
      </w:r>
      <w:r w:rsidRPr="009B221F">
        <w:rPr>
          <w:rFonts w:ascii="Arial" w:hAnsi="Arial" w:cs="Arial"/>
          <w:lang w:val="en-IE"/>
        </w:rPr>
        <w:t xml:space="preserve"> the Market Operator shall pass the details to such External Data Provider. </w:t>
      </w:r>
      <w:r w:rsidR="0012758B" w:rsidRPr="009B221F">
        <w:rPr>
          <w:rFonts w:ascii="Arial" w:hAnsi="Arial" w:cs="Arial"/>
          <w:lang w:val="en-IE"/>
        </w:rPr>
        <w:t xml:space="preserve">In this </w:t>
      </w:r>
      <w:r w:rsidR="00625E8F" w:rsidRPr="009B221F">
        <w:rPr>
          <w:rFonts w:ascii="Arial" w:hAnsi="Arial" w:cs="Arial"/>
          <w:lang w:val="en-IE"/>
        </w:rPr>
        <w:t>case</w:t>
      </w:r>
      <w:r w:rsidR="0012758B" w:rsidRPr="009B221F">
        <w:rPr>
          <w:rFonts w:ascii="Arial" w:hAnsi="Arial" w:cs="Arial"/>
          <w:lang w:val="en-IE"/>
        </w:rPr>
        <w:t xml:space="preserve"> </w:t>
      </w:r>
      <w:r w:rsidR="000F3D77" w:rsidRPr="009B221F">
        <w:rPr>
          <w:rFonts w:ascii="Arial" w:hAnsi="Arial" w:cs="Arial"/>
          <w:lang w:val="en-IE"/>
        </w:rPr>
        <w:t xml:space="preserve">or where the Raising Party is </w:t>
      </w:r>
      <w:r w:rsidR="00D73B9D" w:rsidRPr="009B221F">
        <w:rPr>
          <w:rFonts w:ascii="Arial" w:hAnsi="Arial" w:cs="Arial"/>
          <w:lang w:val="en-IE"/>
        </w:rPr>
        <w:t>the</w:t>
      </w:r>
      <w:r w:rsidR="0012758B" w:rsidRPr="009B221F">
        <w:rPr>
          <w:rFonts w:ascii="Arial" w:hAnsi="Arial" w:cs="Arial"/>
          <w:lang w:val="en-IE"/>
        </w:rPr>
        <w:t xml:space="preserve"> External Data Provider</w:t>
      </w:r>
      <w:r w:rsidR="00EA2F20" w:rsidRPr="009B221F">
        <w:rPr>
          <w:rFonts w:ascii="Arial" w:hAnsi="Arial" w:cs="Arial"/>
          <w:lang w:val="en-IE"/>
        </w:rPr>
        <w:t xml:space="preserve"> for the data queried</w:t>
      </w:r>
      <w:r w:rsidR="0012758B" w:rsidRPr="009B221F">
        <w:rPr>
          <w:rFonts w:ascii="Arial" w:hAnsi="Arial" w:cs="Arial"/>
          <w:lang w:val="en-IE"/>
        </w:rPr>
        <w:t>, t</w:t>
      </w:r>
      <w:r w:rsidRPr="009B221F">
        <w:rPr>
          <w:rFonts w:ascii="Arial" w:hAnsi="Arial" w:cs="Arial"/>
          <w:lang w:val="en-IE"/>
        </w:rPr>
        <w:t xml:space="preserve">he External Data Provider shall provide any revised data within </w:t>
      </w:r>
      <w:r w:rsidR="00D73B9D" w:rsidRPr="009B221F">
        <w:rPr>
          <w:rFonts w:ascii="Arial" w:hAnsi="Arial" w:cs="Arial"/>
          <w:lang w:val="en-IE"/>
        </w:rPr>
        <w:t>15</w:t>
      </w:r>
      <w:r w:rsidR="00D579B8" w:rsidRPr="009B221F">
        <w:rPr>
          <w:rFonts w:ascii="Arial" w:hAnsi="Arial" w:cs="Arial"/>
          <w:lang w:val="en-IE"/>
        </w:rPr>
        <w:t xml:space="preserve"> </w:t>
      </w:r>
      <w:r w:rsidRPr="009B221F">
        <w:rPr>
          <w:rFonts w:ascii="Arial" w:hAnsi="Arial" w:cs="Arial"/>
          <w:lang w:val="en-IE"/>
        </w:rPr>
        <w:t xml:space="preserve">Working Days of </w:t>
      </w:r>
      <w:r w:rsidR="0012758B" w:rsidRPr="009B221F">
        <w:rPr>
          <w:rFonts w:ascii="Arial" w:hAnsi="Arial" w:cs="Arial"/>
          <w:lang w:val="en-IE"/>
        </w:rPr>
        <w:t>the Market Operators</w:t>
      </w:r>
      <w:r w:rsidR="007D0689">
        <w:rPr>
          <w:rFonts w:ascii="Arial" w:hAnsi="Arial" w:cs="Arial"/>
          <w:lang w:val="en-IE"/>
        </w:rPr>
        <w:t>’</w:t>
      </w:r>
      <w:r w:rsidR="0012758B" w:rsidRPr="009B221F">
        <w:rPr>
          <w:rFonts w:ascii="Arial" w:hAnsi="Arial" w:cs="Arial"/>
          <w:lang w:val="en-IE"/>
        </w:rPr>
        <w:t xml:space="preserve"> </w:t>
      </w:r>
      <w:r w:rsidRPr="009B221F">
        <w:rPr>
          <w:rFonts w:ascii="Arial" w:hAnsi="Arial" w:cs="Arial"/>
          <w:lang w:val="en-IE"/>
        </w:rPr>
        <w:t xml:space="preserve">receipt of the Settlement Query. </w:t>
      </w:r>
    </w:p>
    <w:p w14:paraId="24102438" w14:textId="77777777" w:rsidR="00B11B31" w:rsidRPr="001267B9" w:rsidRDefault="00B11B31" w:rsidP="00915A2A">
      <w:pPr>
        <w:pStyle w:val="Body1"/>
        <w:jc w:val="both"/>
        <w:rPr>
          <w:rFonts w:ascii="Arial" w:hAnsi="Arial" w:cs="Arial"/>
          <w:lang w:val="en-IE"/>
        </w:rPr>
      </w:pPr>
    </w:p>
    <w:p w14:paraId="24102439" w14:textId="77777777" w:rsidR="00B11B31" w:rsidRPr="001267B9" w:rsidRDefault="00B11B31" w:rsidP="00D73B9D">
      <w:pPr>
        <w:pStyle w:val="APNUMHEAD3"/>
        <w:numPr>
          <w:ilvl w:val="1"/>
          <w:numId w:val="9"/>
        </w:numPr>
        <w:spacing w:before="120" w:after="240"/>
        <w:jc w:val="both"/>
      </w:pPr>
      <w:bookmarkStart w:id="140" w:name="_Toc465936527"/>
      <w:bookmarkStart w:id="141" w:name="_Toc477420700"/>
      <w:bookmarkStart w:id="142" w:name="_Toc478995234"/>
      <w:r w:rsidRPr="001267B9">
        <w:t>Dete</w:t>
      </w:r>
      <w:r w:rsidR="00F86A84" w:rsidRPr="001267B9">
        <w:t>rminations of Settlement Query Materiality</w:t>
      </w:r>
      <w:bookmarkEnd w:id="140"/>
      <w:bookmarkEnd w:id="141"/>
      <w:bookmarkEnd w:id="142"/>
    </w:p>
    <w:p w14:paraId="2410243A" w14:textId="77777777" w:rsidR="00B11B31" w:rsidRPr="009B221F" w:rsidRDefault="00B11B31" w:rsidP="00B96C9D">
      <w:pPr>
        <w:pStyle w:val="Body1"/>
        <w:spacing w:before="120" w:after="120"/>
        <w:jc w:val="both"/>
        <w:rPr>
          <w:rFonts w:ascii="Arial" w:hAnsi="Arial" w:cs="Arial"/>
          <w:lang w:val="en-IE"/>
        </w:rPr>
      </w:pPr>
      <w:r w:rsidRPr="009B221F">
        <w:rPr>
          <w:rFonts w:ascii="Arial" w:hAnsi="Arial" w:cs="Arial"/>
          <w:lang w:val="en-IE"/>
        </w:rPr>
        <w:t>Changes to Settlement resulting from the resolution of a Settlement Query</w:t>
      </w:r>
      <w:r w:rsidR="00F65069">
        <w:rPr>
          <w:rFonts w:ascii="Arial" w:hAnsi="Arial" w:cs="Arial"/>
          <w:lang w:val="en-IE"/>
        </w:rPr>
        <w:t xml:space="preserve"> by the Market Operator</w:t>
      </w:r>
      <w:r w:rsidRPr="009B221F">
        <w:rPr>
          <w:rFonts w:ascii="Arial" w:hAnsi="Arial" w:cs="Arial"/>
          <w:lang w:val="en-IE"/>
        </w:rPr>
        <w:t xml:space="preserve"> </w:t>
      </w:r>
      <w:r w:rsidR="00F65069">
        <w:rPr>
          <w:rFonts w:ascii="Arial" w:hAnsi="Arial" w:cs="Arial"/>
          <w:lang w:val="en-IE"/>
        </w:rPr>
        <w:t>shall</w:t>
      </w:r>
      <w:r w:rsidRPr="009B221F">
        <w:rPr>
          <w:rFonts w:ascii="Arial" w:hAnsi="Arial" w:cs="Arial"/>
          <w:lang w:val="en-IE"/>
        </w:rPr>
        <w:t xml:space="preserve"> be placed into one of the two following categories:</w:t>
      </w:r>
    </w:p>
    <w:p w14:paraId="2410243B" w14:textId="77777777" w:rsidR="00B11B31" w:rsidRPr="008B0947" w:rsidRDefault="00B11B31" w:rsidP="00185F85">
      <w:pPr>
        <w:pStyle w:val="Body1"/>
        <w:numPr>
          <w:ilvl w:val="0"/>
          <w:numId w:val="10"/>
        </w:numPr>
        <w:spacing w:before="120" w:after="120"/>
        <w:ind w:hanging="720"/>
        <w:jc w:val="both"/>
        <w:rPr>
          <w:rFonts w:ascii="Arial" w:hAnsi="Arial" w:cs="Arial"/>
          <w:lang w:val="en-US"/>
        </w:rPr>
      </w:pPr>
      <w:r w:rsidRPr="008B0947">
        <w:rPr>
          <w:rFonts w:ascii="Arial" w:hAnsi="Arial" w:cs="Arial"/>
          <w:lang w:val="en-US"/>
        </w:rPr>
        <w:t>Change to Settlement Item</w:t>
      </w:r>
      <w:r w:rsidR="000F7370">
        <w:rPr>
          <w:rFonts w:ascii="Arial" w:hAnsi="Arial" w:cs="Arial"/>
          <w:lang w:val="en-US"/>
        </w:rPr>
        <w:t>s</w:t>
      </w:r>
      <w:r w:rsidRPr="008B0947">
        <w:rPr>
          <w:rFonts w:ascii="Arial" w:hAnsi="Arial" w:cs="Arial"/>
          <w:lang w:val="en-US"/>
        </w:rPr>
        <w:t xml:space="preserve"> with Low Materiality, i.e. Settlement change </w:t>
      </w:r>
      <w:r w:rsidR="00F86A84" w:rsidRPr="008B0947">
        <w:rPr>
          <w:rFonts w:ascii="Arial" w:hAnsi="Arial" w:cs="Arial"/>
          <w:lang w:val="en-US"/>
        </w:rPr>
        <w:t xml:space="preserve">estimated to be </w:t>
      </w:r>
      <w:r w:rsidRPr="008B0947">
        <w:rPr>
          <w:rFonts w:ascii="Arial" w:hAnsi="Arial" w:cs="Arial"/>
          <w:lang w:val="en-US"/>
        </w:rPr>
        <w:t>under €50,000</w:t>
      </w:r>
      <w:r w:rsidR="007D0689">
        <w:rPr>
          <w:rFonts w:ascii="Arial" w:hAnsi="Arial" w:cs="Arial"/>
          <w:lang w:val="en-US"/>
        </w:rPr>
        <w:t xml:space="preserve"> in respect of a single Settlement Statement</w:t>
      </w:r>
      <w:r w:rsidR="00D579B8" w:rsidRPr="008B0947">
        <w:rPr>
          <w:rFonts w:ascii="Arial" w:hAnsi="Arial" w:cs="Arial"/>
          <w:lang w:val="en-US"/>
        </w:rPr>
        <w:t>; or</w:t>
      </w:r>
      <w:r w:rsidRPr="008B0947">
        <w:rPr>
          <w:rFonts w:ascii="Arial" w:hAnsi="Arial" w:cs="Arial"/>
          <w:lang w:val="en-US"/>
        </w:rPr>
        <w:t xml:space="preserve"> </w:t>
      </w:r>
    </w:p>
    <w:p w14:paraId="2410243C" w14:textId="77777777" w:rsidR="00B11B31" w:rsidRPr="008B0947" w:rsidRDefault="00B11B31" w:rsidP="00185F85">
      <w:pPr>
        <w:pStyle w:val="Body1"/>
        <w:numPr>
          <w:ilvl w:val="0"/>
          <w:numId w:val="10"/>
        </w:numPr>
        <w:spacing w:before="120" w:after="120"/>
        <w:ind w:hanging="720"/>
        <w:jc w:val="both"/>
        <w:rPr>
          <w:rFonts w:ascii="Arial" w:hAnsi="Arial" w:cs="Arial"/>
          <w:lang w:val="en-US"/>
        </w:rPr>
      </w:pPr>
      <w:r w:rsidRPr="008B0947">
        <w:rPr>
          <w:rFonts w:ascii="Arial" w:hAnsi="Arial" w:cs="Arial"/>
          <w:lang w:val="en-US"/>
        </w:rPr>
        <w:t>Change to Settlement Item</w:t>
      </w:r>
      <w:r w:rsidR="000F7370">
        <w:rPr>
          <w:rFonts w:ascii="Arial" w:hAnsi="Arial" w:cs="Arial"/>
          <w:lang w:val="en-US"/>
        </w:rPr>
        <w:t>s</w:t>
      </w:r>
      <w:r w:rsidRPr="008B0947">
        <w:rPr>
          <w:rFonts w:ascii="Arial" w:hAnsi="Arial" w:cs="Arial"/>
          <w:lang w:val="en-US"/>
        </w:rPr>
        <w:t xml:space="preserve"> with High Materiality, i.e. Settlement change </w:t>
      </w:r>
      <w:r w:rsidR="00F86A84" w:rsidRPr="008B0947">
        <w:rPr>
          <w:rFonts w:ascii="Arial" w:hAnsi="Arial" w:cs="Arial"/>
          <w:lang w:val="en-US"/>
        </w:rPr>
        <w:t xml:space="preserve">estimated to be </w:t>
      </w:r>
      <w:r w:rsidRPr="008B0947">
        <w:rPr>
          <w:rFonts w:ascii="Arial" w:hAnsi="Arial" w:cs="Arial"/>
          <w:lang w:val="en-US"/>
        </w:rPr>
        <w:t>equal to or over €50,000</w:t>
      </w:r>
      <w:r w:rsidR="007D0689">
        <w:rPr>
          <w:rFonts w:ascii="Arial" w:hAnsi="Arial" w:cs="Arial"/>
          <w:lang w:val="en-US"/>
        </w:rPr>
        <w:t xml:space="preserve"> in respect of a single Settlement Statem</w:t>
      </w:r>
      <w:r w:rsidR="00712E76">
        <w:rPr>
          <w:rFonts w:ascii="Arial" w:hAnsi="Arial" w:cs="Arial"/>
          <w:lang w:val="en-US"/>
        </w:rPr>
        <w:t>e</w:t>
      </w:r>
      <w:r w:rsidR="007D0689">
        <w:rPr>
          <w:rFonts w:ascii="Arial" w:hAnsi="Arial" w:cs="Arial"/>
          <w:lang w:val="en-US"/>
        </w:rPr>
        <w:t>nt</w:t>
      </w:r>
      <w:r w:rsidR="00D579B8" w:rsidRPr="008B0947">
        <w:rPr>
          <w:rFonts w:ascii="Arial" w:hAnsi="Arial" w:cs="Arial"/>
          <w:lang w:val="en-US"/>
        </w:rPr>
        <w:t>.</w:t>
      </w:r>
    </w:p>
    <w:p w14:paraId="2410243D" w14:textId="77777777" w:rsidR="00B11B31" w:rsidRPr="009B221F" w:rsidRDefault="00B11B31" w:rsidP="00B96C9D">
      <w:pPr>
        <w:pStyle w:val="Body1"/>
        <w:spacing w:before="120" w:after="120"/>
        <w:jc w:val="both"/>
        <w:rPr>
          <w:rFonts w:ascii="Arial" w:hAnsi="Arial" w:cs="Arial"/>
          <w:lang w:val="en-IE"/>
        </w:rPr>
      </w:pPr>
      <w:r w:rsidRPr="009B221F">
        <w:rPr>
          <w:rFonts w:ascii="Arial" w:hAnsi="Arial" w:cs="Arial"/>
          <w:lang w:val="en-IE"/>
        </w:rPr>
        <w:lastRenderedPageBreak/>
        <w:t>The Market Operator may utilise reasonable manual methods</w:t>
      </w:r>
      <w:r w:rsidR="000F3D77" w:rsidRPr="009B221F">
        <w:rPr>
          <w:rFonts w:ascii="Arial" w:hAnsi="Arial" w:cs="Arial"/>
          <w:lang w:val="en-IE"/>
        </w:rPr>
        <w:t>,</w:t>
      </w:r>
      <w:r w:rsidR="00527C6C" w:rsidRPr="009B221F">
        <w:rPr>
          <w:rFonts w:ascii="Arial" w:hAnsi="Arial" w:cs="Arial"/>
          <w:lang w:val="en-IE"/>
        </w:rPr>
        <w:t xml:space="preserve"> or any other available methods,</w:t>
      </w:r>
      <w:r w:rsidR="000F3D77" w:rsidRPr="009B221F">
        <w:rPr>
          <w:rFonts w:ascii="Arial" w:hAnsi="Arial" w:cs="Arial"/>
          <w:lang w:val="en-IE"/>
        </w:rPr>
        <w:t xml:space="preserve"> </w:t>
      </w:r>
      <w:r w:rsidRPr="009B221F">
        <w:rPr>
          <w:rFonts w:ascii="Arial" w:hAnsi="Arial" w:cs="Arial"/>
          <w:lang w:val="en-IE"/>
        </w:rPr>
        <w:t>to determine the materiality of any changes to Settlement Items, using inform</w:t>
      </w:r>
      <w:r w:rsidR="003B1CBA" w:rsidRPr="009B221F">
        <w:rPr>
          <w:rFonts w:ascii="Arial" w:hAnsi="Arial" w:cs="Arial"/>
          <w:lang w:val="en-IE"/>
        </w:rPr>
        <w:t>ation and data provided</w:t>
      </w:r>
      <w:r w:rsidRPr="009B221F">
        <w:rPr>
          <w:rFonts w:ascii="Arial" w:hAnsi="Arial" w:cs="Arial"/>
          <w:lang w:val="en-IE"/>
        </w:rPr>
        <w:t xml:space="preserve"> from Participants, System Operators, Interconnector Administrator and/or Meter Data Providers. </w:t>
      </w:r>
      <w:r w:rsidR="00A43E63" w:rsidRPr="009B221F">
        <w:rPr>
          <w:rFonts w:ascii="Arial" w:hAnsi="Arial" w:cs="Arial"/>
          <w:lang w:val="en-IE"/>
        </w:rPr>
        <w:t>The Market Operator shall inform the Raising Party and the Affected Participant(s) (if any) of the determination and of an estimate of the materiality within the times</w:t>
      </w:r>
      <w:r w:rsidR="00EB05D9" w:rsidRPr="009B221F">
        <w:rPr>
          <w:rFonts w:ascii="Arial" w:hAnsi="Arial" w:cs="Arial"/>
          <w:lang w:val="en-IE"/>
        </w:rPr>
        <w:t>cales specified in section 2.4</w:t>
      </w:r>
      <w:r w:rsidR="00283911" w:rsidRPr="009B221F">
        <w:rPr>
          <w:rFonts w:ascii="Arial" w:hAnsi="Arial" w:cs="Arial"/>
          <w:lang w:val="en-IE"/>
        </w:rPr>
        <w:t xml:space="preserve"> below</w:t>
      </w:r>
      <w:r w:rsidR="00A43E63" w:rsidRPr="009B221F">
        <w:rPr>
          <w:rFonts w:ascii="Arial" w:hAnsi="Arial" w:cs="Arial"/>
          <w:lang w:val="en-IE"/>
        </w:rPr>
        <w:t xml:space="preserve">. </w:t>
      </w:r>
    </w:p>
    <w:p w14:paraId="2410243E" w14:textId="77777777" w:rsidR="00A43E63" w:rsidRPr="009B221F" w:rsidRDefault="00A43E63" w:rsidP="00B96C9D">
      <w:pPr>
        <w:pStyle w:val="Body1"/>
        <w:spacing w:before="120" w:after="120"/>
        <w:jc w:val="both"/>
        <w:rPr>
          <w:rFonts w:ascii="Arial" w:hAnsi="Arial" w:cs="Arial"/>
          <w:lang w:val="en-IE"/>
        </w:rPr>
      </w:pPr>
      <w:r w:rsidRPr="009B221F">
        <w:rPr>
          <w:rFonts w:ascii="Arial" w:hAnsi="Arial" w:cs="Arial"/>
          <w:lang w:val="en-IE"/>
        </w:rPr>
        <w:t>If the Raising Party disagrees with the determination and</w:t>
      </w:r>
      <w:r w:rsidR="00A005E1" w:rsidRPr="009B221F">
        <w:rPr>
          <w:rFonts w:ascii="Arial" w:hAnsi="Arial" w:cs="Arial"/>
          <w:lang w:val="en-IE"/>
        </w:rPr>
        <w:t xml:space="preserve"> </w:t>
      </w:r>
      <w:r w:rsidRPr="009B221F">
        <w:rPr>
          <w:rFonts w:ascii="Arial" w:hAnsi="Arial" w:cs="Arial"/>
          <w:lang w:val="en-IE"/>
        </w:rPr>
        <w:t>/</w:t>
      </w:r>
      <w:r w:rsidR="00A005E1" w:rsidRPr="009B221F">
        <w:rPr>
          <w:rFonts w:ascii="Arial" w:hAnsi="Arial" w:cs="Arial"/>
          <w:lang w:val="en-IE"/>
        </w:rPr>
        <w:t xml:space="preserve"> </w:t>
      </w:r>
      <w:r w:rsidRPr="009B221F">
        <w:rPr>
          <w:rFonts w:ascii="Arial" w:hAnsi="Arial" w:cs="Arial"/>
          <w:lang w:val="en-IE"/>
        </w:rPr>
        <w:t>or the estimate of materiality then it may dispute this finding within five</w:t>
      </w:r>
      <w:r w:rsidR="00031839" w:rsidRPr="009B221F">
        <w:rPr>
          <w:rFonts w:ascii="Arial" w:hAnsi="Arial" w:cs="Arial"/>
          <w:lang w:val="en-IE"/>
        </w:rPr>
        <w:t xml:space="preserve"> </w:t>
      </w:r>
      <w:r w:rsidRPr="009B221F">
        <w:rPr>
          <w:rFonts w:ascii="Arial" w:hAnsi="Arial" w:cs="Arial"/>
          <w:lang w:val="en-IE"/>
        </w:rPr>
        <w:t>Working Days of being informed and may raise a Settlement Dispute in accordance with Agreed Procedure 14 “Disputes”.</w:t>
      </w:r>
    </w:p>
    <w:p w14:paraId="2410243F" w14:textId="77777777" w:rsidR="00B11B31" w:rsidRPr="009B221F" w:rsidRDefault="00B11B31" w:rsidP="009B221F">
      <w:pPr>
        <w:pStyle w:val="Body1"/>
        <w:spacing w:before="120" w:after="120"/>
        <w:jc w:val="both"/>
        <w:rPr>
          <w:rFonts w:ascii="Arial" w:hAnsi="Arial" w:cs="Arial"/>
          <w:lang w:val="en-IE"/>
        </w:rPr>
      </w:pPr>
    </w:p>
    <w:p w14:paraId="24102440" w14:textId="77777777" w:rsidR="00D34A1F" w:rsidRPr="00D34A1F" w:rsidRDefault="00B11B31" w:rsidP="00D34A1F">
      <w:pPr>
        <w:pStyle w:val="APNUMHEAD3"/>
        <w:numPr>
          <w:ilvl w:val="1"/>
          <w:numId w:val="9"/>
        </w:numPr>
        <w:spacing w:before="120" w:after="240"/>
        <w:jc w:val="both"/>
      </w:pPr>
      <w:r w:rsidRPr="00B96C9D">
        <w:t xml:space="preserve"> </w:t>
      </w:r>
      <w:bookmarkStart w:id="143" w:name="_Toc465936528"/>
      <w:bookmarkStart w:id="144" w:name="_Toc477420701"/>
      <w:bookmarkStart w:id="145" w:name="_Toc478995235"/>
      <w:r w:rsidRPr="001267B9">
        <w:t>Corrective Actions</w:t>
      </w:r>
      <w:bookmarkEnd w:id="143"/>
      <w:bookmarkEnd w:id="144"/>
      <w:bookmarkEnd w:id="145"/>
    </w:p>
    <w:p w14:paraId="24102441" w14:textId="77777777" w:rsidR="00C746EE" w:rsidRPr="00D116C3" w:rsidRDefault="00C746EE" w:rsidP="00D116C3">
      <w:pPr>
        <w:pStyle w:val="APHeading3"/>
      </w:pPr>
      <w:bookmarkStart w:id="146" w:name="_Toc465936529"/>
      <w:bookmarkStart w:id="147" w:name="_Toc477420702"/>
      <w:bookmarkStart w:id="148" w:name="_Toc478995236"/>
      <w:r w:rsidRPr="00D116C3">
        <w:t xml:space="preserve">Low </w:t>
      </w:r>
      <w:r w:rsidR="0080223D" w:rsidRPr="00D116C3">
        <w:t>Materiality</w:t>
      </w:r>
      <w:bookmarkEnd w:id="146"/>
      <w:bookmarkEnd w:id="147"/>
      <w:bookmarkEnd w:id="148"/>
      <w:r w:rsidR="002603C4" w:rsidRPr="00D116C3">
        <w:t xml:space="preserve"> </w:t>
      </w:r>
    </w:p>
    <w:p w14:paraId="24102442" w14:textId="77777777" w:rsidR="00C477A1" w:rsidRDefault="00EC7A4D" w:rsidP="0080223D">
      <w:pPr>
        <w:pStyle w:val="Body1"/>
        <w:spacing w:before="120" w:after="120"/>
        <w:jc w:val="both"/>
        <w:rPr>
          <w:rFonts w:ascii="Arial" w:hAnsi="Arial" w:cs="Arial"/>
          <w:lang w:val="en-IE"/>
        </w:rPr>
      </w:pPr>
      <w:r w:rsidRPr="009B221F" w:rsidDel="00452654">
        <w:rPr>
          <w:rFonts w:ascii="Arial" w:hAnsi="Arial" w:cs="Arial"/>
          <w:lang w:val="en-IE"/>
        </w:rPr>
        <w:t>Two Timetabled Settlement Reruns exist for each given Billing Period and Capacity Period, the fi</w:t>
      </w:r>
      <w:r w:rsidR="00D73B9D" w:rsidRPr="009B221F">
        <w:rPr>
          <w:rFonts w:ascii="Arial" w:hAnsi="Arial" w:cs="Arial"/>
          <w:lang w:val="en-IE"/>
        </w:rPr>
        <w:t>rst taking place within four</w:t>
      </w:r>
      <w:r w:rsidRPr="009B221F" w:rsidDel="00452654">
        <w:rPr>
          <w:rFonts w:ascii="Arial" w:hAnsi="Arial" w:cs="Arial"/>
          <w:lang w:val="en-IE"/>
        </w:rPr>
        <w:t xml:space="preserve"> months and</w:t>
      </w:r>
      <w:r w:rsidR="00D73B9D" w:rsidRPr="009B221F">
        <w:rPr>
          <w:rFonts w:ascii="Arial" w:hAnsi="Arial" w:cs="Arial"/>
          <w:lang w:val="en-IE"/>
        </w:rPr>
        <w:t xml:space="preserve"> the second within 13</w:t>
      </w:r>
      <w:r w:rsidRPr="009B221F" w:rsidDel="00452654">
        <w:rPr>
          <w:rFonts w:ascii="Arial" w:hAnsi="Arial" w:cs="Arial"/>
          <w:lang w:val="en-IE"/>
        </w:rPr>
        <w:t xml:space="preserve"> months after the relevant Billing Period or Capacity Period.</w:t>
      </w:r>
      <w:r w:rsidR="0008466E" w:rsidRPr="009B221F">
        <w:rPr>
          <w:rFonts w:ascii="Arial" w:hAnsi="Arial" w:cs="Arial"/>
          <w:lang w:val="en-IE"/>
        </w:rPr>
        <w:t xml:space="preserve"> </w:t>
      </w:r>
      <w:r w:rsidR="004E2011" w:rsidRPr="009B221F" w:rsidDel="00CB517B">
        <w:rPr>
          <w:rFonts w:ascii="Arial" w:hAnsi="Arial" w:cs="Arial"/>
          <w:lang w:val="en-IE"/>
        </w:rPr>
        <w:t>In the event that there is a change to Settlement Items with Low Materiality</w:t>
      </w:r>
      <w:r w:rsidR="00452654" w:rsidRPr="009B221F">
        <w:rPr>
          <w:rFonts w:ascii="Arial" w:hAnsi="Arial" w:cs="Arial"/>
          <w:lang w:val="en-IE"/>
        </w:rPr>
        <w:t xml:space="preserve"> resolved prior to the final Timetabled Settlement Rerun</w:t>
      </w:r>
      <w:r w:rsidR="004E2011" w:rsidRPr="009B221F" w:rsidDel="00CB517B">
        <w:rPr>
          <w:rFonts w:ascii="Arial" w:hAnsi="Arial" w:cs="Arial"/>
          <w:lang w:val="en-IE"/>
        </w:rPr>
        <w:t xml:space="preserve">, the Market Operator shall procure that the revised corrected input data shall be used for the relevant Settlement Period for which Final Settlement has not occurred, and Settlement shall then take place on the next </w:t>
      </w:r>
      <w:r w:rsidR="004E2011" w:rsidRPr="00D462A7" w:rsidDel="00CB517B">
        <w:rPr>
          <w:rFonts w:ascii="Arial" w:hAnsi="Arial" w:cs="Arial"/>
          <w:lang w:val="en-IE"/>
        </w:rPr>
        <w:t>T</w:t>
      </w:r>
      <w:r w:rsidR="004E2011" w:rsidRPr="009B221F" w:rsidDel="00CB517B">
        <w:rPr>
          <w:rFonts w:ascii="Arial" w:hAnsi="Arial" w:cs="Arial"/>
          <w:lang w:val="en-IE"/>
        </w:rPr>
        <w:t xml:space="preserve">imetabled Settlement Rerun. </w:t>
      </w:r>
    </w:p>
    <w:p w14:paraId="24102443" w14:textId="77777777" w:rsidR="00D34A1F" w:rsidRPr="009B221F" w:rsidDel="00CB517B" w:rsidRDefault="00D34A1F" w:rsidP="0080223D">
      <w:pPr>
        <w:pStyle w:val="Body1"/>
        <w:spacing w:before="120" w:after="120"/>
        <w:jc w:val="both"/>
        <w:rPr>
          <w:rFonts w:ascii="Arial" w:hAnsi="Arial" w:cs="Arial"/>
          <w:lang w:val="en-IE"/>
        </w:rPr>
      </w:pPr>
    </w:p>
    <w:p w14:paraId="24102444" w14:textId="77777777" w:rsidR="00C746EE" w:rsidRPr="00966023" w:rsidRDefault="00C746EE" w:rsidP="00D116C3">
      <w:pPr>
        <w:pStyle w:val="APHeading3"/>
      </w:pPr>
      <w:bookmarkStart w:id="149" w:name="_Toc465936530"/>
      <w:bookmarkStart w:id="150" w:name="_Toc477420703"/>
      <w:bookmarkStart w:id="151" w:name="_Toc478995237"/>
      <w:r w:rsidRPr="00966023">
        <w:t>High Materiality and Settlement Queries after the final Timetabled Settlement Rerun</w:t>
      </w:r>
      <w:bookmarkEnd w:id="149"/>
      <w:bookmarkEnd w:id="150"/>
      <w:bookmarkEnd w:id="151"/>
    </w:p>
    <w:p w14:paraId="24102445" w14:textId="77777777" w:rsidR="003B1CBA" w:rsidRPr="009B221F" w:rsidRDefault="004E2011" w:rsidP="008B0947">
      <w:pPr>
        <w:pStyle w:val="Body1"/>
        <w:spacing w:before="120" w:after="120"/>
        <w:jc w:val="both"/>
        <w:rPr>
          <w:rFonts w:ascii="Arial" w:hAnsi="Arial" w:cs="Arial"/>
          <w:lang w:val="en-IE"/>
        </w:rPr>
      </w:pPr>
      <w:r w:rsidRPr="009B221F" w:rsidDel="00CB517B">
        <w:rPr>
          <w:rFonts w:ascii="Arial" w:hAnsi="Arial" w:cs="Arial"/>
          <w:lang w:val="en-IE"/>
        </w:rPr>
        <w:t>In the event that there is a change to</w:t>
      </w:r>
      <w:r w:rsidR="00031839" w:rsidRPr="009B221F">
        <w:rPr>
          <w:rFonts w:ascii="Arial" w:hAnsi="Arial" w:cs="Arial"/>
          <w:lang w:val="en-IE"/>
        </w:rPr>
        <w:t xml:space="preserve">: </w:t>
      </w:r>
    </w:p>
    <w:p w14:paraId="24102446" w14:textId="77777777" w:rsidR="003B1CBA" w:rsidRPr="008B0947" w:rsidRDefault="004E2011" w:rsidP="00185F85">
      <w:pPr>
        <w:pStyle w:val="Body1"/>
        <w:numPr>
          <w:ilvl w:val="0"/>
          <w:numId w:val="11"/>
        </w:numPr>
        <w:tabs>
          <w:tab w:val="num" w:pos="720"/>
        </w:tabs>
        <w:spacing w:before="120" w:after="120"/>
        <w:ind w:hanging="720"/>
        <w:jc w:val="both"/>
        <w:rPr>
          <w:rFonts w:ascii="Arial" w:hAnsi="Arial" w:cs="Arial"/>
          <w:lang w:val="en-US"/>
        </w:rPr>
      </w:pPr>
      <w:r w:rsidRPr="008B0947" w:rsidDel="00CB517B">
        <w:rPr>
          <w:rFonts w:ascii="Arial" w:hAnsi="Arial" w:cs="Arial"/>
          <w:lang w:val="en-US"/>
        </w:rPr>
        <w:t>Settlement Items with Low Materiality resolved after the final Timetabled Settlement Rerun</w:t>
      </w:r>
      <w:r w:rsidR="00031839" w:rsidRPr="008B0947">
        <w:rPr>
          <w:rFonts w:ascii="Arial" w:hAnsi="Arial" w:cs="Arial"/>
          <w:lang w:val="en-US"/>
        </w:rPr>
        <w:t>;</w:t>
      </w:r>
      <w:r w:rsidRPr="008B0947" w:rsidDel="00CB517B">
        <w:rPr>
          <w:rFonts w:ascii="Arial" w:hAnsi="Arial" w:cs="Arial"/>
          <w:lang w:val="en-US"/>
        </w:rPr>
        <w:t xml:space="preserve"> or </w:t>
      </w:r>
    </w:p>
    <w:p w14:paraId="24102447" w14:textId="77777777" w:rsidR="00B96C9D" w:rsidRPr="008B0947" w:rsidRDefault="004E2011" w:rsidP="00185F85">
      <w:pPr>
        <w:pStyle w:val="Body1"/>
        <w:numPr>
          <w:ilvl w:val="0"/>
          <w:numId w:val="11"/>
        </w:numPr>
        <w:tabs>
          <w:tab w:val="num" w:pos="720"/>
        </w:tabs>
        <w:spacing w:before="120" w:after="120"/>
        <w:ind w:hanging="720"/>
        <w:jc w:val="both"/>
        <w:rPr>
          <w:rFonts w:ascii="Arial" w:hAnsi="Arial" w:cs="Arial"/>
          <w:lang w:val="en-US"/>
        </w:rPr>
      </w:pPr>
      <w:r w:rsidRPr="008B0947" w:rsidDel="00CB517B">
        <w:rPr>
          <w:rFonts w:ascii="Arial" w:hAnsi="Arial" w:cs="Arial"/>
          <w:lang w:val="en-US"/>
        </w:rPr>
        <w:t>Settleme</w:t>
      </w:r>
      <w:r w:rsidR="007E3F7F" w:rsidRPr="008B0947">
        <w:rPr>
          <w:rFonts w:ascii="Arial" w:hAnsi="Arial" w:cs="Arial"/>
          <w:lang w:val="en-US"/>
        </w:rPr>
        <w:t>nt Items with High Materiality,</w:t>
      </w:r>
    </w:p>
    <w:p w14:paraId="24102448" w14:textId="77777777" w:rsidR="001A4435" w:rsidRPr="009B221F" w:rsidRDefault="004E2011" w:rsidP="00B96C9D">
      <w:pPr>
        <w:pStyle w:val="Body1"/>
        <w:spacing w:before="120" w:after="120"/>
        <w:jc w:val="both"/>
        <w:rPr>
          <w:rFonts w:ascii="Arial" w:hAnsi="Arial" w:cs="Arial"/>
          <w:lang w:val="en-IE"/>
        </w:rPr>
      </w:pPr>
      <w:r w:rsidRPr="009B221F" w:rsidDel="00CB517B">
        <w:rPr>
          <w:rFonts w:ascii="Arial" w:hAnsi="Arial" w:cs="Arial"/>
          <w:lang w:val="en-IE"/>
        </w:rPr>
        <w:t>the Market Operator</w:t>
      </w:r>
      <w:r w:rsidRPr="009B221F">
        <w:rPr>
          <w:rFonts w:ascii="Arial" w:hAnsi="Arial" w:cs="Arial"/>
          <w:lang w:val="en-IE"/>
        </w:rPr>
        <w:t xml:space="preserve"> will </w:t>
      </w:r>
      <w:r w:rsidRPr="009B221F" w:rsidDel="00CB517B">
        <w:rPr>
          <w:rFonts w:ascii="Arial" w:hAnsi="Arial" w:cs="Arial"/>
          <w:lang w:val="en-IE"/>
        </w:rPr>
        <w:t>procure that an additional Settlement Rerun for the relevant Settlement Period</w:t>
      </w:r>
      <w:r w:rsidRPr="009B221F">
        <w:rPr>
          <w:rFonts w:ascii="Arial" w:hAnsi="Arial" w:cs="Arial"/>
          <w:lang w:val="en-IE"/>
        </w:rPr>
        <w:t xml:space="preserve"> will</w:t>
      </w:r>
      <w:r w:rsidRPr="009B221F" w:rsidDel="00CB517B">
        <w:rPr>
          <w:rFonts w:ascii="Arial" w:hAnsi="Arial" w:cs="Arial"/>
          <w:lang w:val="en-IE"/>
        </w:rPr>
        <w:t xml:space="preserve"> be performed.</w:t>
      </w:r>
      <w:r w:rsidR="00031839" w:rsidRPr="009B221F">
        <w:rPr>
          <w:rFonts w:ascii="Arial" w:hAnsi="Arial" w:cs="Arial"/>
          <w:lang w:val="en-IE"/>
        </w:rPr>
        <w:t xml:space="preserve">  </w:t>
      </w:r>
      <w:r w:rsidRPr="009B221F" w:rsidDel="00CB517B">
        <w:rPr>
          <w:rFonts w:ascii="Arial" w:hAnsi="Arial" w:cs="Arial"/>
          <w:lang w:val="en-IE"/>
        </w:rPr>
        <w:t xml:space="preserve">Should revised data from External Data Providers be required for this purpose, the Market Operator shall notify, within one Working Day, the External Data Providers required to submit the revised corrected data.  Such revised data shall be successfully submitted into the Central Market Systems by the External Data Provider within </w:t>
      </w:r>
      <w:r w:rsidR="00D73B9D" w:rsidRPr="009B221F">
        <w:rPr>
          <w:rFonts w:ascii="Arial" w:hAnsi="Arial" w:cs="Arial"/>
          <w:lang w:val="en-IE"/>
        </w:rPr>
        <w:t>10</w:t>
      </w:r>
      <w:r w:rsidR="007675B5" w:rsidRPr="009B221F">
        <w:rPr>
          <w:rFonts w:ascii="Arial" w:hAnsi="Arial" w:cs="Arial"/>
          <w:lang w:val="en-IE"/>
        </w:rPr>
        <w:t xml:space="preserve"> </w:t>
      </w:r>
      <w:r w:rsidRPr="009B221F" w:rsidDel="00CB517B">
        <w:rPr>
          <w:rFonts w:ascii="Arial" w:hAnsi="Arial" w:cs="Arial"/>
          <w:lang w:val="en-IE"/>
        </w:rPr>
        <w:t>Working Days of the notification.  The Market Operator shall complete the dedicated Settlement Rerun within 20 Working Days of the date of successful submission of revised data from the External Data Providers</w:t>
      </w:r>
      <w:r w:rsidR="001A4435" w:rsidRPr="009B221F">
        <w:rPr>
          <w:rFonts w:ascii="Arial" w:hAnsi="Arial" w:cs="Arial"/>
          <w:lang w:val="en-IE"/>
        </w:rPr>
        <w:t xml:space="preserve"> unless a Timetabled Settlement R</w:t>
      </w:r>
      <w:r w:rsidR="00D73B9D" w:rsidRPr="009B221F">
        <w:rPr>
          <w:rFonts w:ascii="Arial" w:hAnsi="Arial" w:cs="Arial"/>
          <w:lang w:val="en-IE"/>
        </w:rPr>
        <w:t>erun is scheduled within one</w:t>
      </w:r>
      <w:r w:rsidR="001A4435" w:rsidRPr="009B221F">
        <w:rPr>
          <w:rFonts w:ascii="Arial" w:hAnsi="Arial" w:cs="Arial"/>
          <w:lang w:val="en-IE"/>
        </w:rPr>
        <w:t xml:space="preserve"> month of the date of successful submission of revised data from the External Data Providers</w:t>
      </w:r>
      <w:r w:rsidR="00031839" w:rsidRPr="009B221F">
        <w:rPr>
          <w:rFonts w:ascii="Arial" w:hAnsi="Arial" w:cs="Arial"/>
          <w:lang w:val="en-IE"/>
        </w:rPr>
        <w:t>,</w:t>
      </w:r>
      <w:r w:rsidR="001A4435" w:rsidRPr="009B221F">
        <w:rPr>
          <w:rFonts w:ascii="Arial" w:hAnsi="Arial" w:cs="Arial"/>
          <w:lang w:val="en-IE"/>
        </w:rPr>
        <w:t xml:space="preserve"> in which case the dedicated Settlement Rerun will be included in that Timetabled Settlement Rerun.</w:t>
      </w:r>
    </w:p>
    <w:p w14:paraId="24102449" w14:textId="77777777" w:rsidR="004E2011" w:rsidRPr="009B221F" w:rsidRDefault="008D48D8" w:rsidP="008B0947">
      <w:pPr>
        <w:pStyle w:val="Body1"/>
        <w:spacing w:before="120" w:after="120"/>
        <w:jc w:val="both"/>
        <w:rPr>
          <w:rFonts w:ascii="Arial" w:hAnsi="Arial" w:cs="Arial"/>
          <w:lang w:val="en-IE"/>
        </w:rPr>
      </w:pPr>
      <w:r w:rsidRPr="009B221F">
        <w:rPr>
          <w:rFonts w:ascii="Arial" w:hAnsi="Arial" w:cs="Arial"/>
          <w:lang w:val="en-IE"/>
        </w:rPr>
        <w:t>Where</w:t>
      </w:r>
      <w:r w:rsidR="004E2011" w:rsidRPr="009B221F">
        <w:rPr>
          <w:rFonts w:ascii="Arial" w:hAnsi="Arial" w:cs="Arial"/>
          <w:lang w:val="en-IE"/>
        </w:rPr>
        <w:t xml:space="preserve"> such </w:t>
      </w:r>
      <w:r w:rsidRPr="009B221F">
        <w:rPr>
          <w:rFonts w:ascii="Arial" w:hAnsi="Arial" w:cs="Arial"/>
          <w:lang w:val="en-IE"/>
        </w:rPr>
        <w:t xml:space="preserve">dedicated </w:t>
      </w:r>
      <w:r w:rsidR="004E2011" w:rsidRPr="009B221F">
        <w:rPr>
          <w:rFonts w:ascii="Arial" w:hAnsi="Arial" w:cs="Arial"/>
          <w:lang w:val="en-IE"/>
        </w:rPr>
        <w:t xml:space="preserve">Settlement Rerun is required for a period greater than two Billing Periods for Trading Payments and Trading Charges or one Capacity Period for Capacity Payments and Capacity Charges, </w:t>
      </w:r>
      <w:r w:rsidR="0080223D" w:rsidRPr="009B221F">
        <w:rPr>
          <w:rFonts w:ascii="Arial" w:hAnsi="Arial" w:cs="Arial"/>
          <w:lang w:val="en-IE"/>
        </w:rPr>
        <w:t xml:space="preserve">the </w:t>
      </w:r>
      <w:r w:rsidR="004E2011" w:rsidRPr="009B221F">
        <w:rPr>
          <w:rFonts w:ascii="Arial" w:hAnsi="Arial" w:cs="Arial"/>
          <w:lang w:val="en-IE"/>
        </w:rPr>
        <w:t>M</w:t>
      </w:r>
      <w:r w:rsidR="0080223D" w:rsidRPr="009B221F">
        <w:rPr>
          <w:rFonts w:ascii="Arial" w:hAnsi="Arial" w:cs="Arial"/>
          <w:lang w:val="en-IE"/>
        </w:rPr>
        <w:t xml:space="preserve">arket </w:t>
      </w:r>
      <w:r w:rsidR="004E2011" w:rsidRPr="009B221F">
        <w:rPr>
          <w:rFonts w:ascii="Arial" w:hAnsi="Arial" w:cs="Arial"/>
          <w:lang w:val="en-IE"/>
        </w:rPr>
        <w:t>O</w:t>
      </w:r>
      <w:r w:rsidR="0080223D" w:rsidRPr="009B221F">
        <w:rPr>
          <w:rFonts w:ascii="Arial" w:hAnsi="Arial" w:cs="Arial"/>
          <w:lang w:val="en-IE"/>
        </w:rPr>
        <w:t>perator</w:t>
      </w:r>
      <w:r w:rsidR="004E2011" w:rsidRPr="009B221F">
        <w:rPr>
          <w:rFonts w:ascii="Arial" w:hAnsi="Arial" w:cs="Arial"/>
          <w:lang w:val="en-IE"/>
        </w:rPr>
        <w:t>, in consultation with Market Participants, may seek additional Working Days to allow for completio</w:t>
      </w:r>
      <w:r w:rsidR="004114E1" w:rsidRPr="009B221F">
        <w:rPr>
          <w:rFonts w:ascii="Arial" w:hAnsi="Arial" w:cs="Arial"/>
          <w:lang w:val="en-IE"/>
        </w:rPr>
        <w:t xml:space="preserve">n of such Settlement Reruns and, upon agreement from Market Participants, </w:t>
      </w:r>
      <w:r w:rsidR="004E2011" w:rsidRPr="009B221F">
        <w:rPr>
          <w:rFonts w:ascii="Arial" w:hAnsi="Arial" w:cs="Arial"/>
          <w:lang w:val="en-IE"/>
        </w:rPr>
        <w:t xml:space="preserve">issue a relevant update to the Settlement Calendar. </w:t>
      </w:r>
    </w:p>
    <w:p w14:paraId="2410244A" w14:textId="77777777" w:rsidR="00581BFD" w:rsidRPr="009B221F" w:rsidRDefault="00FB16BA" w:rsidP="008B0947">
      <w:pPr>
        <w:pStyle w:val="Body1"/>
        <w:spacing w:before="120" w:after="120"/>
        <w:jc w:val="both"/>
        <w:rPr>
          <w:rFonts w:ascii="Arial" w:hAnsi="Arial" w:cs="Arial"/>
          <w:lang w:val="en-IE"/>
        </w:rPr>
      </w:pPr>
      <w:r w:rsidRPr="009B221F">
        <w:rPr>
          <w:rFonts w:ascii="Arial" w:hAnsi="Arial" w:cs="Arial"/>
          <w:lang w:val="en-IE"/>
        </w:rPr>
        <w:lastRenderedPageBreak/>
        <w:t>Where the resolution of a Settlement Query requires a Settlement Rerun</w:t>
      </w:r>
      <w:r w:rsidR="006C332A" w:rsidRPr="009B221F">
        <w:rPr>
          <w:rFonts w:ascii="Arial" w:hAnsi="Arial" w:cs="Arial"/>
          <w:lang w:val="en-IE"/>
        </w:rPr>
        <w:t xml:space="preserve"> and an issue of </w:t>
      </w:r>
      <w:r w:rsidR="000578DC" w:rsidRPr="009B221F">
        <w:rPr>
          <w:rFonts w:ascii="Arial" w:hAnsi="Arial" w:cs="Arial"/>
          <w:lang w:val="en-IE"/>
        </w:rPr>
        <w:t>a Settlement</w:t>
      </w:r>
      <w:r w:rsidR="00031839" w:rsidRPr="009B221F">
        <w:rPr>
          <w:rFonts w:ascii="Arial" w:hAnsi="Arial" w:cs="Arial"/>
          <w:lang w:val="en-IE"/>
        </w:rPr>
        <w:t xml:space="preserve"> Document</w:t>
      </w:r>
      <w:r w:rsidRPr="009B221F">
        <w:rPr>
          <w:rFonts w:ascii="Arial" w:hAnsi="Arial" w:cs="Arial"/>
          <w:lang w:val="en-IE"/>
        </w:rPr>
        <w:t xml:space="preserve">, </w:t>
      </w:r>
      <w:r w:rsidR="00592156" w:rsidRPr="009B221F">
        <w:rPr>
          <w:rFonts w:ascii="Arial" w:hAnsi="Arial" w:cs="Arial"/>
          <w:lang w:val="en-IE"/>
        </w:rPr>
        <w:t>such</w:t>
      </w:r>
      <w:r w:rsidRPr="009B221F">
        <w:rPr>
          <w:rFonts w:ascii="Arial" w:hAnsi="Arial" w:cs="Arial"/>
          <w:lang w:val="en-IE"/>
        </w:rPr>
        <w:t xml:space="preserve"> Settlement Rerun will only be carried out in relation to the Settlement Day(s) that are the subject of the Settlement</w:t>
      </w:r>
      <w:r w:rsidR="00592156" w:rsidRPr="009B221F">
        <w:rPr>
          <w:rFonts w:ascii="Arial" w:hAnsi="Arial" w:cs="Arial"/>
          <w:lang w:val="en-IE"/>
        </w:rPr>
        <w:t xml:space="preserve"> Query</w:t>
      </w:r>
      <w:r w:rsidRPr="009B221F">
        <w:rPr>
          <w:rFonts w:ascii="Arial" w:hAnsi="Arial" w:cs="Arial"/>
          <w:lang w:val="en-IE"/>
        </w:rPr>
        <w:t xml:space="preserve"> </w:t>
      </w:r>
      <w:r w:rsidR="006C332A" w:rsidRPr="009B221F">
        <w:rPr>
          <w:rFonts w:ascii="Arial" w:hAnsi="Arial" w:cs="Arial"/>
          <w:lang w:val="en-IE"/>
        </w:rPr>
        <w:t xml:space="preserve">and within the scope of the </w:t>
      </w:r>
      <w:r w:rsidR="00AB568C" w:rsidRPr="009B221F">
        <w:rPr>
          <w:rFonts w:ascii="Arial" w:hAnsi="Arial" w:cs="Arial"/>
          <w:lang w:val="en-IE"/>
        </w:rPr>
        <w:t>Settlement Documents</w:t>
      </w:r>
      <w:r w:rsidR="006C332A" w:rsidRPr="009B221F">
        <w:rPr>
          <w:rFonts w:ascii="Arial" w:hAnsi="Arial" w:cs="Arial"/>
          <w:lang w:val="en-IE"/>
        </w:rPr>
        <w:t xml:space="preserve"> as appropriate.  T</w:t>
      </w:r>
      <w:r w:rsidRPr="009B221F">
        <w:rPr>
          <w:rFonts w:ascii="Arial" w:hAnsi="Arial" w:cs="Arial"/>
          <w:lang w:val="en-IE"/>
        </w:rPr>
        <w:t xml:space="preserve">he result of that Settlement Rerun </w:t>
      </w:r>
      <w:r w:rsidR="00FC72BC" w:rsidRPr="009B221F">
        <w:rPr>
          <w:rFonts w:ascii="Arial" w:hAnsi="Arial" w:cs="Arial"/>
          <w:lang w:val="en-IE"/>
        </w:rPr>
        <w:t>will</w:t>
      </w:r>
      <w:r w:rsidRPr="009B221F">
        <w:rPr>
          <w:rFonts w:ascii="Arial" w:hAnsi="Arial" w:cs="Arial"/>
          <w:lang w:val="en-IE"/>
        </w:rPr>
        <w:t xml:space="preserve"> be applied to all Participants</w:t>
      </w:r>
      <w:r w:rsidR="004114E1" w:rsidRPr="009B221F">
        <w:rPr>
          <w:rFonts w:ascii="Arial" w:hAnsi="Arial" w:cs="Arial"/>
          <w:lang w:val="en-IE"/>
        </w:rPr>
        <w:t xml:space="preserve"> as appropriate</w:t>
      </w:r>
      <w:r w:rsidRPr="009B221F">
        <w:rPr>
          <w:rFonts w:ascii="Arial" w:hAnsi="Arial" w:cs="Arial"/>
          <w:lang w:val="en-IE"/>
        </w:rPr>
        <w:t>.</w:t>
      </w:r>
    </w:p>
    <w:p w14:paraId="2410244B" w14:textId="77777777" w:rsidR="003533F7" w:rsidRDefault="003533F7" w:rsidP="00B96C9D">
      <w:pPr>
        <w:spacing w:before="120" w:after="120"/>
        <w:jc w:val="both"/>
        <w:rPr>
          <w:rFonts w:ascii="Arial" w:hAnsi="Arial" w:cs="Arial"/>
          <w:sz w:val="22"/>
          <w:szCs w:val="22"/>
        </w:rPr>
      </w:pPr>
    </w:p>
    <w:p w14:paraId="2410244C" w14:textId="77777777" w:rsidR="003533F7" w:rsidRPr="00A04D3F" w:rsidRDefault="003533F7" w:rsidP="00D116C3">
      <w:pPr>
        <w:pStyle w:val="APHeading3"/>
      </w:pPr>
      <w:bookmarkStart w:id="152" w:name="_Toc465936531"/>
      <w:bookmarkStart w:id="153" w:name="_Toc477420704"/>
      <w:bookmarkStart w:id="154" w:name="_Toc478995238"/>
      <w:r w:rsidRPr="00A04D3F">
        <w:t>Dissatisfaction with determination of Settlement Query</w:t>
      </w:r>
      <w:bookmarkEnd w:id="152"/>
      <w:bookmarkEnd w:id="153"/>
      <w:bookmarkEnd w:id="154"/>
    </w:p>
    <w:p w14:paraId="2410244D" w14:textId="77777777" w:rsidR="00E421D8" w:rsidRPr="009B221F" w:rsidRDefault="00581BFD" w:rsidP="008B0947">
      <w:pPr>
        <w:pStyle w:val="Body1"/>
        <w:spacing w:before="120" w:after="120"/>
        <w:jc w:val="both"/>
        <w:rPr>
          <w:rFonts w:ascii="Arial" w:hAnsi="Arial" w:cs="Arial"/>
          <w:lang w:val="en-IE"/>
        </w:rPr>
      </w:pPr>
      <w:r w:rsidRPr="009B221F">
        <w:rPr>
          <w:rFonts w:ascii="Arial" w:hAnsi="Arial" w:cs="Arial"/>
          <w:lang w:val="en-IE"/>
        </w:rPr>
        <w:t xml:space="preserve">In the event that the </w:t>
      </w:r>
      <w:r w:rsidR="00322155" w:rsidRPr="009B221F">
        <w:rPr>
          <w:rFonts w:ascii="Arial" w:hAnsi="Arial" w:cs="Arial"/>
          <w:lang w:val="en-IE"/>
        </w:rPr>
        <w:t>Raising Party</w:t>
      </w:r>
      <w:r w:rsidR="007C7A2A" w:rsidRPr="009B221F">
        <w:rPr>
          <w:rFonts w:ascii="Arial" w:hAnsi="Arial" w:cs="Arial"/>
          <w:lang w:val="en-IE"/>
        </w:rPr>
        <w:t xml:space="preserve"> </w:t>
      </w:r>
      <w:r w:rsidR="00395CEC" w:rsidRPr="009B221F">
        <w:rPr>
          <w:rFonts w:ascii="Arial" w:hAnsi="Arial" w:cs="Arial"/>
          <w:lang w:val="en-IE"/>
        </w:rPr>
        <w:t xml:space="preserve">or, where the Raising Party is the Market Operator, an Affected Participant, </w:t>
      </w:r>
      <w:r w:rsidR="007C7A2A" w:rsidRPr="009B221F">
        <w:rPr>
          <w:rFonts w:ascii="Arial" w:hAnsi="Arial" w:cs="Arial"/>
          <w:lang w:val="en-IE"/>
        </w:rPr>
        <w:t>i</w:t>
      </w:r>
      <w:r w:rsidR="00D53400" w:rsidRPr="009B221F">
        <w:rPr>
          <w:rFonts w:ascii="Arial" w:hAnsi="Arial" w:cs="Arial"/>
          <w:lang w:val="en-IE"/>
        </w:rPr>
        <w:t>s not sati</w:t>
      </w:r>
      <w:r w:rsidR="007C7A2A" w:rsidRPr="009B221F">
        <w:rPr>
          <w:rFonts w:ascii="Arial" w:hAnsi="Arial" w:cs="Arial"/>
          <w:lang w:val="en-IE"/>
        </w:rPr>
        <w:t xml:space="preserve">sfied with the Market Operator’s determination of a Settlement Query, </w:t>
      </w:r>
      <w:r w:rsidR="00395CEC" w:rsidRPr="009B221F">
        <w:rPr>
          <w:rFonts w:ascii="Arial" w:hAnsi="Arial" w:cs="Arial"/>
          <w:lang w:val="en-IE"/>
        </w:rPr>
        <w:t>they</w:t>
      </w:r>
      <w:r w:rsidR="007C7A2A" w:rsidRPr="009B221F">
        <w:rPr>
          <w:rFonts w:ascii="Arial" w:hAnsi="Arial" w:cs="Arial"/>
          <w:lang w:val="en-IE"/>
        </w:rPr>
        <w:t xml:space="preserve"> </w:t>
      </w:r>
      <w:r w:rsidR="00D53400" w:rsidRPr="009B221F">
        <w:rPr>
          <w:rFonts w:ascii="Arial" w:hAnsi="Arial" w:cs="Arial"/>
          <w:lang w:val="en-IE"/>
        </w:rPr>
        <w:t xml:space="preserve">may raise a Settlement Dispute under </w:t>
      </w:r>
      <w:r w:rsidR="00F960B0" w:rsidRPr="009B221F">
        <w:rPr>
          <w:rFonts w:ascii="Arial" w:hAnsi="Arial" w:cs="Arial"/>
          <w:lang w:val="en-IE"/>
        </w:rPr>
        <w:t>Agreed Procedure 14 “Disputes”</w:t>
      </w:r>
      <w:r w:rsidR="00D53400" w:rsidRPr="009B221F">
        <w:rPr>
          <w:rFonts w:ascii="Arial" w:hAnsi="Arial" w:cs="Arial"/>
          <w:lang w:val="en-IE"/>
        </w:rPr>
        <w:t xml:space="preserve"> within 5 Working Days of </w:t>
      </w:r>
      <w:r w:rsidR="00860BC8" w:rsidRPr="009B221F">
        <w:rPr>
          <w:rFonts w:ascii="Arial" w:hAnsi="Arial" w:cs="Arial"/>
          <w:lang w:val="en-IE"/>
        </w:rPr>
        <w:t>rece</w:t>
      </w:r>
      <w:r w:rsidR="00056ED0" w:rsidRPr="009B221F">
        <w:rPr>
          <w:rFonts w:ascii="Arial" w:hAnsi="Arial" w:cs="Arial"/>
          <w:lang w:val="en-IE"/>
        </w:rPr>
        <w:t>i</w:t>
      </w:r>
      <w:r w:rsidR="00860BC8" w:rsidRPr="009B221F">
        <w:rPr>
          <w:rFonts w:ascii="Arial" w:hAnsi="Arial" w:cs="Arial"/>
          <w:lang w:val="en-IE"/>
        </w:rPr>
        <w:t xml:space="preserve">pt of </w:t>
      </w:r>
      <w:r w:rsidR="00D53400" w:rsidRPr="009B221F">
        <w:rPr>
          <w:rFonts w:ascii="Arial" w:hAnsi="Arial" w:cs="Arial"/>
          <w:lang w:val="en-IE"/>
        </w:rPr>
        <w:t xml:space="preserve">the </w:t>
      </w:r>
      <w:r w:rsidR="00860BC8" w:rsidRPr="009B221F">
        <w:rPr>
          <w:rFonts w:ascii="Arial" w:hAnsi="Arial" w:cs="Arial"/>
          <w:lang w:val="en-IE"/>
        </w:rPr>
        <w:t xml:space="preserve">Market Operator’s </w:t>
      </w:r>
      <w:r w:rsidR="00D53400" w:rsidRPr="009B221F">
        <w:rPr>
          <w:rFonts w:ascii="Arial" w:hAnsi="Arial" w:cs="Arial"/>
          <w:lang w:val="en-IE"/>
        </w:rPr>
        <w:t>determination.</w:t>
      </w:r>
    </w:p>
    <w:p w14:paraId="2410244E" w14:textId="77777777" w:rsidR="00FA5062" w:rsidRPr="009B221F" w:rsidRDefault="00FA5062" w:rsidP="008B0947">
      <w:pPr>
        <w:pStyle w:val="Body1"/>
        <w:spacing w:before="120" w:after="120"/>
        <w:jc w:val="both"/>
        <w:rPr>
          <w:rFonts w:ascii="Arial" w:hAnsi="Arial" w:cs="Arial"/>
          <w:lang w:val="en-IE"/>
        </w:rPr>
      </w:pPr>
    </w:p>
    <w:p w14:paraId="2410244F" w14:textId="77777777" w:rsidR="00475F82" w:rsidRDefault="00682214" w:rsidP="00D73B9D">
      <w:pPr>
        <w:pStyle w:val="APNUMHEAD3"/>
        <w:numPr>
          <w:ilvl w:val="1"/>
          <w:numId w:val="9"/>
        </w:numPr>
        <w:spacing w:before="120" w:after="240"/>
        <w:jc w:val="both"/>
      </w:pPr>
      <w:bookmarkStart w:id="155" w:name="_Toc462901152"/>
      <w:bookmarkStart w:id="156" w:name="_Toc462901153"/>
      <w:bookmarkStart w:id="157" w:name="_Toc462901154"/>
      <w:bookmarkStart w:id="158" w:name="_Toc462901155"/>
      <w:bookmarkStart w:id="159" w:name="_Toc462901156"/>
      <w:bookmarkStart w:id="160" w:name="_Toc462901157"/>
      <w:bookmarkStart w:id="161" w:name="_Toc462901158"/>
      <w:bookmarkStart w:id="162" w:name="_Toc462901159"/>
      <w:bookmarkStart w:id="163" w:name="_Toc462901160"/>
      <w:bookmarkStart w:id="164" w:name="_Toc462901161"/>
      <w:bookmarkStart w:id="165" w:name="_Toc462901162"/>
      <w:bookmarkStart w:id="166" w:name="_Toc462901163"/>
      <w:bookmarkStart w:id="167" w:name="_Toc462901164"/>
      <w:bookmarkStart w:id="168" w:name="_Toc462901165"/>
      <w:bookmarkStart w:id="169" w:name="_Toc462901166"/>
      <w:bookmarkStart w:id="170" w:name="_Toc462901167"/>
      <w:bookmarkStart w:id="171" w:name="_Toc462901168"/>
      <w:bookmarkStart w:id="172" w:name="_Toc462901169"/>
      <w:bookmarkStart w:id="173" w:name="_Toc462901170"/>
      <w:bookmarkStart w:id="174" w:name="_Toc462901171"/>
      <w:bookmarkStart w:id="175" w:name="_Toc462901172"/>
      <w:bookmarkStart w:id="176" w:name="_Toc465936532"/>
      <w:bookmarkStart w:id="177" w:name="_Toc477420705"/>
      <w:bookmarkStart w:id="178" w:name="_Toc478995239"/>
      <w:bookmarkStart w:id="179" w:name="_Ref18384429"/>
      <w:bookmarkStart w:id="180" w:name="_Ref18384471"/>
      <w:bookmarkStart w:id="181" w:name="_Ref18384594"/>
      <w:bookmarkStart w:id="182" w:name="_Toc22548733"/>
      <w:bookmarkStart w:id="183" w:name="_Toc139788482"/>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t>Other</w:t>
      </w:r>
      <w:r w:rsidR="00475F82" w:rsidRPr="00475F82">
        <w:t xml:space="preserve"> Queries</w:t>
      </w:r>
      <w:bookmarkEnd w:id="176"/>
      <w:bookmarkEnd w:id="177"/>
      <w:bookmarkEnd w:id="178"/>
    </w:p>
    <w:p w14:paraId="24102450" w14:textId="77777777" w:rsidR="00786E02" w:rsidRDefault="00786E02" w:rsidP="008B0947">
      <w:pPr>
        <w:pStyle w:val="Body1"/>
        <w:spacing w:before="120" w:after="120"/>
        <w:jc w:val="both"/>
        <w:rPr>
          <w:rFonts w:ascii="Arial" w:hAnsi="Arial" w:cs="Arial"/>
          <w:lang w:val="en-IE"/>
        </w:rPr>
      </w:pPr>
      <w:r w:rsidRPr="009B221F">
        <w:rPr>
          <w:rFonts w:ascii="Arial" w:hAnsi="Arial" w:cs="Arial"/>
          <w:lang w:val="en-IE"/>
        </w:rPr>
        <w:t>Any query received by the Market Operator which is not a Settlement Query</w:t>
      </w:r>
      <w:r w:rsidR="00870625" w:rsidRPr="009B221F">
        <w:rPr>
          <w:rFonts w:ascii="Arial" w:hAnsi="Arial" w:cs="Arial"/>
          <w:lang w:val="en-IE"/>
        </w:rPr>
        <w:t xml:space="preserve"> or the subject of a Notice of Dispute</w:t>
      </w:r>
      <w:r w:rsidRPr="009B221F">
        <w:rPr>
          <w:rFonts w:ascii="Arial" w:hAnsi="Arial" w:cs="Arial"/>
          <w:lang w:val="en-IE"/>
        </w:rPr>
        <w:t xml:space="preserve">, will be logged as a </w:t>
      </w:r>
      <w:r w:rsidR="008B576E">
        <w:rPr>
          <w:rFonts w:ascii="Arial" w:hAnsi="Arial" w:cs="Arial"/>
          <w:lang w:val="en-IE"/>
        </w:rPr>
        <w:t>g</w:t>
      </w:r>
      <w:r w:rsidR="00475F82" w:rsidRPr="009B221F">
        <w:rPr>
          <w:rFonts w:ascii="Arial" w:hAnsi="Arial" w:cs="Arial"/>
          <w:lang w:val="en-IE"/>
        </w:rPr>
        <w:t xml:space="preserve">eneral </w:t>
      </w:r>
      <w:r w:rsidR="008B576E">
        <w:rPr>
          <w:rFonts w:ascii="Arial" w:hAnsi="Arial" w:cs="Arial"/>
          <w:lang w:val="en-IE"/>
        </w:rPr>
        <w:t>q</w:t>
      </w:r>
      <w:r w:rsidR="00870625" w:rsidRPr="009B221F">
        <w:rPr>
          <w:rFonts w:ascii="Arial" w:hAnsi="Arial" w:cs="Arial"/>
          <w:lang w:val="en-IE"/>
        </w:rPr>
        <w:t>uer</w:t>
      </w:r>
      <w:r w:rsidRPr="009B221F">
        <w:rPr>
          <w:rFonts w:ascii="Arial" w:hAnsi="Arial" w:cs="Arial"/>
          <w:lang w:val="en-IE"/>
        </w:rPr>
        <w:t>y</w:t>
      </w:r>
      <w:r w:rsidR="00870625" w:rsidRPr="009B221F">
        <w:rPr>
          <w:rFonts w:ascii="Arial" w:hAnsi="Arial" w:cs="Arial"/>
          <w:lang w:val="en-IE"/>
        </w:rPr>
        <w:t xml:space="preserve"> and processed by the Market Operator in accordance with Agreed Procedure 11 “Market System Operation, Testing, Upgrading and Support”.</w:t>
      </w:r>
      <w:r w:rsidRPr="009B221F">
        <w:rPr>
          <w:rFonts w:ascii="Arial" w:hAnsi="Arial" w:cs="Arial"/>
          <w:lang w:val="en-IE"/>
        </w:rPr>
        <w:t xml:space="preserve"> </w:t>
      </w:r>
    </w:p>
    <w:p w14:paraId="24102451" w14:textId="77777777" w:rsidR="000C0999" w:rsidRPr="00915A2A" w:rsidRDefault="000C0999" w:rsidP="00915A2A">
      <w:pPr>
        <w:rPr>
          <w:lang w:val="en-IE"/>
        </w:rPr>
        <w:sectPr w:rsidR="000C0999" w:rsidRPr="00915A2A" w:rsidSect="00F06FFD">
          <w:headerReference w:type="default" r:id="rId17"/>
          <w:footerReference w:type="default" r:id="rId18"/>
          <w:type w:val="continuous"/>
          <w:pgSz w:w="11907" w:h="16840" w:code="9"/>
          <w:pgMar w:top="1440" w:right="1440" w:bottom="1440" w:left="1440" w:header="720" w:footer="720" w:gutter="0"/>
          <w:pgNumType w:start="1"/>
          <w:cols w:space="720"/>
        </w:sectPr>
      </w:pPr>
      <w:bookmarkStart w:id="184" w:name="_Toc141783355"/>
    </w:p>
    <w:p w14:paraId="24102452" w14:textId="77777777" w:rsidR="009F5B15" w:rsidRPr="00B96C9D" w:rsidRDefault="00F34F0C" w:rsidP="00D73B9D">
      <w:pPr>
        <w:pStyle w:val="APNUMHEAD1"/>
        <w:numPr>
          <w:ilvl w:val="0"/>
          <w:numId w:val="9"/>
        </w:numPr>
        <w:tabs>
          <w:tab w:val="clear" w:pos="851"/>
          <w:tab w:val="num" w:pos="990"/>
        </w:tabs>
        <w:overflowPunct w:val="0"/>
        <w:autoSpaceDE w:val="0"/>
        <w:autoSpaceDN w:val="0"/>
        <w:adjustRightInd w:val="0"/>
        <w:spacing w:after="360"/>
        <w:ind w:left="994" w:hanging="994"/>
        <w:jc w:val="both"/>
        <w:textAlignment w:val="baseline"/>
        <w:outlineLvl w:val="0"/>
        <w:rPr>
          <w:rFonts w:cs="Arial"/>
          <w:bCs/>
          <w:kern w:val="28"/>
          <w:szCs w:val="28"/>
          <w:lang w:val="en-IE" w:eastAsia="en-GB"/>
        </w:rPr>
      </w:pPr>
      <w:bookmarkStart w:id="185" w:name="_Toc166754984"/>
      <w:bookmarkStart w:id="186" w:name="_Toc166754985"/>
      <w:bookmarkStart w:id="187" w:name="_Toc166754987"/>
      <w:bookmarkStart w:id="188" w:name="_Toc166754988"/>
      <w:bookmarkStart w:id="189" w:name="_Toc465936533"/>
      <w:bookmarkStart w:id="190" w:name="_Toc477420706"/>
      <w:bookmarkStart w:id="191" w:name="_Toc478995240"/>
      <w:bookmarkEnd w:id="184"/>
      <w:bookmarkEnd w:id="185"/>
      <w:bookmarkEnd w:id="186"/>
      <w:bookmarkEnd w:id="187"/>
      <w:bookmarkEnd w:id="188"/>
      <w:r w:rsidRPr="00B96C9D">
        <w:rPr>
          <w:rFonts w:cs="Arial"/>
          <w:bCs/>
          <w:kern w:val="28"/>
          <w:szCs w:val="28"/>
          <w:lang w:val="en-IE" w:eastAsia="en-GB"/>
        </w:rPr>
        <w:lastRenderedPageBreak/>
        <w:t>Procedural Steps</w:t>
      </w:r>
      <w:bookmarkEnd w:id="189"/>
      <w:bookmarkEnd w:id="190"/>
      <w:bookmarkEnd w:id="191"/>
      <w:r w:rsidR="004A394F" w:rsidRPr="00B96C9D">
        <w:rPr>
          <w:rFonts w:cs="Arial"/>
          <w:bCs/>
          <w:kern w:val="28"/>
          <w:szCs w:val="28"/>
          <w:lang w:val="en-IE" w:eastAsia="en-GB"/>
        </w:rPr>
        <w:t xml:space="preserve"> </w:t>
      </w:r>
    </w:p>
    <w:p w14:paraId="24102453" w14:textId="77777777" w:rsidR="000B3B7F" w:rsidRPr="001267B9" w:rsidRDefault="00C267EA" w:rsidP="00825DDF">
      <w:pPr>
        <w:pStyle w:val="APNUMHEAD3"/>
        <w:spacing w:before="120" w:after="240"/>
        <w:jc w:val="both"/>
      </w:pPr>
      <w:bookmarkStart w:id="192" w:name="_Toc462901175"/>
      <w:bookmarkStart w:id="193" w:name="_Toc462901491"/>
      <w:bookmarkStart w:id="194" w:name="_Toc462901492"/>
      <w:bookmarkStart w:id="195" w:name="_Toc462901493"/>
      <w:bookmarkStart w:id="196" w:name="_Toc465936534"/>
      <w:bookmarkStart w:id="197" w:name="_Toc477420707"/>
      <w:bookmarkStart w:id="198" w:name="_Toc478995241"/>
      <w:bookmarkEnd w:id="192"/>
      <w:bookmarkEnd w:id="193"/>
      <w:bookmarkEnd w:id="194"/>
      <w:bookmarkEnd w:id="195"/>
      <w:r>
        <w:t>Settlement Queries</w:t>
      </w:r>
      <w:bookmarkEnd w:id="196"/>
      <w:bookmarkEnd w:id="197"/>
      <w:bookmarkEnd w:id="198"/>
    </w:p>
    <w:tbl>
      <w:tblPr>
        <w:tblStyle w:val="TableList3"/>
        <w:tblW w:w="14238" w:type="dxa"/>
        <w:tblLayout w:type="fixed"/>
        <w:tblLook w:val="01E0" w:firstRow="1" w:lastRow="1" w:firstColumn="1" w:lastColumn="1" w:noHBand="0" w:noVBand="0"/>
      </w:tblPr>
      <w:tblGrid>
        <w:gridCol w:w="707"/>
        <w:gridCol w:w="5251"/>
        <w:gridCol w:w="2610"/>
        <w:gridCol w:w="1800"/>
        <w:gridCol w:w="1800"/>
        <w:gridCol w:w="2070"/>
      </w:tblGrid>
      <w:tr w:rsidR="00B96C9D" w:rsidRPr="00B96C9D" w14:paraId="2410245A" w14:textId="77777777" w:rsidTr="00625E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7" w:type="dxa"/>
            <w:shd w:val="clear" w:color="auto" w:fill="F2F2F2" w:themeFill="background1" w:themeFillShade="F2"/>
          </w:tcPr>
          <w:p w14:paraId="24102454" w14:textId="77777777" w:rsidR="00AE3A5C" w:rsidRPr="000B6214" w:rsidRDefault="00B96C9D" w:rsidP="009C47B3">
            <w:pPr>
              <w:pStyle w:val="ProcedureBody1"/>
              <w:spacing w:before="120" w:after="120"/>
              <w:rPr>
                <w:rFonts w:cs="Arial"/>
                <w:color w:val="auto"/>
                <w:sz w:val="22"/>
                <w:szCs w:val="22"/>
                <w:lang w:val="en-IE"/>
              </w:rPr>
            </w:pPr>
            <w:r w:rsidRPr="000B6214">
              <w:rPr>
                <w:rFonts w:cs="Arial"/>
                <w:color w:val="auto"/>
                <w:sz w:val="22"/>
                <w:szCs w:val="22"/>
                <w:lang w:val="en-IE"/>
              </w:rPr>
              <w:t>Step</w:t>
            </w:r>
          </w:p>
        </w:tc>
        <w:tc>
          <w:tcPr>
            <w:tcW w:w="5251" w:type="dxa"/>
            <w:shd w:val="clear" w:color="auto" w:fill="F2F2F2" w:themeFill="background1" w:themeFillShade="F2"/>
          </w:tcPr>
          <w:p w14:paraId="24102455" w14:textId="77777777" w:rsidR="00AE3A5C" w:rsidRPr="000B6214" w:rsidRDefault="00AE3A5C" w:rsidP="009C47B3">
            <w:pPr>
              <w:pStyle w:val="ProcedureBody1"/>
              <w:spacing w:before="120" w:after="120"/>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IE"/>
              </w:rPr>
            </w:pPr>
            <w:r w:rsidRPr="000B6214">
              <w:rPr>
                <w:rFonts w:cs="Arial"/>
                <w:color w:val="auto"/>
                <w:sz w:val="22"/>
                <w:szCs w:val="22"/>
                <w:lang w:val="en-IE"/>
              </w:rPr>
              <w:t>Step</w:t>
            </w:r>
            <w:r w:rsidR="00B96C9D" w:rsidRPr="000B6214">
              <w:rPr>
                <w:rFonts w:cs="Arial"/>
                <w:color w:val="auto"/>
                <w:sz w:val="22"/>
                <w:szCs w:val="22"/>
                <w:lang w:val="en-IE"/>
              </w:rPr>
              <w:t xml:space="preserve"> Description</w:t>
            </w:r>
          </w:p>
        </w:tc>
        <w:tc>
          <w:tcPr>
            <w:tcW w:w="2610" w:type="dxa"/>
            <w:shd w:val="clear" w:color="auto" w:fill="F2F2F2" w:themeFill="background1" w:themeFillShade="F2"/>
          </w:tcPr>
          <w:p w14:paraId="24102456" w14:textId="77777777" w:rsidR="00AE3A5C" w:rsidRPr="000B6214" w:rsidRDefault="00AE3A5C" w:rsidP="009C47B3">
            <w:pPr>
              <w:pStyle w:val="ProcedureBody1"/>
              <w:spacing w:before="120" w:after="120"/>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IE"/>
              </w:rPr>
            </w:pPr>
            <w:r w:rsidRPr="000B6214">
              <w:rPr>
                <w:rFonts w:cs="Arial"/>
                <w:color w:val="auto"/>
                <w:sz w:val="22"/>
                <w:szCs w:val="22"/>
                <w:lang w:val="en-IE"/>
              </w:rPr>
              <w:t>Timing</w:t>
            </w:r>
          </w:p>
        </w:tc>
        <w:tc>
          <w:tcPr>
            <w:tcW w:w="1800" w:type="dxa"/>
            <w:shd w:val="clear" w:color="auto" w:fill="F2F2F2" w:themeFill="background1" w:themeFillShade="F2"/>
          </w:tcPr>
          <w:p w14:paraId="24102457" w14:textId="77777777" w:rsidR="00AE3A5C" w:rsidRPr="000B6214" w:rsidRDefault="00AE3A5C" w:rsidP="009C47B3">
            <w:pPr>
              <w:pStyle w:val="ProcedureBody1"/>
              <w:spacing w:before="120" w:after="120"/>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IE"/>
              </w:rPr>
            </w:pPr>
            <w:r w:rsidRPr="000B6214">
              <w:rPr>
                <w:rFonts w:cs="Arial"/>
                <w:color w:val="auto"/>
                <w:sz w:val="22"/>
                <w:szCs w:val="22"/>
                <w:lang w:val="en-IE"/>
              </w:rPr>
              <w:t>Mechanism</w:t>
            </w:r>
          </w:p>
        </w:tc>
        <w:tc>
          <w:tcPr>
            <w:tcW w:w="1800" w:type="dxa"/>
            <w:shd w:val="clear" w:color="auto" w:fill="F2F2F2" w:themeFill="background1" w:themeFillShade="F2"/>
          </w:tcPr>
          <w:p w14:paraId="24102458" w14:textId="77777777" w:rsidR="00AE3A5C" w:rsidRPr="000B6214" w:rsidRDefault="00AE3A5C" w:rsidP="009C47B3">
            <w:pPr>
              <w:pStyle w:val="ProcedureBody1"/>
              <w:spacing w:before="120" w:after="120"/>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IE"/>
              </w:rPr>
            </w:pPr>
            <w:r w:rsidRPr="000B6214">
              <w:rPr>
                <w:rFonts w:cs="Arial"/>
                <w:color w:val="auto"/>
                <w:sz w:val="22"/>
                <w:szCs w:val="22"/>
                <w:lang w:val="en-IE"/>
              </w:rPr>
              <w:t>By / From</w:t>
            </w:r>
          </w:p>
        </w:tc>
        <w:tc>
          <w:tcPr>
            <w:tcW w:w="2070" w:type="dxa"/>
            <w:shd w:val="clear" w:color="auto" w:fill="F2F2F2" w:themeFill="background1" w:themeFillShade="F2"/>
          </w:tcPr>
          <w:p w14:paraId="24102459" w14:textId="77777777" w:rsidR="00AE3A5C" w:rsidRPr="000B6214" w:rsidRDefault="00AE3A5C" w:rsidP="009C47B3">
            <w:pPr>
              <w:pStyle w:val="ProcedureBody1"/>
              <w:spacing w:before="120" w:after="120"/>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IE"/>
              </w:rPr>
            </w:pPr>
            <w:r w:rsidRPr="000B6214">
              <w:rPr>
                <w:rFonts w:cs="Arial"/>
                <w:color w:val="auto"/>
                <w:sz w:val="22"/>
                <w:szCs w:val="22"/>
                <w:lang w:val="en-IE"/>
              </w:rPr>
              <w:t>To</w:t>
            </w:r>
          </w:p>
        </w:tc>
      </w:tr>
      <w:tr w:rsidR="00AE3A5C" w:rsidRPr="001267B9" w14:paraId="24102462"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5B" w14:textId="77777777" w:rsidR="00AE3A5C" w:rsidRPr="0075720D" w:rsidRDefault="00AE3A5C" w:rsidP="0075720D">
            <w:pPr>
              <w:pStyle w:val="ProcedureBody1"/>
              <w:numPr>
                <w:ilvl w:val="0"/>
                <w:numId w:val="14"/>
              </w:numPr>
              <w:ind w:left="360"/>
              <w:rPr>
                <w:rFonts w:ascii="Arial" w:hAnsi="Arial" w:cs="Arial"/>
                <w:sz w:val="22"/>
                <w:szCs w:val="22"/>
                <w:lang w:val="en-IE"/>
              </w:rPr>
            </w:pPr>
          </w:p>
        </w:tc>
        <w:tc>
          <w:tcPr>
            <w:tcW w:w="5251" w:type="dxa"/>
          </w:tcPr>
          <w:p w14:paraId="2410245C"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Raise Settlement Query by completing and submitting the Settlement Query Form </w:t>
            </w:r>
            <w:r w:rsidR="00505AAC">
              <w:rPr>
                <w:rFonts w:ascii="Arial" w:hAnsi="Arial" w:cs="Arial"/>
                <w:sz w:val="22"/>
                <w:szCs w:val="22"/>
                <w:lang w:val="en-IE"/>
              </w:rPr>
              <w:t>available on the Market Operator’s website</w:t>
            </w:r>
            <w:r w:rsidR="00F169CD">
              <w:rPr>
                <w:rFonts w:ascii="Arial" w:hAnsi="Arial" w:cs="Arial"/>
                <w:sz w:val="22"/>
                <w:szCs w:val="22"/>
                <w:lang w:val="en-IE"/>
              </w:rPr>
              <w:t>.</w:t>
            </w:r>
          </w:p>
          <w:p w14:paraId="2410245D"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c>
          <w:tcPr>
            <w:tcW w:w="2610" w:type="dxa"/>
          </w:tcPr>
          <w:p w14:paraId="2410245E" w14:textId="77777777" w:rsidR="00AE3A5C" w:rsidRPr="008B0947" w:rsidRDefault="009857D4"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Before 17:00 on the 20th WD after issuing the last set of scheduled Settlement Statements and p</w:t>
            </w:r>
            <w:r w:rsidR="00AE3A5C" w:rsidRPr="008B0947">
              <w:rPr>
                <w:rFonts w:ascii="Arial" w:hAnsi="Arial" w:cs="Arial"/>
                <w:sz w:val="22"/>
                <w:szCs w:val="22"/>
                <w:lang w:val="en-IE"/>
              </w:rPr>
              <w:t>rior  to  last</w:t>
            </w:r>
            <w:r w:rsidR="006776CB" w:rsidRPr="008B0947">
              <w:rPr>
                <w:rFonts w:ascii="Arial" w:hAnsi="Arial" w:cs="Arial"/>
                <w:sz w:val="22"/>
                <w:szCs w:val="22"/>
                <w:lang w:val="en-IE"/>
              </w:rPr>
              <w:t xml:space="preserve"> Timetabled Settlement Rerun </w:t>
            </w:r>
          </w:p>
        </w:tc>
        <w:tc>
          <w:tcPr>
            <w:tcW w:w="1800" w:type="dxa"/>
          </w:tcPr>
          <w:p w14:paraId="2410245F" w14:textId="77777777" w:rsidR="00AE3A5C" w:rsidRPr="008B0947" w:rsidRDefault="00AE3A5C"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Pr="008B0947">
              <w:rPr>
                <w:rFonts w:ascii="Arial" w:hAnsi="Arial" w:cs="Arial"/>
                <w:sz w:val="22"/>
                <w:szCs w:val="22"/>
                <w:lang w:val="en-IE"/>
              </w:rPr>
              <w:t xml:space="preserve"> </w:t>
            </w:r>
          </w:p>
        </w:tc>
        <w:tc>
          <w:tcPr>
            <w:tcW w:w="1800" w:type="dxa"/>
          </w:tcPr>
          <w:p w14:paraId="24102460"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Raising Party</w:t>
            </w:r>
          </w:p>
        </w:tc>
        <w:tc>
          <w:tcPr>
            <w:tcW w:w="2070" w:type="dxa"/>
          </w:tcPr>
          <w:p w14:paraId="24102461"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r>
      <w:tr w:rsidR="00AE3A5C" w:rsidRPr="001267B9" w14:paraId="24102469"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63"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64" w14:textId="77777777" w:rsidR="00AE3A5C" w:rsidRPr="008B0947" w:rsidRDefault="00AE3A5C" w:rsidP="00505AAC">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Log Settlement Query in accordance with Agreed Procedure 11 “Market System Operation, Testing, Upgrading and Support”. </w:t>
            </w:r>
            <w:r w:rsidR="00031839" w:rsidRPr="008B0947">
              <w:rPr>
                <w:rFonts w:ascii="Arial" w:hAnsi="Arial" w:cs="Arial"/>
                <w:sz w:val="22"/>
                <w:szCs w:val="22"/>
                <w:lang w:val="en-IE"/>
              </w:rPr>
              <w:t xml:space="preserve"> </w:t>
            </w:r>
            <w:r w:rsidRPr="008B0947">
              <w:rPr>
                <w:rFonts w:ascii="Arial" w:hAnsi="Arial" w:cs="Arial"/>
                <w:sz w:val="22"/>
                <w:szCs w:val="22"/>
                <w:lang w:val="en-IE"/>
              </w:rPr>
              <w:t xml:space="preserve">Validate Settlement Query for completeness as set out in Appendix </w:t>
            </w:r>
            <w:r w:rsidR="008E6187">
              <w:rPr>
                <w:rFonts w:ascii="Arial" w:hAnsi="Arial" w:cs="Arial"/>
                <w:sz w:val="22"/>
                <w:szCs w:val="22"/>
                <w:lang w:val="en-IE"/>
              </w:rPr>
              <w:t>1</w:t>
            </w:r>
            <w:r w:rsidR="0044120F" w:rsidRPr="008B0947">
              <w:rPr>
                <w:rFonts w:ascii="Arial" w:hAnsi="Arial" w:cs="Arial"/>
                <w:sz w:val="22"/>
                <w:szCs w:val="22"/>
                <w:lang w:val="en-IE"/>
              </w:rPr>
              <w:t xml:space="preserve"> </w:t>
            </w:r>
            <w:r w:rsidR="00061E05">
              <w:rPr>
                <w:rFonts w:ascii="Arial" w:hAnsi="Arial" w:cs="Arial"/>
                <w:sz w:val="22"/>
                <w:szCs w:val="22"/>
                <w:lang w:val="en-IE"/>
              </w:rPr>
              <w:t>“</w:t>
            </w:r>
            <w:r w:rsidR="0044120F" w:rsidRPr="008B0947">
              <w:rPr>
                <w:rFonts w:ascii="Arial" w:hAnsi="Arial" w:cs="Arial"/>
                <w:sz w:val="22"/>
                <w:szCs w:val="22"/>
                <w:lang w:val="en-IE"/>
              </w:rPr>
              <w:t>Query Form Validation</w:t>
            </w:r>
            <w:r w:rsidR="00061E05">
              <w:rPr>
                <w:rFonts w:ascii="Arial" w:hAnsi="Arial" w:cs="Arial"/>
                <w:sz w:val="22"/>
                <w:szCs w:val="22"/>
                <w:lang w:val="en-IE"/>
              </w:rPr>
              <w:t>”</w:t>
            </w:r>
            <w:r w:rsidR="00B36F35" w:rsidRPr="008B0947">
              <w:rPr>
                <w:rFonts w:ascii="Arial" w:hAnsi="Arial" w:cs="Arial"/>
                <w:sz w:val="22"/>
                <w:szCs w:val="22"/>
                <w:lang w:val="en-IE"/>
              </w:rPr>
              <w:t>.  I</w:t>
            </w:r>
            <w:r w:rsidRPr="008B0947">
              <w:rPr>
                <w:rFonts w:ascii="Arial" w:hAnsi="Arial" w:cs="Arial"/>
                <w:sz w:val="22"/>
                <w:szCs w:val="22"/>
                <w:lang w:val="en-IE"/>
              </w:rPr>
              <w:t xml:space="preserve">f valid </w:t>
            </w:r>
            <w:r w:rsidR="00CC73D3" w:rsidRPr="008B0947">
              <w:rPr>
                <w:rFonts w:ascii="Arial" w:hAnsi="Arial" w:cs="Arial"/>
                <w:sz w:val="22"/>
                <w:szCs w:val="22"/>
                <w:lang w:val="en-IE"/>
              </w:rPr>
              <w:t>go to</w:t>
            </w:r>
            <w:r w:rsidRPr="008B0947">
              <w:rPr>
                <w:rFonts w:ascii="Arial" w:hAnsi="Arial" w:cs="Arial"/>
                <w:sz w:val="22"/>
                <w:szCs w:val="22"/>
                <w:lang w:val="en-IE"/>
              </w:rPr>
              <w:t xml:space="preserve"> step 5</w:t>
            </w:r>
            <w:r w:rsidR="00B36F35" w:rsidRPr="008B0947">
              <w:rPr>
                <w:rFonts w:ascii="Arial" w:hAnsi="Arial" w:cs="Arial"/>
                <w:sz w:val="22"/>
                <w:szCs w:val="22"/>
                <w:lang w:val="en-IE"/>
              </w:rPr>
              <w:t>,</w:t>
            </w:r>
            <w:r w:rsidRPr="008B0947">
              <w:rPr>
                <w:rFonts w:ascii="Arial" w:hAnsi="Arial" w:cs="Arial"/>
                <w:sz w:val="22"/>
                <w:szCs w:val="22"/>
                <w:lang w:val="en-IE"/>
              </w:rPr>
              <w:t xml:space="preserve"> or</w:t>
            </w:r>
            <w:r w:rsidR="00031839" w:rsidRPr="008B0947">
              <w:rPr>
                <w:rFonts w:ascii="Arial" w:hAnsi="Arial" w:cs="Arial"/>
                <w:sz w:val="22"/>
                <w:szCs w:val="22"/>
                <w:lang w:val="en-IE"/>
              </w:rPr>
              <w:t xml:space="preserve"> i</w:t>
            </w:r>
            <w:r w:rsidR="00185F85">
              <w:rPr>
                <w:rFonts w:ascii="Arial" w:hAnsi="Arial" w:cs="Arial"/>
                <w:sz w:val="22"/>
                <w:szCs w:val="22"/>
                <w:lang w:val="en-IE"/>
              </w:rPr>
              <w:t xml:space="preserve">f invalid continue </w:t>
            </w:r>
            <w:r w:rsidR="00505AAC">
              <w:rPr>
                <w:rFonts w:ascii="Arial" w:hAnsi="Arial" w:cs="Arial"/>
                <w:sz w:val="22"/>
                <w:szCs w:val="22"/>
                <w:lang w:val="en-IE"/>
              </w:rPr>
              <w:t xml:space="preserve">to </w:t>
            </w:r>
            <w:r w:rsidR="00185F85">
              <w:rPr>
                <w:rFonts w:ascii="Arial" w:hAnsi="Arial" w:cs="Arial"/>
                <w:sz w:val="22"/>
                <w:szCs w:val="22"/>
                <w:lang w:val="en-IE"/>
              </w:rPr>
              <w:t>step 3.</w:t>
            </w:r>
          </w:p>
        </w:tc>
        <w:tc>
          <w:tcPr>
            <w:tcW w:w="2610" w:type="dxa"/>
          </w:tcPr>
          <w:p w14:paraId="24102465"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1 WD</w:t>
            </w:r>
          </w:p>
        </w:tc>
        <w:tc>
          <w:tcPr>
            <w:tcW w:w="1800" w:type="dxa"/>
          </w:tcPr>
          <w:p w14:paraId="24102466" w14:textId="77777777" w:rsidR="00AE3A5C" w:rsidRPr="008B0947" w:rsidRDefault="004864F2"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c>
          <w:tcPr>
            <w:tcW w:w="1800" w:type="dxa"/>
          </w:tcPr>
          <w:p w14:paraId="24102467"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468" w14:textId="77777777" w:rsidR="00AE3A5C" w:rsidRPr="008B0947" w:rsidRDefault="004864F2"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r>
      <w:tr w:rsidR="00AE3A5C" w:rsidRPr="001267B9" w14:paraId="24102470"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6A"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6B"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Close log in accordance with Agreed Procedure 11 “Market System Operation, Testing, Upgrading and Support” and inform Raising Party of reasons for invalidity. </w:t>
            </w:r>
          </w:p>
        </w:tc>
        <w:tc>
          <w:tcPr>
            <w:tcW w:w="2610" w:type="dxa"/>
          </w:tcPr>
          <w:p w14:paraId="2410246C" w14:textId="77777777" w:rsidR="00AE3A5C" w:rsidRPr="008B0947" w:rsidRDefault="0044120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As soon as practicable</w:t>
            </w:r>
          </w:p>
        </w:tc>
        <w:tc>
          <w:tcPr>
            <w:tcW w:w="1800" w:type="dxa"/>
          </w:tcPr>
          <w:p w14:paraId="2410246D" w14:textId="77777777" w:rsidR="00AE3A5C" w:rsidRPr="008B0947" w:rsidRDefault="002562E2"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00031839" w:rsidRPr="008B0947">
              <w:rPr>
                <w:rFonts w:ascii="Arial" w:hAnsi="Arial" w:cs="Arial"/>
                <w:sz w:val="22"/>
                <w:szCs w:val="22"/>
                <w:lang w:val="en-IE"/>
              </w:rPr>
              <w:t xml:space="preserve"> </w:t>
            </w:r>
          </w:p>
        </w:tc>
        <w:tc>
          <w:tcPr>
            <w:tcW w:w="1800" w:type="dxa"/>
          </w:tcPr>
          <w:p w14:paraId="2410246E"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46F"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Raising Party</w:t>
            </w:r>
          </w:p>
        </w:tc>
      </w:tr>
      <w:tr w:rsidR="00AE3A5C" w:rsidRPr="001267B9" w14:paraId="24102479"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71"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72"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Review reasons </w:t>
            </w:r>
            <w:r w:rsidR="00B36F35" w:rsidRPr="008B0947">
              <w:rPr>
                <w:rFonts w:ascii="Arial" w:hAnsi="Arial" w:cs="Arial"/>
                <w:sz w:val="22"/>
                <w:szCs w:val="22"/>
                <w:lang w:val="en-IE"/>
              </w:rPr>
              <w:t xml:space="preserve">for invalidity </w:t>
            </w:r>
            <w:r w:rsidRPr="008B0947">
              <w:rPr>
                <w:rFonts w:ascii="Arial" w:hAnsi="Arial" w:cs="Arial"/>
                <w:sz w:val="22"/>
                <w:szCs w:val="22"/>
                <w:lang w:val="en-IE"/>
              </w:rPr>
              <w:t>and:</w:t>
            </w:r>
          </w:p>
          <w:p w14:paraId="24102473" w14:textId="77777777" w:rsidR="00AE3A5C" w:rsidRPr="008B0947" w:rsidRDefault="00AE3A5C" w:rsidP="00C61ADB">
            <w:pPr>
              <w:pStyle w:val="ProcedureBody1"/>
              <w:numPr>
                <w:ilvl w:val="0"/>
                <w:numId w:val="17"/>
              </w:numPr>
              <w:ind w:left="553" w:hanging="553"/>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c</w:t>
            </w:r>
            <w:r w:rsidR="00472651" w:rsidRPr="008B0947">
              <w:rPr>
                <w:rFonts w:ascii="Arial" w:hAnsi="Arial" w:cs="Arial"/>
                <w:sz w:val="22"/>
                <w:szCs w:val="22"/>
                <w:lang w:val="en-IE"/>
              </w:rPr>
              <w:t>orrect</w:t>
            </w:r>
            <w:r w:rsidRPr="008B0947">
              <w:rPr>
                <w:rFonts w:ascii="Arial" w:hAnsi="Arial" w:cs="Arial"/>
                <w:sz w:val="22"/>
                <w:szCs w:val="22"/>
                <w:lang w:val="en-IE"/>
              </w:rPr>
              <w:t xml:space="preserve"> and resubmit Settlement Query,</w:t>
            </w:r>
            <w:r w:rsidR="001473C6" w:rsidRPr="008B0947">
              <w:rPr>
                <w:rFonts w:ascii="Arial" w:hAnsi="Arial" w:cs="Arial"/>
                <w:sz w:val="22"/>
                <w:szCs w:val="22"/>
                <w:lang w:val="en-IE"/>
              </w:rPr>
              <w:t xml:space="preserve"> then</w:t>
            </w:r>
            <w:r w:rsidRPr="008B0947">
              <w:rPr>
                <w:rFonts w:ascii="Arial" w:hAnsi="Arial" w:cs="Arial"/>
                <w:sz w:val="22"/>
                <w:szCs w:val="22"/>
                <w:lang w:val="en-IE"/>
              </w:rPr>
              <w:t xml:space="preserve"> </w:t>
            </w:r>
            <w:r w:rsidR="00881D93" w:rsidRPr="008B0947">
              <w:rPr>
                <w:rFonts w:ascii="Arial" w:hAnsi="Arial" w:cs="Arial"/>
                <w:sz w:val="22"/>
                <w:szCs w:val="22"/>
                <w:lang w:val="en-IE"/>
              </w:rPr>
              <w:t>return to</w:t>
            </w:r>
            <w:r w:rsidRPr="008B0947">
              <w:rPr>
                <w:rFonts w:ascii="Arial" w:hAnsi="Arial" w:cs="Arial"/>
                <w:sz w:val="22"/>
                <w:szCs w:val="22"/>
                <w:lang w:val="en-IE"/>
              </w:rPr>
              <w:t xml:space="preserve"> step 1; or</w:t>
            </w:r>
          </w:p>
          <w:p w14:paraId="24102474" w14:textId="77777777" w:rsidR="00AE3A5C" w:rsidRPr="008B0947" w:rsidRDefault="00AE3A5C" w:rsidP="00C61ADB">
            <w:pPr>
              <w:pStyle w:val="ProcedureBody1"/>
              <w:numPr>
                <w:ilvl w:val="0"/>
                <w:numId w:val="17"/>
              </w:numPr>
              <w:ind w:left="553" w:hanging="553"/>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do not resubmit</w:t>
            </w:r>
            <w:r w:rsidR="001473C6" w:rsidRPr="008B0947">
              <w:rPr>
                <w:rFonts w:ascii="Arial" w:hAnsi="Arial" w:cs="Arial"/>
                <w:sz w:val="22"/>
                <w:szCs w:val="22"/>
                <w:lang w:val="en-IE"/>
              </w:rPr>
              <w:t xml:space="preserve"> Settlement Query</w:t>
            </w:r>
            <w:r w:rsidRPr="008B0947">
              <w:rPr>
                <w:rFonts w:ascii="Arial" w:hAnsi="Arial" w:cs="Arial"/>
                <w:sz w:val="22"/>
                <w:szCs w:val="22"/>
                <w:lang w:val="en-IE"/>
              </w:rPr>
              <w:t xml:space="preserve"> and </w:t>
            </w:r>
            <w:r w:rsidRPr="00505AAC">
              <w:rPr>
                <w:rFonts w:ascii="Arial" w:hAnsi="Arial" w:cs="Arial"/>
                <w:b/>
                <w:sz w:val="22"/>
                <w:szCs w:val="22"/>
                <w:lang w:val="en-IE"/>
              </w:rPr>
              <w:t>end process</w:t>
            </w:r>
            <w:r w:rsidRPr="008B0947">
              <w:rPr>
                <w:rFonts w:ascii="Arial" w:hAnsi="Arial" w:cs="Arial"/>
                <w:sz w:val="22"/>
                <w:szCs w:val="22"/>
                <w:lang w:val="en-IE"/>
              </w:rPr>
              <w:t>.</w:t>
            </w:r>
          </w:p>
        </w:tc>
        <w:tc>
          <w:tcPr>
            <w:tcW w:w="2610" w:type="dxa"/>
          </w:tcPr>
          <w:p w14:paraId="24102475" w14:textId="77777777" w:rsidR="00AE3A5C" w:rsidRPr="008B0947" w:rsidRDefault="004864F2"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c>
          <w:tcPr>
            <w:tcW w:w="1800" w:type="dxa"/>
          </w:tcPr>
          <w:p w14:paraId="24102476" w14:textId="77777777" w:rsidR="00AE3A5C" w:rsidRPr="008B0947" w:rsidRDefault="004864F2"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c>
          <w:tcPr>
            <w:tcW w:w="1800" w:type="dxa"/>
          </w:tcPr>
          <w:p w14:paraId="24102477" w14:textId="77777777" w:rsidR="00AE3A5C" w:rsidRPr="008B0947" w:rsidRDefault="0044120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Raising Party</w:t>
            </w:r>
          </w:p>
        </w:tc>
        <w:tc>
          <w:tcPr>
            <w:tcW w:w="2070" w:type="dxa"/>
          </w:tcPr>
          <w:p w14:paraId="24102478" w14:textId="77777777" w:rsidR="00AE3A5C" w:rsidRPr="008B0947" w:rsidRDefault="004864F2"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r>
      <w:tr w:rsidR="00AE3A5C" w:rsidRPr="001267B9" w14:paraId="24102480"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7A"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7B"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Inform Raising Party of </w:t>
            </w:r>
            <w:r w:rsidR="004114E1" w:rsidRPr="008B0947">
              <w:rPr>
                <w:rFonts w:ascii="Arial" w:hAnsi="Arial" w:cs="Arial"/>
                <w:sz w:val="22"/>
                <w:szCs w:val="22"/>
                <w:lang w:val="en-IE"/>
              </w:rPr>
              <w:t>the receipt</w:t>
            </w:r>
            <w:r w:rsidRPr="008B0947">
              <w:rPr>
                <w:rFonts w:ascii="Arial" w:hAnsi="Arial" w:cs="Arial"/>
                <w:sz w:val="22"/>
                <w:szCs w:val="22"/>
                <w:lang w:val="en-IE"/>
              </w:rPr>
              <w:t xml:space="preserve"> of </w:t>
            </w:r>
            <w:r w:rsidR="004114E1" w:rsidRPr="008B0947">
              <w:rPr>
                <w:rFonts w:ascii="Arial" w:hAnsi="Arial" w:cs="Arial"/>
                <w:sz w:val="22"/>
                <w:szCs w:val="22"/>
                <w:lang w:val="en-IE"/>
              </w:rPr>
              <w:t xml:space="preserve">a valid </w:t>
            </w:r>
            <w:r w:rsidR="00185F85">
              <w:rPr>
                <w:rFonts w:ascii="Arial" w:hAnsi="Arial" w:cs="Arial"/>
                <w:sz w:val="22"/>
                <w:szCs w:val="22"/>
                <w:lang w:val="en-IE"/>
              </w:rPr>
              <w:t>Settlement Query</w:t>
            </w:r>
            <w:r w:rsidR="00712E76">
              <w:rPr>
                <w:rFonts w:ascii="Arial" w:hAnsi="Arial" w:cs="Arial"/>
                <w:sz w:val="22"/>
                <w:szCs w:val="22"/>
                <w:lang w:val="en-IE"/>
              </w:rPr>
              <w:t xml:space="preserve"> and of the unique identifier assigned when logged</w:t>
            </w:r>
            <w:r w:rsidR="00185F85">
              <w:rPr>
                <w:rFonts w:ascii="Arial" w:hAnsi="Arial" w:cs="Arial"/>
                <w:sz w:val="22"/>
                <w:szCs w:val="22"/>
                <w:lang w:val="en-IE"/>
              </w:rPr>
              <w:t>.</w:t>
            </w:r>
          </w:p>
        </w:tc>
        <w:tc>
          <w:tcPr>
            <w:tcW w:w="2610" w:type="dxa"/>
          </w:tcPr>
          <w:p w14:paraId="2410247C" w14:textId="77777777" w:rsidR="00AE3A5C" w:rsidRPr="008B0947" w:rsidRDefault="0044120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As soon as practicable</w:t>
            </w:r>
          </w:p>
        </w:tc>
        <w:tc>
          <w:tcPr>
            <w:tcW w:w="1800" w:type="dxa"/>
          </w:tcPr>
          <w:p w14:paraId="2410247D" w14:textId="77777777" w:rsidR="00AE3A5C" w:rsidRPr="008B0947" w:rsidRDefault="00AE3A5C"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00031839" w:rsidRPr="008B0947">
              <w:rPr>
                <w:rFonts w:ascii="Arial" w:hAnsi="Arial" w:cs="Arial"/>
                <w:sz w:val="22"/>
                <w:szCs w:val="22"/>
                <w:lang w:val="en-IE"/>
              </w:rPr>
              <w:t xml:space="preserve"> </w:t>
            </w:r>
          </w:p>
        </w:tc>
        <w:tc>
          <w:tcPr>
            <w:tcW w:w="1800" w:type="dxa"/>
          </w:tcPr>
          <w:p w14:paraId="2410247E"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47F"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Raising Party</w:t>
            </w:r>
          </w:p>
        </w:tc>
      </w:tr>
      <w:tr w:rsidR="00AE3A5C" w:rsidRPr="001267B9" w14:paraId="2410248A"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81"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82"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Establish whose data is being queried</w:t>
            </w:r>
            <w:r w:rsidR="005A1CF3" w:rsidRPr="008B0947">
              <w:rPr>
                <w:rFonts w:ascii="Arial" w:hAnsi="Arial" w:cs="Arial"/>
                <w:sz w:val="22"/>
                <w:szCs w:val="22"/>
                <w:lang w:val="en-IE"/>
              </w:rPr>
              <w:t>,</w:t>
            </w:r>
            <w:r w:rsidRPr="008B0947">
              <w:rPr>
                <w:rFonts w:ascii="Arial" w:hAnsi="Arial" w:cs="Arial"/>
                <w:sz w:val="22"/>
                <w:szCs w:val="22"/>
                <w:lang w:val="en-IE"/>
              </w:rPr>
              <w:t xml:space="preserve"> and:</w:t>
            </w:r>
          </w:p>
          <w:p w14:paraId="24102483" w14:textId="77777777" w:rsidR="0090751F" w:rsidRPr="008B0947" w:rsidRDefault="0090751F" w:rsidP="00C61ADB">
            <w:pPr>
              <w:pStyle w:val="ProcedureBody1"/>
              <w:numPr>
                <w:ilvl w:val="0"/>
                <w:numId w:val="18"/>
              </w:numPr>
              <w:ind w:left="463" w:hanging="450"/>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if it is another Participant’s data (the Affected Participant(s)), continue </w:t>
            </w:r>
            <w:r w:rsidR="00505AAC">
              <w:rPr>
                <w:rFonts w:ascii="Arial" w:hAnsi="Arial" w:cs="Arial"/>
                <w:sz w:val="22"/>
                <w:szCs w:val="22"/>
                <w:lang w:val="en-IE"/>
              </w:rPr>
              <w:t>to</w:t>
            </w:r>
            <w:r w:rsidR="00505AAC" w:rsidRPr="008B0947">
              <w:rPr>
                <w:rFonts w:ascii="Arial" w:hAnsi="Arial" w:cs="Arial"/>
                <w:sz w:val="22"/>
                <w:szCs w:val="22"/>
                <w:lang w:val="en-IE"/>
              </w:rPr>
              <w:t xml:space="preserve"> </w:t>
            </w:r>
            <w:r w:rsidRPr="008B0947">
              <w:rPr>
                <w:rFonts w:ascii="Arial" w:hAnsi="Arial" w:cs="Arial"/>
                <w:sz w:val="22"/>
                <w:szCs w:val="22"/>
                <w:lang w:val="en-IE"/>
              </w:rPr>
              <w:t>step 7;</w:t>
            </w:r>
          </w:p>
          <w:p w14:paraId="24102484" w14:textId="77777777" w:rsidR="00AE3A5C" w:rsidRPr="008B0947" w:rsidRDefault="00AE3A5C" w:rsidP="00C61ADB">
            <w:pPr>
              <w:pStyle w:val="ProcedureBody1"/>
              <w:numPr>
                <w:ilvl w:val="0"/>
                <w:numId w:val="18"/>
              </w:numPr>
              <w:ind w:left="463" w:hanging="450"/>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if it is regarding the calculation of a data item, </w:t>
            </w:r>
            <w:r w:rsidR="00D36DA6" w:rsidRPr="008B0947">
              <w:rPr>
                <w:rFonts w:ascii="Arial" w:hAnsi="Arial" w:cs="Arial"/>
                <w:sz w:val="22"/>
                <w:szCs w:val="22"/>
                <w:lang w:val="en-IE"/>
              </w:rPr>
              <w:t>go to</w:t>
            </w:r>
            <w:r w:rsidRPr="008B0947">
              <w:rPr>
                <w:rFonts w:ascii="Arial" w:hAnsi="Arial" w:cs="Arial"/>
                <w:sz w:val="22"/>
                <w:szCs w:val="22"/>
                <w:lang w:val="en-IE"/>
              </w:rPr>
              <w:t xml:space="preserve"> step 13</w:t>
            </w:r>
            <w:r w:rsidR="0090751F" w:rsidRPr="008B0947">
              <w:rPr>
                <w:rFonts w:ascii="Arial" w:hAnsi="Arial" w:cs="Arial"/>
                <w:sz w:val="22"/>
                <w:szCs w:val="22"/>
                <w:lang w:val="en-IE"/>
              </w:rPr>
              <w:t xml:space="preserve">; </w:t>
            </w:r>
            <w:r w:rsidR="008A21E4" w:rsidRPr="008B0947">
              <w:rPr>
                <w:rFonts w:ascii="Arial" w:hAnsi="Arial" w:cs="Arial"/>
                <w:sz w:val="22"/>
                <w:szCs w:val="22"/>
                <w:lang w:val="en-IE"/>
              </w:rPr>
              <w:t>or</w:t>
            </w:r>
          </w:p>
          <w:p w14:paraId="24102485" w14:textId="77777777" w:rsidR="0090751F" w:rsidRPr="00C61ADB" w:rsidRDefault="00C61ADB" w:rsidP="00C61ADB">
            <w:pPr>
              <w:pStyle w:val="ProcedureBody1"/>
              <w:numPr>
                <w:ilvl w:val="0"/>
                <w:numId w:val="18"/>
              </w:numPr>
              <w:ind w:left="463" w:hanging="450"/>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 xml:space="preserve">if it is a </w:t>
            </w:r>
            <w:r w:rsidR="0090751F" w:rsidRPr="00A04D3F">
              <w:rPr>
                <w:rFonts w:ascii="Arial" w:hAnsi="Arial" w:cs="Arial"/>
                <w:sz w:val="22"/>
                <w:szCs w:val="22"/>
                <w:lang w:val="en-IE"/>
              </w:rPr>
              <w:t xml:space="preserve">System Operator </w:t>
            </w:r>
            <w:r>
              <w:rPr>
                <w:rFonts w:ascii="Arial" w:hAnsi="Arial" w:cs="Arial"/>
                <w:sz w:val="22"/>
                <w:szCs w:val="22"/>
                <w:lang w:val="en-IE"/>
              </w:rPr>
              <w:t xml:space="preserve">or </w:t>
            </w:r>
            <w:r w:rsidR="0090751F" w:rsidRPr="00A04D3F">
              <w:rPr>
                <w:rFonts w:ascii="Arial" w:hAnsi="Arial" w:cs="Arial"/>
                <w:sz w:val="22"/>
                <w:szCs w:val="22"/>
                <w:lang w:val="en-IE"/>
              </w:rPr>
              <w:t>an External Data Provider</w:t>
            </w:r>
            <w:r w:rsidR="00F14FE7" w:rsidRPr="008B0947">
              <w:rPr>
                <w:rFonts w:ascii="Arial" w:hAnsi="Arial" w:cs="Arial"/>
                <w:sz w:val="22"/>
                <w:szCs w:val="22"/>
                <w:lang w:val="en-IE"/>
              </w:rPr>
              <w:t xml:space="preserve"> and </w:t>
            </w:r>
            <w:r>
              <w:rPr>
                <w:rFonts w:ascii="Arial" w:hAnsi="Arial" w:cs="Arial"/>
                <w:sz w:val="22"/>
                <w:szCs w:val="22"/>
                <w:lang w:val="en-IE"/>
              </w:rPr>
              <w:t xml:space="preserve">they are the Raising Party </w:t>
            </w:r>
            <w:r w:rsidR="00D36DA6" w:rsidRPr="008B0947">
              <w:rPr>
                <w:rFonts w:ascii="Arial" w:hAnsi="Arial" w:cs="Arial"/>
                <w:sz w:val="22"/>
                <w:szCs w:val="22"/>
                <w:lang w:val="en-IE"/>
              </w:rPr>
              <w:t>go to</w:t>
            </w:r>
            <w:r w:rsidR="0090751F" w:rsidRPr="00A04D3F">
              <w:rPr>
                <w:rFonts w:ascii="Arial" w:hAnsi="Arial" w:cs="Arial"/>
                <w:sz w:val="22"/>
                <w:szCs w:val="22"/>
                <w:lang w:val="en-IE"/>
              </w:rPr>
              <w:t xml:space="preserve"> step 1</w:t>
            </w:r>
            <w:r w:rsidR="005E7245">
              <w:rPr>
                <w:rFonts w:ascii="Arial" w:hAnsi="Arial" w:cs="Arial"/>
                <w:sz w:val="22"/>
                <w:szCs w:val="22"/>
                <w:lang w:val="en-IE"/>
              </w:rPr>
              <w:t>7</w:t>
            </w:r>
            <w:r>
              <w:rPr>
                <w:rFonts w:ascii="Arial" w:hAnsi="Arial" w:cs="Arial"/>
                <w:sz w:val="22"/>
                <w:szCs w:val="22"/>
                <w:lang w:val="en-IE"/>
              </w:rPr>
              <w:t xml:space="preserve"> o</w:t>
            </w:r>
            <w:r w:rsidR="00F14FE7" w:rsidRPr="008B0947">
              <w:rPr>
                <w:rFonts w:ascii="Arial" w:hAnsi="Arial" w:cs="Arial"/>
                <w:sz w:val="22"/>
                <w:szCs w:val="22"/>
                <w:lang w:val="en-IE"/>
              </w:rPr>
              <w:t>r</w:t>
            </w:r>
            <w:r>
              <w:rPr>
                <w:rFonts w:ascii="Arial" w:hAnsi="Arial" w:cs="Arial"/>
                <w:sz w:val="22"/>
                <w:szCs w:val="22"/>
                <w:lang w:val="en-IE"/>
              </w:rPr>
              <w:t xml:space="preserve"> </w:t>
            </w:r>
            <w:r w:rsidR="00F14FE7" w:rsidRPr="00C61ADB">
              <w:rPr>
                <w:rFonts w:ascii="Arial" w:hAnsi="Arial" w:cs="Arial"/>
                <w:sz w:val="22"/>
                <w:szCs w:val="22"/>
                <w:lang w:val="en-IE"/>
              </w:rPr>
              <w:t>if they are not the Raising Party and another Party is querying their data, go to step 14.</w:t>
            </w:r>
          </w:p>
        </w:tc>
        <w:tc>
          <w:tcPr>
            <w:tcW w:w="2610" w:type="dxa"/>
          </w:tcPr>
          <w:p w14:paraId="24102486"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1 WD of receiving the Settlement Query</w:t>
            </w:r>
          </w:p>
        </w:tc>
        <w:tc>
          <w:tcPr>
            <w:tcW w:w="1800" w:type="dxa"/>
          </w:tcPr>
          <w:p w14:paraId="24102487"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c>
          <w:tcPr>
            <w:tcW w:w="1800" w:type="dxa"/>
          </w:tcPr>
          <w:p w14:paraId="24102488"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489"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r>
      <w:tr w:rsidR="00AE3A5C" w:rsidRPr="001267B9" w14:paraId="24102491"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8B"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8C"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Inform the Affected Participant(s) of the Settlement Query and</w:t>
            </w:r>
            <w:r w:rsidR="004114E1" w:rsidRPr="008B0947">
              <w:rPr>
                <w:rFonts w:ascii="Arial" w:hAnsi="Arial" w:cs="Arial"/>
                <w:sz w:val="22"/>
                <w:szCs w:val="22"/>
                <w:lang w:val="en-IE"/>
              </w:rPr>
              <w:t xml:space="preserve"> request</w:t>
            </w:r>
            <w:r w:rsidRPr="008B0947">
              <w:rPr>
                <w:rFonts w:ascii="Arial" w:hAnsi="Arial" w:cs="Arial"/>
                <w:sz w:val="22"/>
                <w:szCs w:val="22"/>
                <w:lang w:val="en-IE"/>
              </w:rPr>
              <w:t xml:space="preserve"> comment</w:t>
            </w:r>
            <w:r w:rsidR="00B36F35" w:rsidRPr="008B0947">
              <w:rPr>
                <w:rFonts w:ascii="Arial" w:hAnsi="Arial" w:cs="Arial"/>
                <w:sz w:val="22"/>
                <w:szCs w:val="22"/>
                <w:lang w:val="en-IE"/>
              </w:rPr>
              <w:t>s.</w:t>
            </w:r>
          </w:p>
        </w:tc>
        <w:tc>
          <w:tcPr>
            <w:tcW w:w="2610" w:type="dxa"/>
          </w:tcPr>
          <w:p w14:paraId="2410248D" w14:textId="77777777" w:rsidR="00AE3A5C" w:rsidRPr="008B0947" w:rsidRDefault="004114E1"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Within 1 WD of </w:t>
            </w:r>
            <w:r w:rsidR="005F52B1" w:rsidRPr="008B0947">
              <w:rPr>
                <w:rFonts w:ascii="Arial" w:hAnsi="Arial" w:cs="Arial"/>
                <w:sz w:val="22"/>
                <w:szCs w:val="22"/>
                <w:lang w:val="en-IE"/>
              </w:rPr>
              <w:t>the Settlement Query being raised or as soon as Affected Participants are identified</w:t>
            </w:r>
          </w:p>
        </w:tc>
        <w:tc>
          <w:tcPr>
            <w:tcW w:w="1800" w:type="dxa"/>
          </w:tcPr>
          <w:p w14:paraId="2410248E" w14:textId="77777777" w:rsidR="00AE3A5C" w:rsidRPr="008B0947" w:rsidRDefault="00AE3A5C"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00441EBF" w:rsidRPr="008B0947">
              <w:rPr>
                <w:rFonts w:ascii="Arial" w:hAnsi="Arial" w:cs="Arial"/>
                <w:sz w:val="22"/>
                <w:szCs w:val="22"/>
                <w:lang w:val="en-IE"/>
              </w:rPr>
              <w:t xml:space="preserve"> </w:t>
            </w:r>
          </w:p>
        </w:tc>
        <w:tc>
          <w:tcPr>
            <w:tcW w:w="1800" w:type="dxa"/>
          </w:tcPr>
          <w:p w14:paraId="2410248F"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r w:rsidRPr="008B0947" w:rsidDel="00D71C02">
              <w:rPr>
                <w:rFonts w:ascii="Arial" w:hAnsi="Arial" w:cs="Arial"/>
                <w:sz w:val="22"/>
                <w:szCs w:val="22"/>
                <w:lang w:val="en-IE"/>
              </w:rPr>
              <w:t xml:space="preserve"> </w:t>
            </w:r>
          </w:p>
        </w:tc>
        <w:tc>
          <w:tcPr>
            <w:tcW w:w="2070" w:type="dxa"/>
          </w:tcPr>
          <w:p w14:paraId="24102490"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Affected Participant(s)</w:t>
            </w:r>
          </w:p>
        </w:tc>
      </w:tr>
      <w:tr w:rsidR="00AE3A5C" w:rsidRPr="001267B9" w14:paraId="24102498"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92"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93" w14:textId="77777777" w:rsidR="00AE3A5C" w:rsidRPr="008B0947" w:rsidRDefault="00AE3A5C" w:rsidP="00505AAC">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Process Settlement Query </w:t>
            </w:r>
            <w:r w:rsidR="004864F2">
              <w:rPr>
                <w:rFonts w:ascii="Arial" w:hAnsi="Arial" w:cs="Arial"/>
                <w:sz w:val="22"/>
                <w:szCs w:val="22"/>
                <w:lang w:val="en-IE"/>
              </w:rPr>
              <w:t xml:space="preserve">comments </w:t>
            </w:r>
            <w:r w:rsidRPr="008B0947">
              <w:rPr>
                <w:rFonts w:ascii="Arial" w:hAnsi="Arial" w:cs="Arial"/>
                <w:sz w:val="22"/>
                <w:szCs w:val="22"/>
                <w:lang w:val="en-IE"/>
              </w:rPr>
              <w:t xml:space="preserve">request. If </w:t>
            </w:r>
            <w:r w:rsidR="0044120F" w:rsidRPr="008B0947">
              <w:rPr>
                <w:rFonts w:ascii="Arial" w:hAnsi="Arial" w:cs="Arial"/>
                <w:sz w:val="22"/>
                <w:szCs w:val="22"/>
                <w:lang w:val="en-IE"/>
              </w:rPr>
              <w:t xml:space="preserve">Settlement </w:t>
            </w:r>
            <w:r w:rsidRPr="008B0947">
              <w:rPr>
                <w:rFonts w:ascii="Arial" w:hAnsi="Arial" w:cs="Arial"/>
                <w:sz w:val="22"/>
                <w:szCs w:val="22"/>
                <w:lang w:val="en-IE"/>
              </w:rPr>
              <w:t xml:space="preserve">Query can be processed within requested timescales </w:t>
            </w:r>
            <w:r w:rsidR="00372857" w:rsidRPr="008B0947">
              <w:rPr>
                <w:rFonts w:ascii="Arial" w:hAnsi="Arial" w:cs="Arial"/>
                <w:sz w:val="22"/>
                <w:szCs w:val="22"/>
                <w:lang w:val="en-IE"/>
              </w:rPr>
              <w:t xml:space="preserve">go to </w:t>
            </w:r>
            <w:r w:rsidRPr="008B0947">
              <w:rPr>
                <w:rFonts w:ascii="Arial" w:hAnsi="Arial" w:cs="Arial"/>
                <w:sz w:val="22"/>
                <w:szCs w:val="22"/>
                <w:lang w:val="en-IE"/>
              </w:rPr>
              <w:t xml:space="preserve">step 12, otherwise continue </w:t>
            </w:r>
            <w:r w:rsidR="00505AAC">
              <w:rPr>
                <w:rFonts w:ascii="Arial" w:hAnsi="Arial" w:cs="Arial"/>
                <w:sz w:val="22"/>
                <w:szCs w:val="22"/>
                <w:lang w:val="en-IE"/>
              </w:rPr>
              <w:t>to</w:t>
            </w:r>
            <w:r w:rsidR="00505AAC" w:rsidRPr="008B0947">
              <w:rPr>
                <w:rFonts w:ascii="Arial" w:hAnsi="Arial" w:cs="Arial"/>
                <w:sz w:val="22"/>
                <w:szCs w:val="22"/>
                <w:lang w:val="en-IE"/>
              </w:rPr>
              <w:t xml:space="preserve"> </w:t>
            </w:r>
            <w:r w:rsidRPr="008B0947">
              <w:rPr>
                <w:rFonts w:ascii="Arial" w:hAnsi="Arial" w:cs="Arial"/>
                <w:sz w:val="22"/>
                <w:szCs w:val="22"/>
                <w:lang w:val="en-IE"/>
              </w:rPr>
              <w:t>step 9.</w:t>
            </w:r>
          </w:p>
        </w:tc>
        <w:tc>
          <w:tcPr>
            <w:tcW w:w="2610" w:type="dxa"/>
          </w:tcPr>
          <w:p w14:paraId="24102494"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timescales specified by the M</w:t>
            </w:r>
            <w:r w:rsidR="004864F2">
              <w:rPr>
                <w:rFonts w:ascii="Arial" w:hAnsi="Arial" w:cs="Arial"/>
                <w:sz w:val="22"/>
                <w:szCs w:val="22"/>
                <w:lang w:val="en-IE"/>
              </w:rPr>
              <w:t xml:space="preserve">arket </w:t>
            </w:r>
            <w:r w:rsidRPr="008B0947">
              <w:rPr>
                <w:rFonts w:ascii="Arial" w:hAnsi="Arial" w:cs="Arial"/>
                <w:sz w:val="22"/>
                <w:szCs w:val="22"/>
                <w:lang w:val="en-IE"/>
              </w:rPr>
              <w:t>O</w:t>
            </w:r>
            <w:r w:rsidR="004864F2">
              <w:rPr>
                <w:rFonts w:ascii="Arial" w:hAnsi="Arial" w:cs="Arial"/>
                <w:sz w:val="22"/>
                <w:szCs w:val="22"/>
                <w:lang w:val="en-IE"/>
              </w:rPr>
              <w:t>perator</w:t>
            </w:r>
          </w:p>
        </w:tc>
        <w:tc>
          <w:tcPr>
            <w:tcW w:w="1800" w:type="dxa"/>
          </w:tcPr>
          <w:p w14:paraId="24102495" w14:textId="77777777" w:rsidR="00AE3A5C" w:rsidRPr="008B0947" w:rsidRDefault="00AE3A5C"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00441EBF" w:rsidRPr="008B0947">
              <w:rPr>
                <w:rFonts w:ascii="Arial" w:hAnsi="Arial" w:cs="Arial"/>
                <w:sz w:val="22"/>
                <w:szCs w:val="22"/>
                <w:lang w:val="en-IE"/>
              </w:rPr>
              <w:t xml:space="preserve"> </w:t>
            </w:r>
          </w:p>
        </w:tc>
        <w:tc>
          <w:tcPr>
            <w:tcW w:w="1800" w:type="dxa"/>
          </w:tcPr>
          <w:p w14:paraId="24102496"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Affected Participant(s)</w:t>
            </w:r>
            <w:r w:rsidRPr="008B0947" w:rsidDel="00D71C02">
              <w:rPr>
                <w:rFonts w:ascii="Arial" w:hAnsi="Arial" w:cs="Arial"/>
                <w:sz w:val="22"/>
                <w:szCs w:val="22"/>
                <w:lang w:val="en-IE"/>
              </w:rPr>
              <w:t xml:space="preserve"> </w:t>
            </w:r>
          </w:p>
        </w:tc>
        <w:tc>
          <w:tcPr>
            <w:tcW w:w="2070" w:type="dxa"/>
          </w:tcPr>
          <w:p w14:paraId="24102497"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r>
      <w:tr w:rsidR="00AE3A5C" w:rsidRPr="001267B9" w14:paraId="2410249F"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99"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9A"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Notify of inability to process Settlement Query </w:t>
            </w:r>
            <w:r w:rsidR="004864F2">
              <w:rPr>
                <w:rFonts w:ascii="Arial" w:hAnsi="Arial" w:cs="Arial"/>
                <w:sz w:val="22"/>
                <w:szCs w:val="22"/>
                <w:lang w:val="en-IE"/>
              </w:rPr>
              <w:t xml:space="preserve">comments </w:t>
            </w:r>
            <w:r w:rsidRPr="008B0947">
              <w:rPr>
                <w:rFonts w:ascii="Arial" w:hAnsi="Arial" w:cs="Arial"/>
                <w:sz w:val="22"/>
                <w:szCs w:val="22"/>
                <w:lang w:val="en-IE"/>
              </w:rPr>
              <w:t>request.</w:t>
            </w:r>
          </w:p>
        </w:tc>
        <w:tc>
          <w:tcPr>
            <w:tcW w:w="2610" w:type="dxa"/>
          </w:tcPr>
          <w:p w14:paraId="2410249B"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timescales specified by the M</w:t>
            </w:r>
            <w:r w:rsidR="00894F9F">
              <w:rPr>
                <w:rFonts w:ascii="Arial" w:hAnsi="Arial" w:cs="Arial"/>
                <w:sz w:val="22"/>
                <w:szCs w:val="22"/>
                <w:lang w:val="en-IE"/>
              </w:rPr>
              <w:t xml:space="preserve">arket </w:t>
            </w:r>
            <w:r w:rsidRPr="008B0947">
              <w:rPr>
                <w:rFonts w:ascii="Arial" w:hAnsi="Arial" w:cs="Arial"/>
                <w:sz w:val="22"/>
                <w:szCs w:val="22"/>
                <w:lang w:val="en-IE"/>
              </w:rPr>
              <w:t>O</w:t>
            </w:r>
            <w:r w:rsidR="00894F9F">
              <w:rPr>
                <w:rFonts w:ascii="Arial" w:hAnsi="Arial" w:cs="Arial"/>
                <w:sz w:val="22"/>
                <w:szCs w:val="22"/>
                <w:lang w:val="en-IE"/>
              </w:rPr>
              <w:t>perator</w:t>
            </w:r>
          </w:p>
        </w:tc>
        <w:tc>
          <w:tcPr>
            <w:tcW w:w="1800" w:type="dxa"/>
          </w:tcPr>
          <w:p w14:paraId="2410249C" w14:textId="77777777" w:rsidR="00AE3A5C" w:rsidRPr="008B0947" w:rsidRDefault="004114E1"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531851">
              <w:rPr>
                <w:rFonts w:ascii="Arial" w:hAnsi="Arial" w:cs="Arial"/>
                <w:sz w:val="22"/>
                <w:szCs w:val="22"/>
                <w:lang w:val="en-IE"/>
              </w:rPr>
              <w:t>acsimile</w:t>
            </w:r>
          </w:p>
        </w:tc>
        <w:tc>
          <w:tcPr>
            <w:tcW w:w="1800" w:type="dxa"/>
          </w:tcPr>
          <w:p w14:paraId="2410249D"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Affected Participant(s)</w:t>
            </w:r>
          </w:p>
        </w:tc>
        <w:tc>
          <w:tcPr>
            <w:tcW w:w="2070" w:type="dxa"/>
          </w:tcPr>
          <w:p w14:paraId="2410249E"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r>
      <w:tr w:rsidR="00AE3A5C" w:rsidRPr="001267B9" w14:paraId="241024A6"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A0"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A1" w14:textId="77777777" w:rsidR="00AE3A5C" w:rsidRPr="008B0947" w:rsidRDefault="00AE3A5C" w:rsidP="00505AAC">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If Market Operator can make a determination without information</w:t>
            </w:r>
            <w:r w:rsidR="006C075C">
              <w:rPr>
                <w:rFonts w:ascii="Arial" w:hAnsi="Arial" w:cs="Arial"/>
                <w:sz w:val="22"/>
                <w:szCs w:val="22"/>
                <w:lang w:val="en-IE"/>
              </w:rPr>
              <w:t xml:space="preserve"> from the Affected Participant</w:t>
            </w:r>
            <w:r w:rsidR="00B36F35" w:rsidRPr="008B0947">
              <w:rPr>
                <w:rFonts w:ascii="Arial" w:hAnsi="Arial" w:cs="Arial"/>
                <w:sz w:val="22"/>
                <w:szCs w:val="22"/>
                <w:lang w:val="en-IE"/>
              </w:rPr>
              <w:t>,</w:t>
            </w:r>
            <w:r w:rsidRPr="008B0947">
              <w:rPr>
                <w:rFonts w:ascii="Arial" w:hAnsi="Arial" w:cs="Arial"/>
                <w:sz w:val="22"/>
                <w:szCs w:val="22"/>
                <w:lang w:val="en-IE"/>
              </w:rPr>
              <w:t xml:space="preserve"> </w:t>
            </w:r>
            <w:r w:rsidR="00372857" w:rsidRPr="008B0947">
              <w:rPr>
                <w:rFonts w:ascii="Arial" w:hAnsi="Arial" w:cs="Arial"/>
                <w:sz w:val="22"/>
                <w:szCs w:val="22"/>
                <w:lang w:val="en-IE"/>
              </w:rPr>
              <w:t>go to</w:t>
            </w:r>
            <w:r w:rsidRPr="008B0947">
              <w:rPr>
                <w:rFonts w:ascii="Arial" w:hAnsi="Arial" w:cs="Arial"/>
                <w:sz w:val="22"/>
                <w:szCs w:val="22"/>
                <w:lang w:val="en-IE"/>
              </w:rPr>
              <w:t xml:space="preserve"> step 13, otherwise continue </w:t>
            </w:r>
            <w:r w:rsidR="00505AAC">
              <w:rPr>
                <w:rFonts w:ascii="Arial" w:hAnsi="Arial" w:cs="Arial"/>
                <w:sz w:val="22"/>
                <w:szCs w:val="22"/>
                <w:lang w:val="en-IE"/>
              </w:rPr>
              <w:t>to</w:t>
            </w:r>
            <w:r w:rsidR="00505AAC" w:rsidRPr="008B0947">
              <w:rPr>
                <w:rFonts w:ascii="Arial" w:hAnsi="Arial" w:cs="Arial"/>
                <w:sz w:val="22"/>
                <w:szCs w:val="22"/>
                <w:lang w:val="en-IE"/>
              </w:rPr>
              <w:t xml:space="preserve"> </w:t>
            </w:r>
            <w:r w:rsidRPr="008B0947">
              <w:rPr>
                <w:rFonts w:ascii="Arial" w:hAnsi="Arial" w:cs="Arial"/>
                <w:sz w:val="22"/>
                <w:szCs w:val="22"/>
                <w:lang w:val="en-IE"/>
              </w:rPr>
              <w:t>step 11.</w:t>
            </w:r>
          </w:p>
        </w:tc>
        <w:tc>
          <w:tcPr>
            <w:tcW w:w="2610" w:type="dxa"/>
          </w:tcPr>
          <w:p w14:paraId="241024A2"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timescales agreed with Raising Party</w:t>
            </w:r>
          </w:p>
        </w:tc>
        <w:tc>
          <w:tcPr>
            <w:tcW w:w="1800" w:type="dxa"/>
          </w:tcPr>
          <w:p w14:paraId="241024A3" w14:textId="77777777" w:rsidR="00AE3A5C" w:rsidRPr="008B0947" w:rsidRDefault="00AE3A5C"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531851">
              <w:rPr>
                <w:rFonts w:ascii="Arial" w:hAnsi="Arial" w:cs="Arial"/>
                <w:sz w:val="22"/>
                <w:szCs w:val="22"/>
                <w:lang w:val="en-IE"/>
              </w:rPr>
              <w:t>acsimile</w:t>
            </w:r>
          </w:p>
        </w:tc>
        <w:tc>
          <w:tcPr>
            <w:tcW w:w="1800" w:type="dxa"/>
          </w:tcPr>
          <w:p w14:paraId="241024A4"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4A5"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r>
      <w:tr w:rsidR="00AE3A5C" w:rsidRPr="0090751F" w14:paraId="241024AD" w14:textId="77777777" w:rsidTr="00625E8F">
        <w:tc>
          <w:tcPr>
            <w:cnfStyle w:val="001000000000" w:firstRow="0" w:lastRow="0" w:firstColumn="1" w:lastColumn="0" w:oddVBand="0" w:evenVBand="0" w:oddHBand="0" w:evenHBand="0" w:firstRowFirstColumn="0" w:firstRowLastColumn="0" w:lastRowFirstColumn="0" w:lastRowLastColumn="0"/>
            <w:tcW w:w="707" w:type="dxa"/>
            <w:shd w:val="clear" w:color="auto" w:fill="FFFFFF" w:themeFill="background1"/>
          </w:tcPr>
          <w:p w14:paraId="241024A7"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shd w:val="clear" w:color="auto" w:fill="FFFFFF" w:themeFill="background1"/>
          </w:tcPr>
          <w:p w14:paraId="241024A8" w14:textId="77777777" w:rsidR="00AE3A5C" w:rsidRPr="008B0947" w:rsidRDefault="00AE3A5C" w:rsidP="004864F2">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Raise a Dispute in accordance with Agreed Procedure 14 “Disputes”</w:t>
            </w:r>
            <w:r w:rsidR="007E3F7F" w:rsidRPr="008B0947">
              <w:rPr>
                <w:rFonts w:ascii="Arial" w:hAnsi="Arial" w:cs="Arial"/>
                <w:sz w:val="22"/>
                <w:szCs w:val="22"/>
                <w:lang w:val="en-IE"/>
              </w:rPr>
              <w:t xml:space="preserve"> </w:t>
            </w:r>
            <w:r w:rsidRPr="008B0947">
              <w:rPr>
                <w:rFonts w:ascii="Arial" w:hAnsi="Arial" w:cs="Arial"/>
                <w:sz w:val="22"/>
                <w:szCs w:val="22"/>
                <w:lang w:val="en-IE"/>
              </w:rPr>
              <w:t xml:space="preserve">on the basis of the inability to make a determination within required </w:t>
            </w:r>
            <w:r w:rsidR="004864F2" w:rsidRPr="008B0947">
              <w:rPr>
                <w:rFonts w:ascii="Arial" w:hAnsi="Arial" w:cs="Arial"/>
                <w:sz w:val="22"/>
                <w:szCs w:val="22"/>
                <w:lang w:val="en-IE"/>
              </w:rPr>
              <w:t>time</w:t>
            </w:r>
            <w:r w:rsidR="004864F2">
              <w:rPr>
                <w:rFonts w:ascii="Arial" w:hAnsi="Arial" w:cs="Arial"/>
                <w:sz w:val="22"/>
                <w:szCs w:val="22"/>
                <w:lang w:val="en-IE"/>
              </w:rPr>
              <w:t>lines</w:t>
            </w:r>
            <w:r w:rsidR="002C64EE" w:rsidRPr="008B0947">
              <w:rPr>
                <w:rFonts w:ascii="Arial" w:hAnsi="Arial" w:cs="Arial"/>
                <w:sz w:val="22"/>
                <w:szCs w:val="22"/>
                <w:lang w:val="en-IE"/>
              </w:rPr>
              <w:t xml:space="preserve">, </w:t>
            </w:r>
            <w:r w:rsidR="002C64EE" w:rsidRPr="00505AAC">
              <w:rPr>
                <w:rFonts w:ascii="Arial" w:hAnsi="Arial" w:cs="Arial"/>
                <w:b/>
                <w:sz w:val="22"/>
                <w:szCs w:val="22"/>
                <w:lang w:val="en-IE"/>
              </w:rPr>
              <w:t>end process</w:t>
            </w:r>
            <w:r w:rsidR="002C64EE" w:rsidRPr="008B0947">
              <w:rPr>
                <w:rFonts w:ascii="Arial" w:hAnsi="Arial" w:cs="Arial"/>
                <w:sz w:val="22"/>
                <w:szCs w:val="22"/>
                <w:lang w:val="en-IE"/>
              </w:rPr>
              <w:t>.</w:t>
            </w:r>
          </w:p>
        </w:tc>
        <w:tc>
          <w:tcPr>
            <w:tcW w:w="2610" w:type="dxa"/>
            <w:shd w:val="clear" w:color="auto" w:fill="FFFFFF" w:themeFill="background1"/>
          </w:tcPr>
          <w:p w14:paraId="241024A9"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After lapse of timescales agreed with Raising Party</w:t>
            </w:r>
          </w:p>
        </w:tc>
        <w:tc>
          <w:tcPr>
            <w:tcW w:w="1800" w:type="dxa"/>
            <w:shd w:val="clear" w:color="auto" w:fill="FFFFFF" w:themeFill="background1"/>
          </w:tcPr>
          <w:p w14:paraId="241024AA"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In accordance with Agreed Procedure 14 “Disputes”  </w:t>
            </w:r>
          </w:p>
        </w:tc>
        <w:tc>
          <w:tcPr>
            <w:tcW w:w="1800" w:type="dxa"/>
            <w:shd w:val="clear" w:color="auto" w:fill="FFFFFF" w:themeFill="background1"/>
          </w:tcPr>
          <w:p w14:paraId="241024AB"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c>
          <w:tcPr>
            <w:tcW w:w="2070" w:type="dxa"/>
            <w:shd w:val="clear" w:color="auto" w:fill="FFFFFF" w:themeFill="background1"/>
          </w:tcPr>
          <w:p w14:paraId="241024AC"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r>
      <w:tr w:rsidR="00AE3A5C" w:rsidRPr="0090751F" w14:paraId="241024B4" w14:textId="77777777" w:rsidTr="00625E8F">
        <w:tc>
          <w:tcPr>
            <w:cnfStyle w:val="001000000000" w:firstRow="0" w:lastRow="0" w:firstColumn="1" w:lastColumn="0" w:oddVBand="0" w:evenVBand="0" w:oddHBand="0" w:evenHBand="0" w:firstRowFirstColumn="0" w:firstRowLastColumn="0" w:lastRowFirstColumn="0" w:lastRowLastColumn="0"/>
            <w:tcW w:w="707" w:type="dxa"/>
            <w:shd w:val="clear" w:color="auto" w:fill="FFFFFF" w:themeFill="background1"/>
          </w:tcPr>
          <w:p w14:paraId="241024AE"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shd w:val="clear" w:color="auto" w:fill="FFFFFF" w:themeFill="background1"/>
          </w:tcPr>
          <w:p w14:paraId="241024AF"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Provide comments to Market Operator.</w:t>
            </w:r>
          </w:p>
        </w:tc>
        <w:tc>
          <w:tcPr>
            <w:tcW w:w="2610" w:type="dxa"/>
            <w:shd w:val="clear" w:color="auto" w:fill="FFFFFF" w:themeFill="background1"/>
          </w:tcPr>
          <w:p w14:paraId="241024B0" w14:textId="77777777" w:rsidR="00AE3A5C" w:rsidRPr="008B0947" w:rsidRDefault="00AE3A5C" w:rsidP="00D26AA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15 WD of receipt from M</w:t>
            </w:r>
            <w:r w:rsidR="004864F2">
              <w:rPr>
                <w:rFonts w:ascii="Arial" w:hAnsi="Arial" w:cs="Arial"/>
                <w:sz w:val="22"/>
                <w:szCs w:val="22"/>
                <w:lang w:val="en-IE"/>
              </w:rPr>
              <w:t xml:space="preserve">arket </w:t>
            </w:r>
            <w:r w:rsidRPr="008B0947">
              <w:rPr>
                <w:rFonts w:ascii="Arial" w:hAnsi="Arial" w:cs="Arial"/>
                <w:sz w:val="22"/>
                <w:szCs w:val="22"/>
                <w:lang w:val="en-IE"/>
              </w:rPr>
              <w:t>O</w:t>
            </w:r>
            <w:r w:rsidR="004864F2">
              <w:rPr>
                <w:rFonts w:ascii="Arial" w:hAnsi="Arial" w:cs="Arial"/>
                <w:sz w:val="22"/>
                <w:szCs w:val="22"/>
                <w:lang w:val="en-IE"/>
              </w:rPr>
              <w:t>perator</w:t>
            </w:r>
          </w:p>
        </w:tc>
        <w:tc>
          <w:tcPr>
            <w:tcW w:w="1800" w:type="dxa"/>
            <w:shd w:val="clear" w:color="auto" w:fill="FFFFFF" w:themeFill="background1"/>
          </w:tcPr>
          <w:p w14:paraId="241024B1" w14:textId="77777777" w:rsidR="00AE3A5C" w:rsidRPr="008B0947" w:rsidRDefault="00AE3A5C"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00441EBF" w:rsidRPr="008B0947">
              <w:rPr>
                <w:rFonts w:ascii="Arial" w:hAnsi="Arial" w:cs="Arial"/>
                <w:sz w:val="22"/>
                <w:szCs w:val="22"/>
                <w:lang w:val="en-IE"/>
              </w:rPr>
              <w:t xml:space="preserve"> </w:t>
            </w:r>
          </w:p>
        </w:tc>
        <w:tc>
          <w:tcPr>
            <w:tcW w:w="1800" w:type="dxa"/>
            <w:shd w:val="clear" w:color="auto" w:fill="FFFFFF" w:themeFill="background1"/>
          </w:tcPr>
          <w:p w14:paraId="241024B2"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Affected Participant(s)</w:t>
            </w:r>
            <w:r w:rsidRPr="008B0947" w:rsidDel="00D71C02">
              <w:rPr>
                <w:rFonts w:ascii="Arial" w:hAnsi="Arial" w:cs="Arial"/>
                <w:sz w:val="22"/>
                <w:szCs w:val="22"/>
                <w:lang w:val="en-IE"/>
              </w:rPr>
              <w:t xml:space="preserve"> </w:t>
            </w:r>
          </w:p>
        </w:tc>
        <w:tc>
          <w:tcPr>
            <w:tcW w:w="2070" w:type="dxa"/>
            <w:shd w:val="clear" w:color="auto" w:fill="FFFFFF" w:themeFill="background1"/>
          </w:tcPr>
          <w:p w14:paraId="241024B3"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r>
      <w:tr w:rsidR="00AE3A5C" w:rsidRPr="0090751F" w14:paraId="241024BE" w14:textId="77777777" w:rsidTr="00625E8F">
        <w:tc>
          <w:tcPr>
            <w:cnfStyle w:val="001000000000" w:firstRow="0" w:lastRow="0" w:firstColumn="1" w:lastColumn="0" w:oddVBand="0" w:evenVBand="0" w:oddHBand="0" w:evenHBand="0" w:firstRowFirstColumn="0" w:firstRowLastColumn="0" w:lastRowFirstColumn="0" w:lastRowLastColumn="0"/>
            <w:tcW w:w="707" w:type="dxa"/>
            <w:shd w:val="clear" w:color="auto" w:fill="FFFFFF" w:themeFill="background1"/>
          </w:tcPr>
          <w:p w14:paraId="241024B5"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shd w:val="clear" w:color="auto" w:fill="FFFFFF" w:themeFill="background1"/>
          </w:tcPr>
          <w:p w14:paraId="241024B6" w14:textId="77777777" w:rsidR="00EB2F35" w:rsidRPr="008B0947" w:rsidRDefault="00EB2F35"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If Raising Party is an External Data Provider go to step 17.</w:t>
            </w:r>
          </w:p>
          <w:p w14:paraId="241024B7" w14:textId="77777777" w:rsidR="00CC73D3"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Make a determination on the Settlement Query, including estimation of</w:t>
            </w:r>
            <w:r w:rsidR="0044120F" w:rsidRPr="008B0947">
              <w:rPr>
                <w:rFonts w:ascii="Arial" w:hAnsi="Arial" w:cs="Arial"/>
                <w:sz w:val="22"/>
                <w:szCs w:val="22"/>
                <w:lang w:val="en-IE"/>
              </w:rPr>
              <w:t xml:space="preserve"> High</w:t>
            </w:r>
            <w:r w:rsidRPr="008B0947">
              <w:rPr>
                <w:rFonts w:ascii="Arial" w:hAnsi="Arial" w:cs="Arial"/>
                <w:sz w:val="22"/>
                <w:szCs w:val="22"/>
                <w:lang w:val="en-IE"/>
              </w:rPr>
              <w:t xml:space="preserve"> Materiality </w:t>
            </w:r>
            <w:r w:rsidR="0044120F" w:rsidRPr="008B0947">
              <w:rPr>
                <w:rFonts w:ascii="Arial" w:hAnsi="Arial" w:cs="Arial"/>
                <w:sz w:val="22"/>
                <w:szCs w:val="22"/>
                <w:lang w:val="en-IE"/>
              </w:rPr>
              <w:t xml:space="preserve">or Low Materiality </w:t>
            </w:r>
            <w:r w:rsidRPr="008B0947">
              <w:rPr>
                <w:rFonts w:ascii="Arial" w:hAnsi="Arial" w:cs="Arial"/>
                <w:sz w:val="22"/>
                <w:szCs w:val="22"/>
                <w:lang w:val="en-IE"/>
              </w:rPr>
              <w:t>of any change to Settlement Items</w:t>
            </w:r>
            <w:r w:rsidR="00B36F35" w:rsidRPr="008B0947">
              <w:rPr>
                <w:rFonts w:ascii="Arial" w:hAnsi="Arial" w:cs="Arial"/>
                <w:sz w:val="22"/>
                <w:szCs w:val="22"/>
                <w:lang w:val="en-IE"/>
              </w:rPr>
              <w:t>,</w:t>
            </w:r>
            <w:r w:rsidRPr="008B0947">
              <w:rPr>
                <w:rFonts w:ascii="Arial" w:hAnsi="Arial" w:cs="Arial"/>
                <w:sz w:val="22"/>
                <w:szCs w:val="22"/>
                <w:lang w:val="en-IE"/>
              </w:rPr>
              <w:t xml:space="preserve"> taking into account any comments from the Affected Participant(s)</w:t>
            </w:r>
            <w:r w:rsidR="00943F7D" w:rsidRPr="008B0947">
              <w:rPr>
                <w:rFonts w:ascii="Arial" w:hAnsi="Arial" w:cs="Arial"/>
                <w:sz w:val="22"/>
                <w:szCs w:val="22"/>
                <w:lang w:val="en-IE"/>
              </w:rPr>
              <w:t xml:space="preserve"> (see section 2.3 and section 2.4 above)</w:t>
            </w:r>
            <w:r w:rsidRPr="008B0947">
              <w:rPr>
                <w:rFonts w:ascii="Arial" w:hAnsi="Arial" w:cs="Arial"/>
                <w:sz w:val="22"/>
                <w:szCs w:val="22"/>
                <w:lang w:val="en-IE"/>
              </w:rPr>
              <w:t>.</w:t>
            </w:r>
            <w:r w:rsidR="00B36F35" w:rsidRPr="008B0947">
              <w:rPr>
                <w:rFonts w:ascii="Arial" w:hAnsi="Arial" w:cs="Arial"/>
                <w:sz w:val="22"/>
                <w:szCs w:val="22"/>
                <w:lang w:val="en-IE"/>
              </w:rPr>
              <w:t xml:space="preserve"> </w:t>
            </w:r>
          </w:p>
          <w:p w14:paraId="241024B8"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If determination can be made within the timescales agreed with the Raising Party</w:t>
            </w:r>
            <w:r w:rsidR="00B36F35" w:rsidRPr="008B0947">
              <w:rPr>
                <w:rFonts w:ascii="Arial" w:hAnsi="Arial" w:cs="Arial"/>
                <w:sz w:val="22"/>
                <w:szCs w:val="22"/>
                <w:lang w:val="en-IE"/>
              </w:rPr>
              <w:t>,</w:t>
            </w:r>
            <w:r w:rsidRPr="008B0947">
              <w:rPr>
                <w:rFonts w:ascii="Arial" w:hAnsi="Arial" w:cs="Arial"/>
                <w:sz w:val="22"/>
                <w:szCs w:val="22"/>
                <w:lang w:val="en-IE"/>
              </w:rPr>
              <w:t xml:space="preserve"> </w:t>
            </w:r>
            <w:r w:rsidR="00372857" w:rsidRPr="008B0947">
              <w:rPr>
                <w:rFonts w:ascii="Arial" w:hAnsi="Arial" w:cs="Arial"/>
                <w:sz w:val="22"/>
                <w:szCs w:val="22"/>
                <w:lang w:val="en-IE"/>
              </w:rPr>
              <w:t>g</w:t>
            </w:r>
            <w:r w:rsidR="00913DE5" w:rsidRPr="008B0947">
              <w:rPr>
                <w:rFonts w:ascii="Arial" w:hAnsi="Arial" w:cs="Arial"/>
                <w:sz w:val="22"/>
                <w:szCs w:val="22"/>
                <w:lang w:val="en-IE"/>
              </w:rPr>
              <w:t>o</w:t>
            </w:r>
            <w:r w:rsidRPr="008B0947">
              <w:rPr>
                <w:rFonts w:ascii="Arial" w:hAnsi="Arial" w:cs="Arial"/>
                <w:sz w:val="22"/>
                <w:szCs w:val="22"/>
                <w:lang w:val="en-IE"/>
              </w:rPr>
              <w:t xml:space="preserve"> </w:t>
            </w:r>
            <w:r w:rsidR="000B6214" w:rsidRPr="008B0947">
              <w:rPr>
                <w:rFonts w:ascii="Arial" w:hAnsi="Arial" w:cs="Arial"/>
                <w:sz w:val="22"/>
                <w:szCs w:val="22"/>
                <w:lang w:val="en-IE"/>
              </w:rPr>
              <w:t xml:space="preserve">to </w:t>
            </w:r>
            <w:r w:rsidRPr="008B0947">
              <w:rPr>
                <w:rFonts w:ascii="Arial" w:hAnsi="Arial" w:cs="Arial"/>
                <w:sz w:val="22"/>
                <w:szCs w:val="22"/>
                <w:lang w:val="en-IE"/>
              </w:rPr>
              <w:t xml:space="preserve">step 18, otherwise </w:t>
            </w:r>
            <w:r w:rsidR="008262C6" w:rsidRPr="008B0947">
              <w:rPr>
                <w:rFonts w:ascii="Arial" w:hAnsi="Arial" w:cs="Arial"/>
                <w:sz w:val="22"/>
                <w:szCs w:val="22"/>
                <w:lang w:val="en-IE"/>
              </w:rPr>
              <w:t>return to</w:t>
            </w:r>
            <w:r w:rsidRPr="008B0947">
              <w:rPr>
                <w:rFonts w:ascii="Arial" w:hAnsi="Arial" w:cs="Arial"/>
                <w:sz w:val="22"/>
                <w:szCs w:val="22"/>
                <w:lang w:val="en-IE"/>
              </w:rPr>
              <w:t xml:space="preserve"> step 11</w:t>
            </w:r>
            <w:r w:rsidR="00C61ADB">
              <w:rPr>
                <w:rFonts w:ascii="Arial" w:hAnsi="Arial" w:cs="Arial"/>
                <w:sz w:val="22"/>
                <w:szCs w:val="22"/>
                <w:lang w:val="en-IE"/>
              </w:rPr>
              <w:t>.</w:t>
            </w:r>
          </w:p>
          <w:p w14:paraId="241024B9"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c>
          <w:tcPr>
            <w:tcW w:w="2610" w:type="dxa"/>
            <w:shd w:val="clear" w:color="auto" w:fill="FFFFFF" w:themeFill="background1"/>
          </w:tcPr>
          <w:p w14:paraId="241024BA" w14:textId="77777777" w:rsidR="00AE3A5C" w:rsidRPr="008B0947" w:rsidRDefault="00AE3A5C" w:rsidP="004864F2">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Within </w:t>
            </w:r>
            <w:r w:rsidR="004864F2" w:rsidRPr="008B0947">
              <w:rPr>
                <w:rFonts w:ascii="Arial" w:hAnsi="Arial" w:cs="Arial"/>
                <w:sz w:val="22"/>
                <w:szCs w:val="22"/>
                <w:lang w:val="en-IE"/>
              </w:rPr>
              <w:t>time</w:t>
            </w:r>
            <w:r w:rsidR="004864F2">
              <w:rPr>
                <w:rFonts w:ascii="Arial" w:hAnsi="Arial" w:cs="Arial"/>
                <w:sz w:val="22"/>
                <w:szCs w:val="22"/>
                <w:lang w:val="en-IE"/>
              </w:rPr>
              <w:t>lines</w:t>
            </w:r>
            <w:r w:rsidR="004864F2" w:rsidRPr="008B0947">
              <w:rPr>
                <w:rFonts w:ascii="Arial" w:hAnsi="Arial" w:cs="Arial"/>
                <w:sz w:val="22"/>
                <w:szCs w:val="22"/>
                <w:lang w:val="en-IE"/>
              </w:rPr>
              <w:t xml:space="preserve"> </w:t>
            </w:r>
            <w:r w:rsidRPr="008B0947">
              <w:rPr>
                <w:rFonts w:ascii="Arial" w:hAnsi="Arial" w:cs="Arial"/>
                <w:sz w:val="22"/>
                <w:szCs w:val="22"/>
                <w:lang w:val="en-IE"/>
              </w:rPr>
              <w:t>agreed with Raising Party</w:t>
            </w:r>
          </w:p>
        </w:tc>
        <w:tc>
          <w:tcPr>
            <w:tcW w:w="1800" w:type="dxa"/>
            <w:shd w:val="clear" w:color="auto" w:fill="FFFFFF" w:themeFill="background1"/>
          </w:tcPr>
          <w:p w14:paraId="241024BB"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c>
          <w:tcPr>
            <w:tcW w:w="1800" w:type="dxa"/>
            <w:shd w:val="clear" w:color="auto" w:fill="FFFFFF" w:themeFill="background1"/>
          </w:tcPr>
          <w:p w14:paraId="241024BC"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shd w:val="clear" w:color="auto" w:fill="FFFFFF" w:themeFill="background1"/>
          </w:tcPr>
          <w:p w14:paraId="241024BD"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t>
            </w:r>
          </w:p>
        </w:tc>
      </w:tr>
      <w:tr w:rsidR="00AE3A5C" w:rsidRPr="0090751F" w14:paraId="241024C5" w14:textId="77777777" w:rsidTr="00625E8F">
        <w:tc>
          <w:tcPr>
            <w:cnfStyle w:val="001000000000" w:firstRow="0" w:lastRow="0" w:firstColumn="1" w:lastColumn="0" w:oddVBand="0" w:evenVBand="0" w:oddHBand="0" w:evenHBand="0" w:firstRowFirstColumn="0" w:firstRowLastColumn="0" w:lastRowFirstColumn="0" w:lastRowLastColumn="0"/>
            <w:tcW w:w="707" w:type="dxa"/>
            <w:shd w:val="clear" w:color="auto" w:fill="FFFFFF" w:themeFill="background1"/>
          </w:tcPr>
          <w:p w14:paraId="241024BF"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shd w:val="clear" w:color="auto" w:fill="FFFFFF" w:themeFill="background1"/>
          </w:tcPr>
          <w:p w14:paraId="241024C0"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Send Settlement Query to External Data Provider.  Note that the Market Operator may request a manual communication of the estimation of the change to data items which are being queried, or may request a full formal update of all data from the External Data Provider over Communication Channel Type 2 </w:t>
            </w:r>
            <w:r w:rsidR="005E7245">
              <w:rPr>
                <w:rFonts w:ascii="Arial" w:hAnsi="Arial" w:cs="Arial"/>
                <w:sz w:val="22"/>
                <w:szCs w:val="22"/>
                <w:lang w:val="en-IE"/>
              </w:rPr>
              <w:t xml:space="preserve">Channel </w:t>
            </w:r>
            <w:r w:rsidRPr="008B0947">
              <w:rPr>
                <w:rFonts w:ascii="Arial" w:hAnsi="Arial" w:cs="Arial"/>
                <w:sz w:val="22"/>
                <w:szCs w:val="22"/>
                <w:lang w:val="en-IE"/>
              </w:rPr>
              <w:t>or Type 3</w:t>
            </w:r>
            <w:r w:rsidR="005E7245">
              <w:rPr>
                <w:rFonts w:ascii="Arial" w:hAnsi="Arial" w:cs="Arial"/>
                <w:sz w:val="22"/>
                <w:szCs w:val="22"/>
                <w:lang w:val="en-IE"/>
              </w:rPr>
              <w:t xml:space="preserve"> Channel</w:t>
            </w:r>
            <w:r w:rsidRPr="008B0947">
              <w:rPr>
                <w:rFonts w:ascii="Arial" w:hAnsi="Arial" w:cs="Arial"/>
                <w:sz w:val="22"/>
                <w:szCs w:val="22"/>
                <w:lang w:val="en-IE"/>
              </w:rPr>
              <w:t>.</w:t>
            </w:r>
          </w:p>
        </w:tc>
        <w:tc>
          <w:tcPr>
            <w:tcW w:w="2610" w:type="dxa"/>
            <w:shd w:val="clear" w:color="auto" w:fill="FFFFFF" w:themeFill="background1"/>
          </w:tcPr>
          <w:p w14:paraId="241024C1" w14:textId="397D7F7C"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w:t>
            </w:r>
            <w:r w:rsidR="003506B4">
              <w:rPr>
                <w:rFonts w:ascii="Arial" w:hAnsi="Arial" w:cs="Arial"/>
                <w:sz w:val="22"/>
                <w:szCs w:val="22"/>
                <w:lang w:val="en-IE"/>
              </w:rPr>
              <w:t xml:space="preserve">3 </w:t>
            </w:r>
            <w:r w:rsidRPr="008B0947">
              <w:rPr>
                <w:rFonts w:ascii="Arial" w:hAnsi="Arial" w:cs="Arial"/>
                <w:sz w:val="22"/>
                <w:szCs w:val="22"/>
                <w:lang w:val="en-IE"/>
              </w:rPr>
              <w:t>WD of receiving the Settlement Query</w:t>
            </w:r>
          </w:p>
        </w:tc>
        <w:tc>
          <w:tcPr>
            <w:tcW w:w="1800" w:type="dxa"/>
            <w:shd w:val="clear" w:color="auto" w:fill="FFFFFF" w:themeFill="background1"/>
          </w:tcPr>
          <w:p w14:paraId="241024C2" w14:textId="77777777" w:rsidR="00AE3A5C" w:rsidRPr="008B0947" w:rsidRDefault="00AE3A5C"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00441EBF" w:rsidRPr="008B0947">
              <w:rPr>
                <w:rFonts w:ascii="Arial" w:hAnsi="Arial" w:cs="Arial"/>
                <w:sz w:val="22"/>
                <w:szCs w:val="22"/>
                <w:lang w:val="en-IE"/>
              </w:rPr>
              <w:t xml:space="preserve"> </w:t>
            </w:r>
          </w:p>
        </w:tc>
        <w:tc>
          <w:tcPr>
            <w:tcW w:w="1800" w:type="dxa"/>
            <w:shd w:val="clear" w:color="auto" w:fill="FFFFFF" w:themeFill="background1"/>
          </w:tcPr>
          <w:p w14:paraId="241024C3"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shd w:val="clear" w:color="auto" w:fill="FFFFFF" w:themeFill="background1"/>
          </w:tcPr>
          <w:p w14:paraId="241024C4"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External Data Provider</w:t>
            </w:r>
          </w:p>
        </w:tc>
      </w:tr>
      <w:tr w:rsidR="00AE3A5C" w:rsidRPr="0090751F" w14:paraId="241024CC" w14:textId="77777777" w:rsidTr="00625E8F">
        <w:tc>
          <w:tcPr>
            <w:cnfStyle w:val="001000000000" w:firstRow="0" w:lastRow="0" w:firstColumn="1" w:lastColumn="0" w:oddVBand="0" w:evenVBand="0" w:oddHBand="0" w:evenHBand="0" w:firstRowFirstColumn="0" w:firstRowLastColumn="0" w:lastRowFirstColumn="0" w:lastRowLastColumn="0"/>
            <w:tcW w:w="707" w:type="dxa"/>
            <w:shd w:val="clear" w:color="auto" w:fill="FFFFFF" w:themeFill="background1"/>
          </w:tcPr>
          <w:p w14:paraId="241024C6"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shd w:val="clear" w:color="auto" w:fill="FFFFFF" w:themeFill="background1"/>
          </w:tcPr>
          <w:p w14:paraId="241024C7"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Process Settlement Query request.</w:t>
            </w:r>
            <w:r w:rsidR="00B36F35" w:rsidRPr="008B0947">
              <w:rPr>
                <w:rFonts w:ascii="Arial" w:hAnsi="Arial" w:cs="Arial"/>
                <w:sz w:val="22"/>
                <w:szCs w:val="22"/>
                <w:lang w:val="en-IE"/>
              </w:rPr>
              <w:t xml:space="preserve"> </w:t>
            </w:r>
            <w:r w:rsidRPr="008B0947">
              <w:rPr>
                <w:rFonts w:ascii="Arial" w:hAnsi="Arial" w:cs="Arial"/>
                <w:sz w:val="22"/>
                <w:szCs w:val="22"/>
                <w:lang w:val="en-IE"/>
              </w:rPr>
              <w:t>If Settlement Query can be processed within requested timescales</w:t>
            </w:r>
            <w:r w:rsidR="00B36F35" w:rsidRPr="008B0947">
              <w:rPr>
                <w:rFonts w:ascii="Arial" w:hAnsi="Arial" w:cs="Arial"/>
                <w:sz w:val="22"/>
                <w:szCs w:val="22"/>
                <w:lang w:val="en-IE"/>
              </w:rPr>
              <w:t>,</w:t>
            </w:r>
            <w:r w:rsidRPr="008B0947">
              <w:rPr>
                <w:rFonts w:ascii="Arial" w:hAnsi="Arial" w:cs="Arial"/>
                <w:sz w:val="22"/>
                <w:szCs w:val="22"/>
                <w:lang w:val="en-IE"/>
              </w:rPr>
              <w:t xml:space="preserve"> </w:t>
            </w:r>
            <w:r w:rsidR="00372857" w:rsidRPr="008B0947">
              <w:rPr>
                <w:rFonts w:ascii="Arial" w:hAnsi="Arial" w:cs="Arial"/>
                <w:sz w:val="22"/>
                <w:szCs w:val="22"/>
                <w:lang w:val="en-IE"/>
              </w:rPr>
              <w:t>go to</w:t>
            </w:r>
            <w:r w:rsidRPr="008B0947">
              <w:rPr>
                <w:rFonts w:ascii="Arial" w:hAnsi="Arial" w:cs="Arial"/>
                <w:sz w:val="22"/>
                <w:szCs w:val="22"/>
                <w:lang w:val="en-IE"/>
              </w:rPr>
              <w:t xml:space="preserve"> step 17, otherwise continue </w:t>
            </w:r>
            <w:r w:rsidR="005609C4" w:rsidRPr="008B0947">
              <w:rPr>
                <w:rFonts w:ascii="Arial" w:hAnsi="Arial" w:cs="Arial"/>
                <w:sz w:val="22"/>
                <w:szCs w:val="22"/>
                <w:lang w:val="en-IE"/>
              </w:rPr>
              <w:t xml:space="preserve">to </w:t>
            </w:r>
            <w:r w:rsidRPr="008B0947">
              <w:rPr>
                <w:rFonts w:ascii="Arial" w:hAnsi="Arial" w:cs="Arial"/>
                <w:sz w:val="22"/>
                <w:szCs w:val="22"/>
                <w:lang w:val="en-IE"/>
              </w:rPr>
              <w:t>step 16.</w:t>
            </w:r>
          </w:p>
        </w:tc>
        <w:tc>
          <w:tcPr>
            <w:tcW w:w="2610" w:type="dxa"/>
            <w:shd w:val="clear" w:color="auto" w:fill="FFFFFF" w:themeFill="background1"/>
          </w:tcPr>
          <w:p w14:paraId="241024C8"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timescales specified by M</w:t>
            </w:r>
            <w:r w:rsidR="00894F9F">
              <w:rPr>
                <w:rFonts w:ascii="Arial" w:hAnsi="Arial" w:cs="Arial"/>
                <w:sz w:val="22"/>
                <w:szCs w:val="22"/>
                <w:lang w:val="en-IE"/>
              </w:rPr>
              <w:t xml:space="preserve">arket </w:t>
            </w:r>
            <w:r w:rsidRPr="008B0947">
              <w:rPr>
                <w:rFonts w:ascii="Arial" w:hAnsi="Arial" w:cs="Arial"/>
                <w:sz w:val="22"/>
                <w:szCs w:val="22"/>
                <w:lang w:val="en-IE"/>
              </w:rPr>
              <w:t>O</w:t>
            </w:r>
            <w:r w:rsidR="00894F9F">
              <w:rPr>
                <w:rFonts w:ascii="Arial" w:hAnsi="Arial" w:cs="Arial"/>
                <w:sz w:val="22"/>
                <w:szCs w:val="22"/>
                <w:lang w:val="en-IE"/>
              </w:rPr>
              <w:t>perator</w:t>
            </w:r>
          </w:p>
        </w:tc>
        <w:tc>
          <w:tcPr>
            <w:tcW w:w="1800" w:type="dxa"/>
            <w:shd w:val="clear" w:color="auto" w:fill="FFFFFF" w:themeFill="background1"/>
          </w:tcPr>
          <w:p w14:paraId="241024C9" w14:textId="77777777" w:rsidR="00AE3A5C" w:rsidRPr="008B0947" w:rsidRDefault="00AE3A5C"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Pr="008B0947">
              <w:rPr>
                <w:rFonts w:ascii="Arial" w:hAnsi="Arial" w:cs="Arial"/>
                <w:sz w:val="22"/>
                <w:szCs w:val="22"/>
                <w:lang w:val="en-IE"/>
              </w:rPr>
              <w:t xml:space="preserve"> </w:t>
            </w:r>
          </w:p>
        </w:tc>
        <w:tc>
          <w:tcPr>
            <w:tcW w:w="1800" w:type="dxa"/>
            <w:shd w:val="clear" w:color="auto" w:fill="FFFFFF" w:themeFill="background1"/>
          </w:tcPr>
          <w:p w14:paraId="241024CA"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External Data Provider </w:t>
            </w:r>
          </w:p>
        </w:tc>
        <w:tc>
          <w:tcPr>
            <w:tcW w:w="2070" w:type="dxa"/>
            <w:shd w:val="clear" w:color="auto" w:fill="FFFFFF" w:themeFill="background1"/>
          </w:tcPr>
          <w:p w14:paraId="241024CB"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t>
            </w:r>
          </w:p>
        </w:tc>
      </w:tr>
      <w:tr w:rsidR="00AE3A5C" w:rsidRPr="0090751F" w14:paraId="241024D3" w14:textId="77777777" w:rsidTr="00625E8F">
        <w:tc>
          <w:tcPr>
            <w:cnfStyle w:val="001000000000" w:firstRow="0" w:lastRow="0" w:firstColumn="1" w:lastColumn="0" w:oddVBand="0" w:evenVBand="0" w:oddHBand="0" w:evenHBand="0" w:firstRowFirstColumn="0" w:firstRowLastColumn="0" w:lastRowFirstColumn="0" w:lastRowLastColumn="0"/>
            <w:tcW w:w="707" w:type="dxa"/>
            <w:shd w:val="clear" w:color="auto" w:fill="FFFFFF" w:themeFill="background1"/>
          </w:tcPr>
          <w:p w14:paraId="241024CD"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shd w:val="clear" w:color="auto" w:fill="FFFFFF" w:themeFill="background1"/>
          </w:tcPr>
          <w:p w14:paraId="241024CE"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Notify inability to process Settlement Query</w:t>
            </w:r>
            <w:r w:rsidR="00185F85">
              <w:rPr>
                <w:rFonts w:ascii="Arial" w:hAnsi="Arial" w:cs="Arial"/>
                <w:sz w:val="22"/>
                <w:szCs w:val="22"/>
                <w:lang w:val="en-IE"/>
              </w:rPr>
              <w:t xml:space="preserve"> </w:t>
            </w:r>
            <w:r w:rsidR="00913DE5" w:rsidRPr="008B0947">
              <w:rPr>
                <w:rFonts w:ascii="Arial" w:hAnsi="Arial" w:cs="Arial"/>
                <w:sz w:val="22"/>
                <w:szCs w:val="22"/>
                <w:lang w:val="en-IE"/>
              </w:rPr>
              <w:t xml:space="preserve">request, </w:t>
            </w:r>
            <w:r w:rsidR="001048CC" w:rsidRPr="008B0947">
              <w:rPr>
                <w:rFonts w:ascii="Arial" w:hAnsi="Arial" w:cs="Arial"/>
                <w:sz w:val="22"/>
                <w:szCs w:val="22"/>
                <w:lang w:val="en-IE"/>
              </w:rPr>
              <w:t>return to</w:t>
            </w:r>
            <w:r w:rsidRPr="008B0947">
              <w:rPr>
                <w:rFonts w:ascii="Arial" w:hAnsi="Arial" w:cs="Arial"/>
                <w:sz w:val="22"/>
                <w:szCs w:val="22"/>
                <w:lang w:val="en-IE"/>
              </w:rPr>
              <w:t xml:space="preserve"> step 11.</w:t>
            </w:r>
          </w:p>
        </w:tc>
        <w:tc>
          <w:tcPr>
            <w:tcW w:w="2610" w:type="dxa"/>
            <w:shd w:val="clear" w:color="auto" w:fill="FFFFFF" w:themeFill="background1"/>
          </w:tcPr>
          <w:p w14:paraId="241024CF"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timescales specified by M</w:t>
            </w:r>
            <w:r w:rsidR="00894F9F">
              <w:rPr>
                <w:rFonts w:ascii="Arial" w:hAnsi="Arial" w:cs="Arial"/>
                <w:sz w:val="22"/>
                <w:szCs w:val="22"/>
                <w:lang w:val="en-IE"/>
              </w:rPr>
              <w:t xml:space="preserve">arket </w:t>
            </w:r>
            <w:r w:rsidRPr="008B0947">
              <w:rPr>
                <w:rFonts w:ascii="Arial" w:hAnsi="Arial" w:cs="Arial"/>
                <w:sz w:val="22"/>
                <w:szCs w:val="22"/>
                <w:lang w:val="en-IE"/>
              </w:rPr>
              <w:t>O</w:t>
            </w:r>
            <w:r w:rsidR="00894F9F">
              <w:rPr>
                <w:rFonts w:ascii="Arial" w:hAnsi="Arial" w:cs="Arial"/>
                <w:sz w:val="22"/>
                <w:szCs w:val="22"/>
                <w:lang w:val="en-IE"/>
              </w:rPr>
              <w:t>perator</w:t>
            </w:r>
          </w:p>
        </w:tc>
        <w:tc>
          <w:tcPr>
            <w:tcW w:w="1800" w:type="dxa"/>
            <w:shd w:val="clear" w:color="auto" w:fill="FFFFFF" w:themeFill="background1"/>
          </w:tcPr>
          <w:p w14:paraId="241024D0" w14:textId="77777777" w:rsidR="00AE3A5C" w:rsidRPr="008B0947" w:rsidRDefault="00AE3A5C" w:rsidP="00531851">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Pr="008B0947">
              <w:rPr>
                <w:rFonts w:ascii="Arial" w:hAnsi="Arial" w:cs="Arial"/>
                <w:sz w:val="22"/>
                <w:szCs w:val="22"/>
                <w:lang w:val="en-IE"/>
              </w:rPr>
              <w:t xml:space="preserve"> </w:t>
            </w:r>
          </w:p>
        </w:tc>
        <w:tc>
          <w:tcPr>
            <w:tcW w:w="1800" w:type="dxa"/>
            <w:shd w:val="clear" w:color="auto" w:fill="FFFFFF" w:themeFill="background1"/>
          </w:tcPr>
          <w:p w14:paraId="241024D1"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External Data Provider</w:t>
            </w:r>
          </w:p>
        </w:tc>
        <w:tc>
          <w:tcPr>
            <w:tcW w:w="2070" w:type="dxa"/>
            <w:shd w:val="clear" w:color="auto" w:fill="FFFFFF" w:themeFill="background1"/>
          </w:tcPr>
          <w:p w14:paraId="241024D2"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r>
      <w:tr w:rsidR="00AE3A5C" w:rsidRPr="0090751F" w14:paraId="241024DB" w14:textId="77777777" w:rsidTr="00625E8F">
        <w:tc>
          <w:tcPr>
            <w:cnfStyle w:val="001000000000" w:firstRow="0" w:lastRow="0" w:firstColumn="1" w:lastColumn="0" w:oddVBand="0" w:evenVBand="0" w:oddHBand="0" w:evenHBand="0" w:firstRowFirstColumn="0" w:firstRowLastColumn="0" w:lastRowFirstColumn="0" w:lastRowLastColumn="0"/>
            <w:tcW w:w="707" w:type="dxa"/>
            <w:shd w:val="clear" w:color="auto" w:fill="FFFFFF" w:themeFill="background1"/>
          </w:tcPr>
          <w:p w14:paraId="241024D4"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shd w:val="clear" w:color="auto" w:fill="FFFFFF" w:themeFill="background1"/>
          </w:tcPr>
          <w:p w14:paraId="241024D5"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Process the Settlement Query. Inform Market Operator of findings and</w:t>
            </w:r>
            <w:r w:rsidR="00017E44" w:rsidRPr="008B0947">
              <w:rPr>
                <w:rFonts w:ascii="Arial" w:hAnsi="Arial" w:cs="Arial"/>
                <w:sz w:val="22"/>
                <w:szCs w:val="22"/>
                <w:lang w:val="en-IE"/>
              </w:rPr>
              <w:t>,</w:t>
            </w:r>
            <w:r w:rsidRPr="008B0947">
              <w:rPr>
                <w:rFonts w:ascii="Arial" w:hAnsi="Arial" w:cs="Arial"/>
                <w:sz w:val="22"/>
                <w:szCs w:val="22"/>
                <w:lang w:val="en-IE"/>
              </w:rPr>
              <w:t xml:space="preserve"> </w:t>
            </w:r>
            <w:r w:rsidR="00017E44" w:rsidRPr="008B0947">
              <w:rPr>
                <w:rFonts w:ascii="Arial" w:hAnsi="Arial" w:cs="Arial"/>
                <w:sz w:val="22"/>
                <w:szCs w:val="22"/>
                <w:lang w:val="en-IE"/>
              </w:rPr>
              <w:t xml:space="preserve">if applicable, </w:t>
            </w:r>
            <w:r w:rsidRPr="008B0947">
              <w:rPr>
                <w:rFonts w:ascii="Arial" w:hAnsi="Arial" w:cs="Arial"/>
                <w:sz w:val="22"/>
                <w:szCs w:val="22"/>
                <w:lang w:val="en-IE"/>
              </w:rPr>
              <w:t>reissue any corrected data</w:t>
            </w:r>
            <w:r w:rsidR="00E813BF" w:rsidRPr="008B0947">
              <w:rPr>
                <w:rFonts w:ascii="Arial" w:hAnsi="Arial" w:cs="Arial"/>
                <w:sz w:val="22"/>
                <w:szCs w:val="22"/>
                <w:lang w:val="en-IE"/>
              </w:rPr>
              <w:t>.</w:t>
            </w:r>
          </w:p>
        </w:tc>
        <w:tc>
          <w:tcPr>
            <w:tcW w:w="2610" w:type="dxa"/>
            <w:shd w:val="clear" w:color="auto" w:fill="FFFFFF" w:themeFill="background1"/>
          </w:tcPr>
          <w:p w14:paraId="241024D6" w14:textId="77777777" w:rsidR="00AE3A5C" w:rsidRPr="008B0947" w:rsidRDefault="00AE3A5C" w:rsidP="00D26AA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timescales specified by M</w:t>
            </w:r>
            <w:r w:rsidR="00894F9F">
              <w:rPr>
                <w:rFonts w:ascii="Arial" w:hAnsi="Arial" w:cs="Arial"/>
                <w:sz w:val="22"/>
                <w:szCs w:val="22"/>
                <w:lang w:val="en-IE"/>
              </w:rPr>
              <w:t xml:space="preserve">arket </w:t>
            </w:r>
            <w:r w:rsidRPr="008B0947">
              <w:rPr>
                <w:rFonts w:ascii="Arial" w:hAnsi="Arial" w:cs="Arial"/>
                <w:sz w:val="22"/>
                <w:szCs w:val="22"/>
                <w:lang w:val="en-IE"/>
              </w:rPr>
              <w:t>O</w:t>
            </w:r>
            <w:r w:rsidR="00894F9F">
              <w:rPr>
                <w:rFonts w:ascii="Arial" w:hAnsi="Arial" w:cs="Arial"/>
                <w:sz w:val="22"/>
                <w:szCs w:val="22"/>
                <w:lang w:val="en-IE"/>
              </w:rPr>
              <w:t>perator</w:t>
            </w:r>
            <w:r w:rsidR="005361B3" w:rsidRPr="008B0947">
              <w:rPr>
                <w:rFonts w:ascii="Arial" w:hAnsi="Arial" w:cs="Arial"/>
                <w:sz w:val="22"/>
                <w:szCs w:val="22"/>
                <w:lang w:val="en-IE"/>
              </w:rPr>
              <w:t xml:space="preserve"> (within 15 WD of receipt of Settlement Query  by the M</w:t>
            </w:r>
            <w:r w:rsidR="00894F9F">
              <w:rPr>
                <w:rFonts w:ascii="Arial" w:hAnsi="Arial" w:cs="Arial"/>
                <w:sz w:val="22"/>
                <w:szCs w:val="22"/>
                <w:lang w:val="en-IE"/>
              </w:rPr>
              <w:t>arket Operator</w:t>
            </w:r>
            <w:r w:rsidR="005361B3" w:rsidRPr="008B0947">
              <w:rPr>
                <w:rFonts w:ascii="Arial" w:hAnsi="Arial" w:cs="Arial"/>
                <w:sz w:val="22"/>
                <w:szCs w:val="22"/>
                <w:lang w:val="en-IE"/>
              </w:rPr>
              <w:t>)</w:t>
            </w:r>
          </w:p>
        </w:tc>
        <w:tc>
          <w:tcPr>
            <w:tcW w:w="1800" w:type="dxa"/>
            <w:shd w:val="clear" w:color="auto" w:fill="FFFFFF" w:themeFill="background1"/>
          </w:tcPr>
          <w:p w14:paraId="241024D7" w14:textId="77777777" w:rsidR="00AE3A5C" w:rsidRPr="008B0947" w:rsidRDefault="0044120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Pr="008B0947">
              <w:rPr>
                <w:rFonts w:ascii="Arial" w:hAnsi="Arial" w:cs="Arial"/>
                <w:sz w:val="22"/>
                <w:szCs w:val="22"/>
                <w:lang w:val="en-IE"/>
              </w:rPr>
              <w:t xml:space="preserve"> </w:t>
            </w:r>
            <w:r w:rsidR="00441EBF" w:rsidRPr="008B0947">
              <w:rPr>
                <w:rFonts w:ascii="Arial" w:hAnsi="Arial" w:cs="Arial"/>
                <w:sz w:val="22"/>
                <w:szCs w:val="22"/>
                <w:lang w:val="en-IE"/>
              </w:rPr>
              <w:t xml:space="preserve">/ </w:t>
            </w:r>
            <w:r w:rsidR="00F37AB2">
              <w:rPr>
                <w:rFonts w:ascii="Arial" w:hAnsi="Arial" w:cs="Arial"/>
                <w:sz w:val="22"/>
                <w:szCs w:val="22"/>
                <w:lang w:val="en-IE"/>
              </w:rPr>
              <w:t>Registered P</w:t>
            </w:r>
            <w:r w:rsidRPr="008B0947">
              <w:rPr>
                <w:rFonts w:ascii="Arial" w:hAnsi="Arial" w:cs="Arial"/>
                <w:sz w:val="22"/>
                <w:szCs w:val="22"/>
                <w:lang w:val="en-IE"/>
              </w:rPr>
              <w:t>ost</w:t>
            </w:r>
            <w:r w:rsidRPr="008B0947" w:rsidDel="0044120F">
              <w:rPr>
                <w:rFonts w:ascii="Arial" w:hAnsi="Arial" w:cs="Arial"/>
                <w:sz w:val="22"/>
                <w:szCs w:val="22"/>
                <w:lang w:val="en-IE"/>
              </w:rPr>
              <w:t xml:space="preserve"> </w:t>
            </w:r>
            <w:r w:rsidR="00AE3A5C" w:rsidRPr="008B0947">
              <w:rPr>
                <w:rFonts w:ascii="Arial" w:hAnsi="Arial" w:cs="Arial"/>
                <w:sz w:val="22"/>
                <w:szCs w:val="22"/>
                <w:lang w:val="en-IE"/>
              </w:rPr>
              <w:t>(notification of determination)</w:t>
            </w:r>
          </w:p>
          <w:p w14:paraId="241024D8" w14:textId="77777777" w:rsidR="00AE3A5C" w:rsidRPr="008B0947" w:rsidRDefault="00894F9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Balancing Market Interface</w:t>
            </w:r>
            <w:r w:rsidR="00AE3A5C" w:rsidRPr="008B0947">
              <w:rPr>
                <w:rFonts w:ascii="Arial" w:hAnsi="Arial" w:cs="Arial"/>
                <w:sz w:val="22"/>
                <w:szCs w:val="22"/>
                <w:lang w:val="en-IE"/>
              </w:rPr>
              <w:t xml:space="preserve"> (revised data)</w:t>
            </w:r>
          </w:p>
        </w:tc>
        <w:tc>
          <w:tcPr>
            <w:tcW w:w="1800" w:type="dxa"/>
            <w:shd w:val="clear" w:color="auto" w:fill="FFFFFF" w:themeFill="background1"/>
          </w:tcPr>
          <w:p w14:paraId="241024D9"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External Data Provider</w:t>
            </w:r>
          </w:p>
        </w:tc>
        <w:tc>
          <w:tcPr>
            <w:tcW w:w="2070" w:type="dxa"/>
            <w:shd w:val="clear" w:color="auto" w:fill="FFFFFF" w:themeFill="background1"/>
          </w:tcPr>
          <w:p w14:paraId="241024DA"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r>
      <w:tr w:rsidR="00AE3A5C" w:rsidRPr="001267B9" w14:paraId="241024E3"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DC"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DD"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If Market Operator completes the examination of the Settlement Query within </w:t>
            </w:r>
            <w:r w:rsidR="00B36F35" w:rsidRPr="008B0947">
              <w:rPr>
                <w:rFonts w:ascii="Arial" w:hAnsi="Arial" w:cs="Arial"/>
                <w:sz w:val="22"/>
                <w:szCs w:val="22"/>
                <w:lang w:val="en-IE"/>
              </w:rPr>
              <w:t xml:space="preserve">required </w:t>
            </w:r>
            <w:r w:rsidR="00531851" w:rsidRPr="008B0947">
              <w:rPr>
                <w:rFonts w:ascii="Arial" w:hAnsi="Arial" w:cs="Arial"/>
                <w:sz w:val="22"/>
                <w:szCs w:val="22"/>
                <w:lang w:val="en-IE"/>
              </w:rPr>
              <w:t>time</w:t>
            </w:r>
            <w:r w:rsidR="00531851">
              <w:rPr>
                <w:rFonts w:ascii="Arial" w:hAnsi="Arial" w:cs="Arial"/>
                <w:sz w:val="22"/>
                <w:szCs w:val="22"/>
                <w:lang w:val="en-IE"/>
              </w:rPr>
              <w:t>line</w:t>
            </w:r>
            <w:r w:rsidRPr="008B0947">
              <w:rPr>
                <w:rFonts w:ascii="Arial" w:hAnsi="Arial" w:cs="Arial"/>
                <w:sz w:val="22"/>
                <w:szCs w:val="22"/>
                <w:lang w:val="en-IE"/>
              </w:rPr>
              <w:t xml:space="preserve">, inform the Raising Party and the Affected Participant(s) of the Market Operator’s determination, including any estimate of </w:t>
            </w:r>
            <w:r w:rsidR="00B36F35" w:rsidRPr="008B0947">
              <w:rPr>
                <w:rFonts w:ascii="Arial" w:hAnsi="Arial" w:cs="Arial"/>
                <w:sz w:val="22"/>
                <w:szCs w:val="22"/>
                <w:lang w:val="en-IE"/>
              </w:rPr>
              <w:t>m</w:t>
            </w:r>
            <w:r w:rsidRPr="008B0947">
              <w:rPr>
                <w:rFonts w:ascii="Arial" w:hAnsi="Arial" w:cs="Arial"/>
                <w:sz w:val="22"/>
                <w:szCs w:val="22"/>
                <w:lang w:val="en-IE"/>
              </w:rPr>
              <w:t xml:space="preserve">ateriality and the method of estimating that </w:t>
            </w:r>
            <w:r w:rsidR="00B36F35" w:rsidRPr="008B0947">
              <w:rPr>
                <w:rFonts w:ascii="Arial" w:hAnsi="Arial" w:cs="Arial"/>
                <w:sz w:val="22"/>
                <w:szCs w:val="22"/>
                <w:lang w:val="en-IE"/>
              </w:rPr>
              <w:t>m</w:t>
            </w:r>
            <w:r w:rsidRPr="008B0947">
              <w:rPr>
                <w:rFonts w:ascii="Arial" w:hAnsi="Arial" w:cs="Arial"/>
                <w:sz w:val="22"/>
                <w:szCs w:val="22"/>
                <w:lang w:val="en-IE"/>
              </w:rPr>
              <w:t>ateriality</w:t>
            </w:r>
            <w:r w:rsidR="00B36F35" w:rsidRPr="008B0947">
              <w:rPr>
                <w:rFonts w:ascii="Arial" w:hAnsi="Arial" w:cs="Arial"/>
                <w:sz w:val="22"/>
                <w:szCs w:val="22"/>
                <w:lang w:val="en-IE"/>
              </w:rPr>
              <w:t xml:space="preserve">, </w:t>
            </w:r>
            <w:r w:rsidR="00D738FD" w:rsidRPr="008B0947">
              <w:rPr>
                <w:rFonts w:ascii="Arial" w:hAnsi="Arial" w:cs="Arial"/>
                <w:sz w:val="22"/>
                <w:szCs w:val="22"/>
                <w:lang w:val="en-IE"/>
              </w:rPr>
              <w:t xml:space="preserve">go </w:t>
            </w:r>
            <w:r w:rsidRPr="008B0947">
              <w:rPr>
                <w:rFonts w:ascii="Arial" w:hAnsi="Arial" w:cs="Arial"/>
                <w:sz w:val="22"/>
                <w:szCs w:val="22"/>
                <w:lang w:val="en-IE"/>
              </w:rPr>
              <w:t>to step 22.</w:t>
            </w:r>
            <w:r w:rsidR="00B36F35" w:rsidRPr="008B0947">
              <w:rPr>
                <w:rFonts w:ascii="Arial" w:hAnsi="Arial" w:cs="Arial"/>
                <w:sz w:val="22"/>
                <w:szCs w:val="22"/>
                <w:lang w:val="en-IE"/>
              </w:rPr>
              <w:t xml:space="preserve"> </w:t>
            </w:r>
            <w:r w:rsidRPr="008B0947">
              <w:rPr>
                <w:rFonts w:ascii="Arial" w:hAnsi="Arial" w:cs="Arial"/>
                <w:sz w:val="22"/>
                <w:szCs w:val="22"/>
                <w:lang w:val="en-IE"/>
              </w:rPr>
              <w:t>Otherwise, continue to step 19</w:t>
            </w:r>
            <w:r w:rsidR="00B36F35" w:rsidRPr="008B0947">
              <w:rPr>
                <w:rFonts w:ascii="Arial" w:hAnsi="Arial" w:cs="Arial"/>
                <w:sz w:val="22"/>
                <w:szCs w:val="22"/>
                <w:lang w:val="en-IE"/>
              </w:rPr>
              <w:t>.</w:t>
            </w:r>
          </w:p>
        </w:tc>
        <w:tc>
          <w:tcPr>
            <w:tcW w:w="2610" w:type="dxa"/>
          </w:tcPr>
          <w:p w14:paraId="241024DE" w14:textId="77777777" w:rsidR="00AE3A5C" w:rsidRPr="008B0947" w:rsidRDefault="00C47179"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1</w:t>
            </w:r>
            <w:r w:rsidR="00AE3A5C" w:rsidRPr="008B0947">
              <w:rPr>
                <w:rFonts w:ascii="Arial" w:hAnsi="Arial" w:cs="Arial"/>
                <w:sz w:val="22"/>
                <w:szCs w:val="22"/>
                <w:lang w:val="en-IE"/>
              </w:rPr>
              <w:t xml:space="preserve"> Month</w:t>
            </w:r>
          </w:p>
        </w:tc>
        <w:tc>
          <w:tcPr>
            <w:tcW w:w="1800" w:type="dxa"/>
          </w:tcPr>
          <w:p w14:paraId="241024DF" w14:textId="77777777" w:rsidR="00AE3A5C" w:rsidRPr="008B0947" w:rsidRDefault="0044120F" w:rsidP="00894F9F">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Pr="008B0947">
              <w:rPr>
                <w:rFonts w:ascii="Arial" w:hAnsi="Arial" w:cs="Arial"/>
                <w:sz w:val="22"/>
                <w:szCs w:val="22"/>
                <w:lang w:val="en-IE"/>
              </w:rPr>
              <w:t xml:space="preserve"> </w:t>
            </w:r>
          </w:p>
        </w:tc>
        <w:tc>
          <w:tcPr>
            <w:tcW w:w="1800" w:type="dxa"/>
          </w:tcPr>
          <w:p w14:paraId="241024E0"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4E1"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Affected Participant(s)</w:t>
            </w:r>
          </w:p>
          <w:p w14:paraId="241024E2"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Raising Party</w:t>
            </w:r>
          </w:p>
        </w:tc>
      </w:tr>
      <w:tr w:rsidR="00AE3A5C" w:rsidRPr="001267B9" w14:paraId="241024EB"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E4"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E5" w14:textId="77777777" w:rsidR="00AE3A5C" w:rsidRPr="008B0947" w:rsidRDefault="00D738FD" w:rsidP="00D73B9D">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Request</w:t>
            </w:r>
            <w:r w:rsidR="00AE3A5C" w:rsidRPr="008B0947">
              <w:rPr>
                <w:rFonts w:ascii="Arial" w:hAnsi="Arial" w:cs="Arial"/>
                <w:sz w:val="22"/>
                <w:szCs w:val="22"/>
                <w:lang w:val="en-IE"/>
              </w:rPr>
              <w:t xml:space="preserve"> more time (up to 10 </w:t>
            </w:r>
            <w:r w:rsidR="00D73B9D">
              <w:rPr>
                <w:rFonts w:ascii="Arial" w:hAnsi="Arial" w:cs="Arial"/>
                <w:sz w:val="22"/>
                <w:szCs w:val="22"/>
                <w:lang w:val="en-IE"/>
              </w:rPr>
              <w:t>WD</w:t>
            </w:r>
            <w:r w:rsidR="00AE3A5C" w:rsidRPr="008B0947">
              <w:rPr>
                <w:rFonts w:ascii="Arial" w:hAnsi="Arial" w:cs="Arial"/>
                <w:sz w:val="22"/>
                <w:szCs w:val="22"/>
                <w:lang w:val="en-IE"/>
              </w:rPr>
              <w:t>) to resolve the Settlement Query.</w:t>
            </w:r>
          </w:p>
        </w:tc>
        <w:tc>
          <w:tcPr>
            <w:tcW w:w="2610" w:type="dxa"/>
          </w:tcPr>
          <w:p w14:paraId="241024E6" w14:textId="77777777" w:rsidR="00AE3A5C" w:rsidRPr="008B0947" w:rsidRDefault="00C47179"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1</w:t>
            </w:r>
            <w:r w:rsidR="00AE3A5C" w:rsidRPr="008B0947">
              <w:rPr>
                <w:rFonts w:ascii="Arial" w:hAnsi="Arial" w:cs="Arial"/>
                <w:sz w:val="22"/>
                <w:szCs w:val="22"/>
                <w:lang w:val="en-IE"/>
              </w:rPr>
              <w:t xml:space="preserve"> WD of known non-completion of Settlement Query by Market Operator</w:t>
            </w:r>
          </w:p>
        </w:tc>
        <w:tc>
          <w:tcPr>
            <w:tcW w:w="1800" w:type="dxa"/>
          </w:tcPr>
          <w:p w14:paraId="241024E7" w14:textId="77777777" w:rsidR="00AE3A5C" w:rsidRPr="008B0947" w:rsidRDefault="0044120F" w:rsidP="00F37AB2">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Pr="008B0947">
              <w:rPr>
                <w:rFonts w:ascii="Arial" w:hAnsi="Arial" w:cs="Arial"/>
                <w:sz w:val="22"/>
                <w:szCs w:val="22"/>
                <w:lang w:val="en-IE"/>
              </w:rPr>
              <w:t xml:space="preserve"> </w:t>
            </w:r>
          </w:p>
        </w:tc>
        <w:tc>
          <w:tcPr>
            <w:tcW w:w="1800" w:type="dxa"/>
          </w:tcPr>
          <w:p w14:paraId="241024E8"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4E9"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Affected Participant(s)</w:t>
            </w:r>
          </w:p>
          <w:p w14:paraId="241024EA"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Raising Party</w:t>
            </w:r>
          </w:p>
        </w:tc>
      </w:tr>
      <w:tr w:rsidR="00AE3A5C" w:rsidRPr="001267B9" w14:paraId="241024F2"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EC"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ED"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Respond to request from Market Operator.</w:t>
            </w:r>
          </w:p>
        </w:tc>
        <w:tc>
          <w:tcPr>
            <w:tcW w:w="2610" w:type="dxa"/>
          </w:tcPr>
          <w:p w14:paraId="241024EE"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1 WD</w:t>
            </w:r>
          </w:p>
        </w:tc>
        <w:tc>
          <w:tcPr>
            <w:tcW w:w="1800" w:type="dxa"/>
          </w:tcPr>
          <w:p w14:paraId="241024EF" w14:textId="77777777" w:rsidR="00AE3A5C" w:rsidRPr="008B0947" w:rsidRDefault="0044120F" w:rsidP="00F37AB2">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Pr="008B0947">
              <w:rPr>
                <w:rFonts w:ascii="Arial" w:hAnsi="Arial" w:cs="Arial"/>
                <w:sz w:val="22"/>
                <w:szCs w:val="22"/>
                <w:lang w:val="en-IE"/>
              </w:rPr>
              <w:t xml:space="preserve"> </w:t>
            </w:r>
          </w:p>
        </w:tc>
        <w:tc>
          <w:tcPr>
            <w:tcW w:w="1800" w:type="dxa"/>
          </w:tcPr>
          <w:p w14:paraId="241024F0"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Raising Party</w:t>
            </w:r>
          </w:p>
        </w:tc>
        <w:tc>
          <w:tcPr>
            <w:tcW w:w="2070" w:type="dxa"/>
          </w:tcPr>
          <w:p w14:paraId="241024F1"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r>
      <w:tr w:rsidR="00AE3A5C" w:rsidRPr="001267B9" w14:paraId="241024F9"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F3"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F4"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Notify Affected Party</w:t>
            </w:r>
            <w:r w:rsidR="009857D4" w:rsidRPr="008B0947">
              <w:rPr>
                <w:rFonts w:ascii="Arial" w:hAnsi="Arial" w:cs="Arial"/>
                <w:sz w:val="22"/>
                <w:szCs w:val="22"/>
                <w:lang w:val="en-IE"/>
              </w:rPr>
              <w:t xml:space="preserve"> </w:t>
            </w:r>
            <w:r w:rsidRPr="008B0947">
              <w:rPr>
                <w:rFonts w:ascii="Arial" w:hAnsi="Arial" w:cs="Arial"/>
                <w:sz w:val="22"/>
                <w:szCs w:val="22"/>
                <w:lang w:val="en-IE"/>
              </w:rPr>
              <w:t>/</w:t>
            </w:r>
            <w:r w:rsidR="009857D4" w:rsidRPr="008B0947">
              <w:rPr>
                <w:rFonts w:ascii="Arial" w:hAnsi="Arial" w:cs="Arial"/>
                <w:sz w:val="22"/>
                <w:szCs w:val="22"/>
                <w:lang w:val="en-IE"/>
              </w:rPr>
              <w:t xml:space="preserve"> </w:t>
            </w:r>
            <w:r w:rsidRPr="008B0947">
              <w:rPr>
                <w:rFonts w:ascii="Arial" w:hAnsi="Arial" w:cs="Arial"/>
                <w:sz w:val="22"/>
                <w:szCs w:val="22"/>
                <w:lang w:val="en-IE"/>
              </w:rPr>
              <w:t>External Data Provider of any changes to timeline.</w:t>
            </w:r>
          </w:p>
        </w:tc>
        <w:tc>
          <w:tcPr>
            <w:tcW w:w="2610" w:type="dxa"/>
          </w:tcPr>
          <w:p w14:paraId="241024F5"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1 WD</w:t>
            </w:r>
          </w:p>
        </w:tc>
        <w:tc>
          <w:tcPr>
            <w:tcW w:w="1800" w:type="dxa"/>
          </w:tcPr>
          <w:p w14:paraId="241024F6" w14:textId="77777777" w:rsidR="00AE3A5C" w:rsidRPr="008B0947" w:rsidRDefault="0044120F" w:rsidP="00F37AB2">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Pr="008B0947">
              <w:rPr>
                <w:rFonts w:ascii="Arial" w:hAnsi="Arial" w:cs="Arial"/>
                <w:sz w:val="22"/>
                <w:szCs w:val="22"/>
                <w:lang w:val="en-IE"/>
              </w:rPr>
              <w:t xml:space="preserve"> </w:t>
            </w:r>
          </w:p>
        </w:tc>
        <w:tc>
          <w:tcPr>
            <w:tcW w:w="1800" w:type="dxa"/>
          </w:tcPr>
          <w:p w14:paraId="241024F7"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4F8"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Affected Party/ External Data Provider</w:t>
            </w:r>
          </w:p>
        </w:tc>
      </w:tr>
      <w:tr w:rsidR="00AE3A5C" w:rsidRPr="001267B9" w14:paraId="24102501"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4FA"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4FB"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Inform the Raising Party and the Affected Participant(s) of the Market Operator’s determination, including any estimate of </w:t>
            </w:r>
            <w:r w:rsidR="0044120F" w:rsidRPr="008B0947">
              <w:rPr>
                <w:rFonts w:ascii="Arial" w:hAnsi="Arial" w:cs="Arial"/>
                <w:sz w:val="22"/>
                <w:szCs w:val="22"/>
                <w:lang w:val="en-IE"/>
              </w:rPr>
              <w:t xml:space="preserve">High </w:t>
            </w:r>
            <w:r w:rsidRPr="008B0947">
              <w:rPr>
                <w:rFonts w:ascii="Arial" w:hAnsi="Arial" w:cs="Arial"/>
                <w:sz w:val="22"/>
                <w:szCs w:val="22"/>
                <w:lang w:val="en-IE"/>
              </w:rPr>
              <w:t>Materiality</w:t>
            </w:r>
            <w:r w:rsidR="0044120F" w:rsidRPr="008B0947">
              <w:rPr>
                <w:rFonts w:ascii="Arial" w:hAnsi="Arial" w:cs="Arial"/>
                <w:sz w:val="22"/>
                <w:szCs w:val="22"/>
                <w:lang w:val="en-IE"/>
              </w:rPr>
              <w:t xml:space="preserve"> or Low Materiality</w:t>
            </w:r>
            <w:r w:rsidRPr="008B0947">
              <w:rPr>
                <w:rFonts w:ascii="Arial" w:hAnsi="Arial" w:cs="Arial"/>
                <w:sz w:val="22"/>
                <w:szCs w:val="22"/>
                <w:lang w:val="en-IE"/>
              </w:rPr>
              <w:t xml:space="preserve"> and the method </w:t>
            </w:r>
            <w:r w:rsidR="0044120F" w:rsidRPr="008B0947">
              <w:rPr>
                <w:rFonts w:ascii="Arial" w:hAnsi="Arial" w:cs="Arial"/>
                <w:sz w:val="22"/>
                <w:szCs w:val="22"/>
                <w:lang w:val="en-IE"/>
              </w:rPr>
              <w:t>used to estimate</w:t>
            </w:r>
            <w:r w:rsidRPr="008B0947">
              <w:rPr>
                <w:rFonts w:ascii="Arial" w:hAnsi="Arial" w:cs="Arial"/>
                <w:sz w:val="22"/>
                <w:szCs w:val="22"/>
                <w:lang w:val="en-IE"/>
              </w:rPr>
              <w:t xml:space="preserve"> </w:t>
            </w:r>
            <w:r w:rsidR="0044120F" w:rsidRPr="008B0947">
              <w:rPr>
                <w:rFonts w:ascii="Arial" w:hAnsi="Arial" w:cs="Arial"/>
                <w:sz w:val="22"/>
                <w:szCs w:val="22"/>
                <w:lang w:val="en-IE"/>
              </w:rPr>
              <w:t>this</w:t>
            </w:r>
            <w:r w:rsidRPr="008B0947">
              <w:rPr>
                <w:rFonts w:ascii="Arial" w:hAnsi="Arial" w:cs="Arial"/>
                <w:sz w:val="22"/>
                <w:szCs w:val="22"/>
                <w:lang w:val="en-IE"/>
              </w:rPr>
              <w:t>.</w:t>
            </w:r>
          </w:p>
        </w:tc>
        <w:tc>
          <w:tcPr>
            <w:tcW w:w="2610" w:type="dxa"/>
          </w:tcPr>
          <w:p w14:paraId="241024FC"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timescales agreed with Raising Party</w:t>
            </w:r>
          </w:p>
        </w:tc>
        <w:tc>
          <w:tcPr>
            <w:tcW w:w="1800" w:type="dxa"/>
          </w:tcPr>
          <w:p w14:paraId="241024FD" w14:textId="77777777" w:rsidR="00AE3A5C" w:rsidRPr="008B0947" w:rsidRDefault="0044120F" w:rsidP="00894F9F">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Pr="008B0947">
              <w:rPr>
                <w:rFonts w:ascii="Arial" w:hAnsi="Arial" w:cs="Arial"/>
                <w:sz w:val="22"/>
                <w:szCs w:val="22"/>
                <w:lang w:val="en-IE"/>
              </w:rPr>
              <w:t xml:space="preserve"> </w:t>
            </w:r>
          </w:p>
        </w:tc>
        <w:tc>
          <w:tcPr>
            <w:tcW w:w="1800" w:type="dxa"/>
          </w:tcPr>
          <w:p w14:paraId="241024FE"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4FF"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Affected Participant(s)</w:t>
            </w:r>
          </w:p>
          <w:p w14:paraId="24102500"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Raising Party</w:t>
            </w:r>
          </w:p>
        </w:tc>
      </w:tr>
      <w:tr w:rsidR="00AE3A5C" w:rsidRPr="001267B9" w14:paraId="2410250A"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502"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503"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Receive and review the determination and:</w:t>
            </w:r>
          </w:p>
          <w:p w14:paraId="24102504" w14:textId="77777777" w:rsidR="00AE3A5C" w:rsidRPr="008B0947" w:rsidRDefault="00AE3A5C" w:rsidP="00C61ADB">
            <w:pPr>
              <w:pStyle w:val="ProcedureBody1"/>
              <w:numPr>
                <w:ilvl w:val="0"/>
                <w:numId w:val="16"/>
              </w:numPr>
              <w:ind w:left="373"/>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if not disputing the determination</w:t>
            </w:r>
            <w:r w:rsidR="00B36F35" w:rsidRPr="008B0947">
              <w:rPr>
                <w:rFonts w:ascii="Arial" w:hAnsi="Arial" w:cs="Arial"/>
                <w:sz w:val="22"/>
                <w:szCs w:val="22"/>
                <w:lang w:val="en-IE"/>
              </w:rPr>
              <w:t>,</w:t>
            </w:r>
            <w:r w:rsidRPr="008B0947">
              <w:rPr>
                <w:rFonts w:ascii="Arial" w:hAnsi="Arial" w:cs="Arial"/>
                <w:sz w:val="22"/>
                <w:szCs w:val="22"/>
                <w:lang w:val="en-IE"/>
              </w:rPr>
              <w:t xml:space="preserve"> do nothing and continue </w:t>
            </w:r>
            <w:r w:rsidR="00505AAC">
              <w:rPr>
                <w:rFonts w:ascii="Arial" w:hAnsi="Arial" w:cs="Arial"/>
                <w:sz w:val="22"/>
                <w:szCs w:val="22"/>
                <w:lang w:val="en-IE"/>
              </w:rPr>
              <w:t>to</w:t>
            </w:r>
            <w:r w:rsidR="00505AAC" w:rsidRPr="008B0947">
              <w:rPr>
                <w:rFonts w:ascii="Arial" w:hAnsi="Arial" w:cs="Arial"/>
                <w:sz w:val="22"/>
                <w:szCs w:val="22"/>
                <w:lang w:val="en-IE"/>
              </w:rPr>
              <w:t xml:space="preserve"> </w:t>
            </w:r>
            <w:r w:rsidRPr="008B0947">
              <w:rPr>
                <w:rFonts w:ascii="Arial" w:hAnsi="Arial" w:cs="Arial"/>
                <w:sz w:val="22"/>
                <w:szCs w:val="22"/>
                <w:lang w:val="en-IE"/>
              </w:rPr>
              <w:t>step 25; or</w:t>
            </w:r>
          </w:p>
          <w:p w14:paraId="24102505" w14:textId="77777777" w:rsidR="00AE3A5C" w:rsidRPr="008B0947" w:rsidRDefault="00AE3A5C" w:rsidP="00505AAC">
            <w:pPr>
              <w:pStyle w:val="ProcedureBody1"/>
              <w:numPr>
                <w:ilvl w:val="0"/>
                <w:numId w:val="16"/>
              </w:numPr>
              <w:ind w:left="373"/>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if disputing with the determination</w:t>
            </w:r>
            <w:r w:rsidR="00B36F35" w:rsidRPr="008B0947">
              <w:rPr>
                <w:rFonts w:ascii="Arial" w:hAnsi="Arial" w:cs="Arial"/>
                <w:sz w:val="22"/>
                <w:szCs w:val="22"/>
                <w:lang w:val="en-IE"/>
              </w:rPr>
              <w:t>,</w:t>
            </w:r>
            <w:r w:rsidRPr="008B0947">
              <w:rPr>
                <w:rFonts w:ascii="Arial" w:hAnsi="Arial" w:cs="Arial"/>
                <w:sz w:val="22"/>
                <w:szCs w:val="22"/>
                <w:lang w:val="en-IE"/>
              </w:rPr>
              <w:t xml:space="preserve"> continue </w:t>
            </w:r>
            <w:r w:rsidR="00505AAC">
              <w:rPr>
                <w:rFonts w:ascii="Arial" w:hAnsi="Arial" w:cs="Arial"/>
                <w:sz w:val="22"/>
                <w:szCs w:val="22"/>
                <w:lang w:val="en-IE"/>
              </w:rPr>
              <w:t>to</w:t>
            </w:r>
            <w:r w:rsidR="00505AAC" w:rsidRPr="008B0947">
              <w:rPr>
                <w:rFonts w:ascii="Arial" w:hAnsi="Arial" w:cs="Arial"/>
                <w:sz w:val="22"/>
                <w:szCs w:val="22"/>
                <w:lang w:val="en-IE"/>
              </w:rPr>
              <w:t xml:space="preserve"> </w:t>
            </w:r>
            <w:r w:rsidRPr="008B0947">
              <w:rPr>
                <w:rFonts w:ascii="Arial" w:hAnsi="Arial" w:cs="Arial"/>
                <w:sz w:val="22"/>
                <w:szCs w:val="22"/>
                <w:lang w:val="en-IE"/>
              </w:rPr>
              <w:t>step 24.</w:t>
            </w:r>
          </w:p>
        </w:tc>
        <w:tc>
          <w:tcPr>
            <w:tcW w:w="2610" w:type="dxa"/>
          </w:tcPr>
          <w:p w14:paraId="24102506" w14:textId="77777777" w:rsidR="00AE3A5C" w:rsidRPr="008B0947" w:rsidRDefault="00AE3A5C" w:rsidP="00D26AA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5</w:t>
            </w:r>
            <w:r w:rsidR="00B36F35" w:rsidRPr="008B0947">
              <w:rPr>
                <w:rFonts w:ascii="Arial" w:hAnsi="Arial" w:cs="Arial"/>
                <w:sz w:val="22"/>
                <w:szCs w:val="22"/>
                <w:lang w:val="en-IE"/>
              </w:rPr>
              <w:t xml:space="preserve"> </w:t>
            </w:r>
            <w:r w:rsidRPr="008B0947">
              <w:rPr>
                <w:rFonts w:ascii="Arial" w:hAnsi="Arial" w:cs="Arial"/>
                <w:sz w:val="22"/>
                <w:szCs w:val="22"/>
                <w:lang w:val="en-IE"/>
              </w:rPr>
              <w:t>WD of receipt of determination</w:t>
            </w:r>
          </w:p>
        </w:tc>
        <w:tc>
          <w:tcPr>
            <w:tcW w:w="1800" w:type="dxa"/>
          </w:tcPr>
          <w:p w14:paraId="24102507"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t>
            </w:r>
          </w:p>
        </w:tc>
        <w:tc>
          <w:tcPr>
            <w:tcW w:w="1800" w:type="dxa"/>
          </w:tcPr>
          <w:p w14:paraId="24102508"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Raising Party</w:t>
            </w:r>
            <w:r w:rsidR="0053288B" w:rsidRPr="008B0947">
              <w:rPr>
                <w:rFonts w:ascii="Arial" w:hAnsi="Arial" w:cs="Arial"/>
                <w:sz w:val="22"/>
                <w:szCs w:val="22"/>
                <w:lang w:val="en-IE"/>
              </w:rPr>
              <w:t xml:space="preserve"> / Affected Participant (where Settlement Query raised by M</w:t>
            </w:r>
            <w:r w:rsidR="00894F9F">
              <w:rPr>
                <w:rFonts w:ascii="Arial" w:hAnsi="Arial" w:cs="Arial"/>
                <w:sz w:val="22"/>
                <w:szCs w:val="22"/>
                <w:lang w:val="en-IE"/>
              </w:rPr>
              <w:t xml:space="preserve">arket </w:t>
            </w:r>
            <w:r w:rsidR="0053288B" w:rsidRPr="008B0947">
              <w:rPr>
                <w:rFonts w:ascii="Arial" w:hAnsi="Arial" w:cs="Arial"/>
                <w:sz w:val="22"/>
                <w:szCs w:val="22"/>
                <w:lang w:val="en-IE"/>
              </w:rPr>
              <w:t>O</w:t>
            </w:r>
            <w:r w:rsidR="00894F9F">
              <w:rPr>
                <w:rFonts w:ascii="Arial" w:hAnsi="Arial" w:cs="Arial"/>
                <w:sz w:val="22"/>
                <w:szCs w:val="22"/>
                <w:lang w:val="en-IE"/>
              </w:rPr>
              <w:t>perator</w:t>
            </w:r>
            <w:r w:rsidR="0053288B" w:rsidRPr="008B0947">
              <w:rPr>
                <w:rFonts w:ascii="Arial" w:hAnsi="Arial" w:cs="Arial"/>
                <w:sz w:val="22"/>
                <w:szCs w:val="22"/>
                <w:lang w:val="en-IE"/>
              </w:rPr>
              <w:t>)</w:t>
            </w:r>
          </w:p>
        </w:tc>
        <w:tc>
          <w:tcPr>
            <w:tcW w:w="2070" w:type="dxa"/>
          </w:tcPr>
          <w:p w14:paraId="24102509"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t>
            </w:r>
          </w:p>
        </w:tc>
      </w:tr>
      <w:tr w:rsidR="00AE3A5C" w:rsidRPr="001267B9" w14:paraId="24102511"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50B"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50C"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Raise a Settlement Dispute under Agreed Procedure 14 “Disputes” and inform the Market Operator, </w:t>
            </w:r>
            <w:r w:rsidRPr="00505AAC">
              <w:rPr>
                <w:rFonts w:ascii="Arial" w:hAnsi="Arial" w:cs="Arial"/>
                <w:b/>
                <w:sz w:val="22"/>
                <w:szCs w:val="22"/>
                <w:lang w:val="en-IE"/>
              </w:rPr>
              <w:t>end process</w:t>
            </w:r>
            <w:r w:rsidRPr="008B0947">
              <w:rPr>
                <w:rFonts w:ascii="Arial" w:hAnsi="Arial" w:cs="Arial"/>
                <w:sz w:val="22"/>
                <w:szCs w:val="22"/>
                <w:lang w:val="en-IE"/>
              </w:rPr>
              <w:t>.</w:t>
            </w:r>
          </w:p>
        </w:tc>
        <w:tc>
          <w:tcPr>
            <w:tcW w:w="2610" w:type="dxa"/>
          </w:tcPr>
          <w:p w14:paraId="2410250D" w14:textId="77777777" w:rsidR="00AE3A5C" w:rsidRPr="008B0947" w:rsidRDefault="0044120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In accordance with Agreed Procedure 14 “Disputes”  </w:t>
            </w:r>
          </w:p>
        </w:tc>
        <w:tc>
          <w:tcPr>
            <w:tcW w:w="1800" w:type="dxa"/>
          </w:tcPr>
          <w:p w14:paraId="2410250E"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In accordance with Agreed Procedure 14 “Disputes”  </w:t>
            </w:r>
          </w:p>
        </w:tc>
        <w:tc>
          <w:tcPr>
            <w:tcW w:w="1800" w:type="dxa"/>
          </w:tcPr>
          <w:p w14:paraId="2410250F"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Raising Party</w:t>
            </w:r>
            <w:r w:rsidR="0053288B" w:rsidRPr="008B0947">
              <w:rPr>
                <w:rFonts w:ascii="Arial" w:hAnsi="Arial" w:cs="Arial"/>
                <w:sz w:val="22"/>
                <w:szCs w:val="22"/>
                <w:lang w:val="en-IE"/>
              </w:rPr>
              <w:t xml:space="preserve"> / Affected Participant (where Settlement Query raised by M</w:t>
            </w:r>
            <w:r w:rsidR="00894F9F">
              <w:rPr>
                <w:rFonts w:ascii="Arial" w:hAnsi="Arial" w:cs="Arial"/>
                <w:sz w:val="22"/>
                <w:szCs w:val="22"/>
                <w:lang w:val="en-IE"/>
              </w:rPr>
              <w:t xml:space="preserve">arket </w:t>
            </w:r>
            <w:r w:rsidR="0053288B" w:rsidRPr="008B0947">
              <w:rPr>
                <w:rFonts w:ascii="Arial" w:hAnsi="Arial" w:cs="Arial"/>
                <w:sz w:val="22"/>
                <w:szCs w:val="22"/>
                <w:lang w:val="en-IE"/>
              </w:rPr>
              <w:t>O</w:t>
            </w:r>
            <w:r w:rsidR="00894F9F">
              <w:rPr>
                <w:rFonts w:ascii="Arial" w:hAnsi="Arial" w:cs="Arial"/>
                <w:sz w:val="22"/>
                <w:szCs w:val="22"/>
                <w:lang w:val="en-IE"/>
              </w:rPr>
              <w:t>perator</w:t>
            </w:r>
            <w:r w:rsidR="0053288B" w:rsidRPr="008B0947">
              <w:rPr>
                <w:rFonts w:ascii="Arial" w:hAnsi="Arial" w:cs="Arial"/>
                <w:sz w:val="22"/>
                <w:szCs w:val="22"/>
                <w:lang w:val="en-IE"/>
              </w:rPr>
              <w:t>)</w:t>
            </w:r>
          </w:p>
        </w:tc>
        <w:tc>
          <w:tcPr>
            <w:tcW w:w="2070" w:type="dxa"/>
          </w:tcPr>
          <w:p w14:paraId="24102510"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r>
      <w:tr w:rsidR="00AE3A5C" w:rsidRPr="001267B9" w14:paraId="24102518"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512"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513"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If there is High Materiality o</w:t>
            </w:r>
            <w:r w:rsidR="0090751F" w:rsidRPr="008B0947">
              <w:rPr>
                <w:rFonts w:ascii="Arial" w:hAnsi="Arial" w:cs="Arial"/>
                <w:sz w:val="22"/>
                <w:szCs w:val="22"/>
                <w:lang w:val="en-IE"/>
              </w:rPr>
              <w:t xml:space="preserve">r if </w:t>
            </w:r>
            <w:r w:rsidR="006E4CE3" w:rsidRPr="008B0947">
              <w:rPr>
                <w:rFonts w:ascii="Arial" w:hAnsi="Arial" w:cs="Arial"/>
                <w:sz w:val="22"/>
                <w:szCs w:val="22"/>
                <w:lang w:val="en-IE"/>
              </w:rPr>
              <w:t xml:space="preserve">the Settlement Query </w:t>
            </w:r>
            <w:r w:rsidRPr="008B0947">
              <w:rPr>
                <w:rFonts w:ascii="Arial" w:hAnsi="Arial" w:cs="Arial"/>
                <w:sz w:val="22"/>
                <w:szCs w:val="22"/>
                <w:lang w:val="en-IE"/>
              </w:rPr>
              <w:t>is</w:t>
            </w:r>
            <w:r w:rsidR="00C746EE" w:rsidRPr="008B0947">
              <w:rPr>
                <w:rFonts w:ascii="Arial" w:hAnsi="Arial" w:cs="Arial"/>
                <w:sz w:val="22"/>
                <w:szCs w:val="22"/>
                <w:lang w:val="en-IE"/>
              </w:rPr>
              <w:t xml:space="preserve"> resolved</w:t>
            </w:r>
            <w:r w:rsidRPr="008B0947">
              <w:rPr>
                <w:rFonts w:ascii="Arial" w:hAnsi="Arial" w:cs="Arial"/>
                <w:sz w:val="22"/>
                <w:szCs w:val="22"/>
                <w:lang w:val="en-IE"/>
              </w:rPr>
              <w:t xml:space="preserve"> after the last Timetabled Settlement Rerun, continue </w:t>
            </w:r>
            <w:r w:rsidR="00D738FD" w:rsidRPr="008B0947">
              <w:rPr>
                <w:rFonts w:ascii="Arial" w:hAnsi="Arial" w:cs="Arial"/>
                <w:sz w:val="22"/>
                <w:szCs w:val="22"/>
                <w:lang w:val="en-IE"/>
              </w:rPr>
              <w:t xml:space="preserve">to </w:t>
            </w:r>
            <w:r w:rsidRPr="008B0947">
              <w:rPr>
                <w:rFonts w:ascii="Arial" w:hAnsi="Arial" w:cs="Arial"/>
                <w:sz w:val="22"/>
                <w:szCs w:val="22"/>
                <w:lang w:val="en-IE"/>
              </w:rPr>
              <w:t xml:space="preserve">step 26, otherwise </w:t>
            </w:r>
            <w:r w:rsidR="00D738FD" w:rsidRPr="008B0947">
              <w:rPr>
                <w:rFonts w:ascii="Arial" w:hAnsi="Arial" w:cs="Arial"/>
                <w:sz w:val="22"/>
                <w:szCs w:val="22"/>
                <w:lang w:val="en-IE"/>
              </w:rPr>
              <w:t>go to</w:t>
            </w:r>
            <w:r w:rsidRPr="008B0947">
              <w:rPr>
                <w:rFonts w:ascii="Arial" w:hAnsi="Arial" w:cs="Arial"/>
                <w:sz w:val="22"/>
                <w:szCs w:val="22"/>
                <w:lang w:val="en-IE"/>
              </w:rPr>
              <w:t xml:space="preserve"> step 29. </w:t>
            </w:r>
          </w:p>
        </w:tc>
        <w:tc>
          <w:tcPr>
            <w:tcW w:w="2610" w:type="dxa"/>
          </w:tcPr>
          <w:p w14:paraId="24102514"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c>
          <w:tcPr>
            <w:tcW w:w="1800" w:type="dxa"/>
          </w:tcPr>
          <w:p w14:paraId="24102515"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t>
            </w:r>
          </w:p>
        </w:tc>
        <w:tc>
          <w:tcPr>
            <w:tcW w:w="1800" w:type="dxa"/>
          </w:tcPr>
          <w:p w14:paraId="24102516"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517"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t>
            </w:r>
          </w:p>
        </w:tc>
      </w:tr>
      <w:tr w:rsidR="00AE3A5C" w:rsidRPr="001267B9" w14:paraId="2410251F"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519"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51A"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Inform External Data Provider of determination and </w:t>
            </w:r>
            <w:r w:rsidR="0044120F" w:rsidRPr="008B0947">
              <w:rPr>
                <w:rFonts w:ascii="Arial" w:hAnsi="Arial" w:cs="Arial"/>
                <w:sz w:val="22"/>
                <w:szCs w:val="22"/>
                <w:lang w:val="en-IE"/>
              </w:rPr>
              <w:t>further data requirements</w:t>
            </w:r>
            <w:r w:rsidR="00B36F35" w:rsidRPr="008B0947">
              <w:rPr>
                <w:rFonts w:ascii="Arial" w:hAnsi="Arial" w:cs="Arial"/>
                <w:sz w:val="22"/>
                <w:szCs w:val="22"/>
                <w:lang w:val="en-IE"/>
              </w:rPr>
              <w:t xml:space="preserve"> (if any)</w:t>
            </w:r>
            <w:r w:rsidR="0044120F" w:rsidRPr="008B0947">
              <w:rPr>
                <w:rFonts w:ascii="Arial" w:hAnsi="Arial" w:cs="Arial"/>
                <w:sz w:val="22"/>
                <w:szCs w:val="22"/>
                <w:lang w:val="en-IE"/>
              </w:rPr>
              <w:t>.</w:t>
            </w:r>
            <w:r w:rsidRPr="008B0947">
              <w:rPr>
                <w:rFonts w:ascii="Arial" w:hAnsi="Arial" w:cs="Arial"/>
                <w:sz w:val="22"/>
                <w:szCs w:val="22"/>
                <w:lang w:val="en-IE"/>
              </w:rPr>
              <w:t xml:space="preserve"> </w:t>
            </w:r>
          </w:p>
        </w:tc>
        <w:tc>
          <w:tcPr>
            <w:tcW w:w="2610" w:type="dxa"/>
          </w:tcPr>
          <w:p w14:paraId="2410251B"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Within 1 WD of determination </w:t>
            </w:r>
          </w:p>
        </w:tc>
        <w:tc>
          <w:tcPr>
            <w:tcW w:w="1800" w:type="dxa"/>
          </w:tcPr>
          <w:p w14:paraId="2410251C" w14:textId="77777777" w:rsidR="00AE3A5C" w:rsidRPr="008B0947" w:rsidRDefault="0044120F" w:rsidP="00894F9F">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Email / </w:t>
            </w:r>
            <w:r w:rsidR="00F37AB2">
              <w:rPr>
                <w:rFonts w:ascii="Arial" w:hAnsi="Arial" w:cs="Arial"/>
                <w:sz w:val="22"/>
                <w:szCs w:val="22"/>
                <w:lang w:val="en-IE"/>
              </w:rPr>
              <w:t>F</w:t>
            </w:r>
            <w:r w:rsidR="00197337">
              <w:rPr>
                <w:rFonts w:ascii="Arial" w:hAnsi="Arial" w:cs="Arial"/>
                <w:sz w:val="22"/>
                <w:szCs w:val="22"/>
                <w:lang w:val="en-IE"/>
              </w:rPr>
              <w:t>acsimile</w:t>
            </w:r>
            <w:r w:rsidRPr="008B0947">
              <w:rPr>
                <w:rFonts w:ascii="Arial" w:hAnsi="Arial" w:cs="Arial"/>
                <w:sz w:val="22"/>
                <w:szCs w:val="22"/>
                <w:lang w:val="en-IE"/>
              </w:rPr>
              <w:t xml:space="preserve"> </w:t>
            </w:r>
          </w:p>
        </w:tc>
        <w:tc>
          <w:tcPr>
            <w:tcW w:w="1800" w:type="dxa"/>
          </w:tcPr>
          <w:p w14:paraId="2410251D"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Pr>
          <w:p w14:paraId="2410251E"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External Data Provider</w:t>
            </w:r>
          </w:p>
        </w:tc>
      </w:tr>
      <w:tr w:rsidR="00AE3A5C" w:rsidRPr="001267B9" w14:paraId="24102526"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520"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Pr>
          <w:p w14:paraId="24102521"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Provide revised data. </w:t>
            </w:r>
          </w:p>
        </w:tc>
        <w:tc>
          <w:tcPr>
            <w:tcW w:w="2610" w:type="dxa"/>
          </w:tcPr>
          <w:p w14:paraId="24102522" w14:textId="77777777" w:rsidR="00AE3A5C" w:rsidRPr="008B0947" w:rsidRDefault="00AE3A5C" w:rsidP="00D26AA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Within 10 WD of notification </w:t>
            </w:r>
          </w:p>
        </w:tc>
        <w:tc>
          <w:tcPr>
            <w:tcW w:w="1800" w:type="dxa"/>
          </w:tcPr>
          <w:p w14:paraId="24102523"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t>
            </w:r>
          </w:p>
        </w:tc>
        <w:tc>
          <w:tcPr>
            <w:tcW w:w="1800" w:type="dxa"/>
          </w:tcPr>
          <w:p w14:paraId="24102524"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External Data Providers </w:t>
            </w:r>
          </w:p>
        </w:tc>
        <w:tc>
          <w:tcPr>
            <w:tcW w:w="2070" w:type="dxa"/>
          </w:tcPr>
          <w:p w14:paraId="24102525"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r>
      <w:tr w:rsidR="000B6214" w:rsidRPr="001267B9" w14:paraId="2410252F" w14:textId="77777777" w:rsidTr="00625E8F">
        <w:tc>
          <w:tcPr>
            <w:cnfStyle w:val="001000000000" w:firstRow="0" w:lastRow="0" w:firstColumn="1" w:lastColumn="0" w:oddVBand="0" w:evenVBand="0" w:oddHBand="0" w:evenHBand="0" w:firstRowFirstColumn="0" w:firstRowLastColumn="0" w:lastRowFirstColumn="0" w:lastRowLastColumn="0"/>
            <w:tcW w:w="707" w:type="dxa"/>
          </w:tcPr>
          <w:p w14:paraId="24102527" w14:textId="77777777" w:rsidR="000B6214" w:rsidRPr="0075720D" w:rsidRDefault="000B6214" w:rsidP="0075720D">
            <w:pPr>
              <w:pStyle w:val="ProcedureBody1"/>
              <w:numPr>
                <w:ilvl w:val="0"/>
                <w:numId w:val="14"/>
              </w:numPr>
              <w:ind w:left="360"/>
              <w:rPr>
                <w:rFonts w:ascii="Arial" w:hAnsi="Arial" w:cs="Arial"/>
                <w:color w:val="auto"/>
                <w:sz w:val="22"/>
                <w:szCs w:val="22"/>
                <w:lang w:val="en-IE"/>
              </w:rPr>
            </w:pPr>
          </w:p>
        </w:tc>
        <w:tc>
          <w:tcPr>
            <w:tcW w:w="5251" w:type="dxa"/>
          </w:tcPr>
          <w:p w14:paraId="24102528" w14:textId="77777777" w:rsidR="000B6214" w:rsidRPr="008B0947" w:rsidRDefault="000B6214"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Determine whether the Settlement Rerun is required</w:t>
            </w:r>
            <w:r w:rsidR="00C61ADB">
              <w:rPr>
                <w:rFonts w:ascii="Arial" w:hAnsi="Arial" w:cs="Arial"/>
                <w:sz w:val="22"/>
                <w:szCs w:val="22"/>
                <w:lang w:val="en-IE"/>
              </w:rPr>
              <w:t xml:space="preserve"> and</w:t>
            </w:r>
            <w:r w:rsidRPr="008B0947">
              <w:rPr>
                <w:rFonts w:ascii="Arial" w:hAnsi="Arial" w:cs="Arial"/>
                <w:sz w:val="22"/>
                <w:szCs w:val="22"/>
                <w:lang w:val="en-IE"/>
              </w:rPr>
              <w:t>:</w:t>
            </w:r>
          </w:p>
          <w:p w14:paraId="24102529" w14:textId="77777777" w:rsidR="000B6214" w:rsidRPr="008B0947" w:rsidRDefault="000B6214" w:rsidP="00C61ADB">
            <w:pPr>
              <w:pStyle w:val="ProcedureBody1"/>
              <w:numPr>
                <w:ilvl w:val="0"/>
                <w:numId w:val="15"/>
              </w:numPr>
              <w:ind w:left="463" w:hanging="450"/>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for a max of two Billing Periods or </w:t>
            </w:r>
            <w:r w:rsidR="00625E8F" w:rsidRPr="008B0947">
              <w:rPr>
                <w:rFonts w:ascii="Arial" w:hAnsi="Arial" w:cs="Arial"/>
                <w:sz w:val="22"/>
                <w:szCs w:val="22"/>
                <w:lang w:val="en-IE"/>
              </w:rPr>
              <w:t>one Capacity</w:t>
            </w:r>
            <w:r w:rsidRPr="008B0947">
              <w:rPr>
                <w:rFonts w:ascii="Arial" w:hAnsi="Arial" w:cs="Arial"/>
                <w:sz w:val="22"/>
                <w:szCs w:val="22"/>
                <w:lang w:val="en-IE"/>
              </w:rPr>
              <w:t xml:space="preserve"> Period, continue to </w:t>
            </w:r>
            <w:r w:rsidR="00290D95">
              <w:rPr>
                <w:rFonts w:ascii="Arial" w:hAnsi="Arial" w:cs="Arial"/>
                <w:sz w:val="22"/>
                <w:szCs w:val="22"/>
                <w:lang w:val="en-IE"/>
              </w:rPr>
              <w:t>s</w:t>
            </w:r>
            <w:r w:rsidRPr="008B0947">
              <w:rPr>
                <w:rFonts w:ascii="Arial" w:hAnsi="Arial" w:cs="Arial"/>
                <w:sz w:val="22"/>
                <w:szCs w:val="22"/>
                <w:lang w:val="en-IE"/>
              </w:rPr>
              <w:t>tep 29; or</w:t>
            </w:r>
          </w:p>
          <w:p w14:paraId="2410252A" w14:textId="77777777" w:rsidR="000B6214" w:rsidRPr="008B0947" w:rsidRDefault="000B6214" w:rsidP="00290D95">
            <w:pPr>
              <w:pStyle w:val="ProcedureBody1"/>
              <w:numPr>
                <w:ilvl w:val="0"/>
                <w:numId w:val="15"/>
              </w:numPr>
              <w:ind w:left="463" w:hanging="450"/>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 xml:space="preserve">for more than two Billing Periods or </w:t>
            </w:r>
            <w:r w:rsidR="00625E8F" w:rsidRPr="008B0947">
              <w:rPr>
                <w:rFonts w:ascii="Arial" w:hAnsi="Arial" w:cs="Arial"/>
                <w:sz w:val="22"/>
                <w:szCs w:val="22"/>
                <w:lang w:val="en-IE"/>
              </w:rPr>
              <w:t>one Capacity</w:t>
            </w:r>
            <w:r w:rsidRPr="008B0947">
              <w:rPr>
                <w:rFonts w:ascii="Arial" w:hAnsi="Arial" w:cs="Arial"/>
                <w:sz w:val="22"/>
                <w:szCs w:val="22"/>
                <w:lang w:val="en-IE"/>
              </w:rPr>
              <w:t xml:space="preserve"> Period, go to </w:t>
            </w:r>
            <w:r w:rsidR="00290D95">
              <w:rPr>
                <w:rFonts w:ascii="Arial" w:hAnsi="Arial" w:cs="Arial"/>
                <w:sz w:val="22"/>
                <w:szCs w:val="22"/>
                <w:lang w:val="en-IE"/>
              </w:rPr>
              <w:t>s</w:t>
            </w:r>
            <w:r w:rsidRPr="008B0947">
              <w:rPr>
                <w:rFonts w:ascii="Arial" w:hAnsi="Arial" w:cs="Arial"/>
                <w:sz w:val="22"/>
                <w:szCs w:val="22"/>
                <w:lang w:val="en-IE"/>
              </w:rPr>
              <w:t>tep 30.</w:t>
            </w:r>
          </w:p>
        </w:tc>
        <w:tc>
          <w:tcPr>
            <w:tcW w:w="2610" w:type="dxa"/>
          </w:tcPr>
          <w:p w14:paraId="2410252B" w14:textId="77777777" w:rsidR="000B6214" w:rsidRPr="008B0947" w:rsidRDefault="000B6214"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p>
        </w:tc>
        <w:tc>
          <w:tcPr>
            <w:tcW w:w="1800" w:type="dxa"/>
          </w:tcPr>
          <w:p w14:paraId="2410252C" w14:textId="77777777" w:rsidR="000B6214" w:rsidRPr="008B0947" w:rsidRDefault="00894F9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c>
          <w:tcPr>
            <w:tcW w:w="1800" w:type="dxa"/>
          </w:tcPr>
          <w:p w14:paraId="2410252D" w14:textId="77777777" w:rsidR="000B6214" w:rsidRPr="008B0947" w:rsidRDefault="00894F9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Market Operator</w:t>
            </w:r>
          </w:p>
        </w:tc>
        <w:tc>
          <w:tcPr>
            <w:tcW w:w="2070" w:type="dxa"/>
          </w:tcPr>
          <w:p w14:paraId="2410252E" w14:textId="77777777" w:rsidR="000B6214" w:rsidRPr="008B0947" w:rsidRDefault="00894F9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r>
      <w:tr w:rsidR="00AE3A5C" w:rsidRPr="001267B9" w14:paraId="24102536" w14:textId="77777777" w:rsidTr="00625E8F">
        <w:tc>
          <w:tcPr>
            <w:cnfStyle w:val="001000000000" w:firstRow="0" w:lastRow="0" w:firstColumn="1" w:lastColumn="0" w:oddVBand="0" w:evenVBand="0" w:oddHBand="0" w:evenHBand="0" w:firstRowFirstColumn="0" w:firstRowLastColumn="0" w:lastRowFirstColumn="0" w:lastRowLastColumn="0"/>
            <w:tcW w:w="707" w:type="dxa"/>
            <w:tcBorders>
              <w:bottom w:val="single" w:sz="8" w:space="0" w:color="000000"/>
            </w:tcBorders>
          </w:tcPr>
          <w:p w14:paraId="24102530" w14:textId="77777777" w:rsidR="00AE3A5C" w:rsidRPr="0075720D" w:rsidRDefault="00AE3A5C" w:rsidP="0075720D">
            <w:pPr>
              <w:pStyle w:val="ProcedureBody1"/>
              <w:numPr>
                <w:ilvl w:val="0"/>
                <w:numId w:val="14"/>
              </w:numPr>
              <w:ind w:left="360"/>
              <w:rPr>
                <w:rFonts w:ascii="Arial" w:hAnsi="Arial" w:cs="Arial"/>
                <w:color w:val="auto"/>
                <w:sz w:val="22"/>
                <w:szCs w:val="22"/>
                <w:lang w:val="en-IE"/>
              </w:rPr>
            </w:pPr>
          </w:p>
        </w:tc>
        <w:tc>
          <w:tcPr>
            <w:tcW w:w="5251" w:type="dxa"/>
            <w:tcBorders>
              <w:bottom w:val="single" w:sz="8" w:space="0" w:color="000000"/>
            </w:tcBorders>
          </w:tcPr>
          <w:p w14:paraId="24102531" w14:textId="77777777" w:rsidR="00AE3A5C" w:rsidRPr="000B6214"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Schedule a dedicated Settlement Rerun</w:t>
            </w:r>
            <w:r w:rsidR="00F81AAA">
              <w:rPr>
                <w:rFonts w:ascii="Arial" w:hAnsi="Arial" w:cs="Arial"/>
                <w:sz w:val="22"/>
                <w:szCs w:val="22"/>
                <w:lang w:val="en-IE"/>
              </w:rPr>
              <w:t xml:space="preserve"> and go to step 31</w:t>
            </w:r>
            <w:r w:rsidRPr="008B0947">
              <w:rPr>
                <w:rFonts w:ascii="Arial" w:hAnsi="Arial" w:cs="Arial"/>
                <w:sz w:val="22"/>
                <w:szCs w:val="22"/>
                <w:lang w:val="en-IE"/>
              </w:rPr>
              <w:t xml:space="preserve">. </w:t>
            </w:r>
          </w:p>
        </w:tc>
        <w:tc>
          <w:tcPr>
            <w:tcW w:w="2610" w:type="dxa"/>
            <w:tcBorders>
              <w:bottom w:val="single" w:sz="8" w:space="0" w:color="000000"/>
            </w:tcBorders>
          </w:tcPr>
          <w:p w14:paraId="24102532" w14:textId="77777777" w:rsidR="00AE3A5C" w:rsidRPr="008B0947" w:rsidRDefault="00EC7C93" w:rsidP="00D26AA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a maximum of</w:t>
            </w:r>
            <w:r w:rsidR="00AE3A5C" w:rsidRPr="008B0947">
              <w:rPr>
                <w:rFonts w:ascii="Arial" w:hAnsi="Arial" w:cs="Arial"/>
                <w:sz w:val="22"/>
                <w:szCs w:val="22"/>
                <w:lang w:val="en-IE"/>
              </w:rPr>
              <w:t xml:space="preserve"> </w:t>
            </w:r>
            <w:r w:rsidRPr="008B0947">
              <w:rPr>
                <w:rFonts w:ascii="Arial" w:hAnsi="Arial" w:cs="Arial"/>
                <w:sz w:val="22"/>
                <w:szCs w:val="22"/>
                <w:lang w:val="en-IE"/>
              </w:rPr>
              <w:t xml:space="preserve">20 </w:t>
            </w:r>
            <w:r w:rsidR="0049628C" w:rsidRPr="008B0947">
              <w:rPr>
                <w:rFonts w:ascii="Arial" w:hAnsi="Arial" w:cs="Arial"/>
                <w:sz w:val="22"/>
                <w:szCs w:val="22"/>
                <w:lang w:val="en-IE"/>
              </w:rPr>
              <w:t>WD</w:t>
            </w:r>
            <w:r w:rsidR="00AE3A5C" w:rsidRPr="008B0947">
              <w:rPr>
                <w:rFonts w:ascii="Arial" w:hAnsi="Arial" w:cs="Arial"/>
                <w:sz w:val="22"/>
                <w:szCs w:val="22"/>
                <w:lang w:val="en-IE"/>
              </w:rPr>
              <w:t xml:space="preserve"> of the date of successful submission of revised data from External Data Providers.</w:t>
            </w:r>
          </w:p>
        </w:tc>
        <w:tc>
          <w:tcPr>
            <w:tcW w:w="1800" w:type="dxa"/>
            <w:tcBorders>
              <w:bottom w:val="single" w:sz="8" w:space="0" w:color="000000"/>
            </w:tcBorders>
          </w:tcPr>
          <w:p w14:paraId="24102533" w14:textId="77777777" w:rsidR="00AE3A5C" w:rsidRPr="008B0947" w:rsidRDefault="00894F9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c>
          <w:tcPr>
            <w:tcW w:w="1800" w:type="dxa"/>
            <w:tcBorders>
              <w:bottom w:val="single" w:sz="8" w:space="0" w:color="000000"/>
            </w:tcBorders>
          </w:tcPr>
          <w:p w14:paraId="24102534" w14:textId="77777777" w:rsidR="00AE3A5C" w:rsidRPr="008B0947" w:rsidRDefault="00AE3A5C"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Borders>
              <w:bottom w:val="single" w:sz="8" w:space="0" w:color="000000"/>
            </w:tcBorders>
          </w:tcPr>
          <w:p w14:paraId="24102535" w14:textId="77777777" w:rsidR="00AE3A5C" w:rsidRPr="008B0947" w:rsidRDefault="00894F9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r>
      <w:tr w:rsidR="00EC7C93" w:rsidRPr="001267B9" w14:paraId="2410253D" w14:textId="77777777" w:rsidTr="00625E8F">
        <w:tc>
          <w:tcPr>
            <w:cnfStyle w:val="001000000000" w:firstRow="0" w:lastRow="0" w:firstColumn="1" w:lastColumn="0" w:oddVBand="0" w:evenVBand="0" w:oddHBand="0" w:evenHBand="0" w:firstRowFirstColumn="0" w:firstRowLastColumn="0" w:lastRowFirstColumn="0" w:lastRowLastColumn="0"/>
            <w:tcW w:w="707" w:type="dxa"/>
            <w:tcBorders>
              <w:top w:val="single" w:sz="8" w:space="0" w:color="000000"/>
              <w:bottom w:val="single" w:sz="8" w:space="0" w:color="000000"/>
            </w:tcBorders>
          </w:tcPr>
          <w:p w14:paraId="24102537" w14:textId="77777777" w:rsidR="00EC7C93" w:rsidRPr="0075720D" w:rsidRDefault="00EC7C93" w:rsidP="0075720D">
            <w:pPr>
              <w:pStyle w:val="ProcedureBody1"/>
              <w:numPr>
                <w:ilvl w:val="0"/>
                <w:numId w:val="14"/>
              </w:numPr>
              <w:ind w:left="360"/>
              <w:rPr>
                <w:rFonts w:ascii="Arial" w:hAnsi="Arial" w:cs="Arial"/>
                <w:color w:val="auto"/>
                <w:sz w:val="22"/>
                <w:szCs w:val="22"/>
                <w:lang w:val="en-IE"/>
              </w:rPr>
            </w:pPr>
          </w:p>
        </w:tc>
        <w:tc>
          <w:tcPr>
            <w:tcW w:w="5251" w:type="dxa"/>
            <w:tcBorders>
              <w:top w:val="single" w:sz="8" w:space="0" w:color="000000"/>
              <w:bottom w:val="single" w:sz="8" w:space="0" w:color="000000"/>
            </w:tcBorders>
          </w:tcPr>
          <w:p w14:paraId="24102538" w14:textId="77777777" w:rsidR="00EC7C93" w:rsidRPr="008B0947" w:rsidRDefault="00EC7C93"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Schedule a dedicated Settlement Rerun after consultation with Market Participants and after seeking agreement from Market Participants.</w:t>
            </w:r>
          </w:p>
        </w:tc>
        <w:tc>
          <w:tcPr>
            <w:tcW w:w="2610" w:type="dxa"/>
            <w:tcBorders>
              <w:top w:val="single" w:sz="8" w:space="0" w:color="000000"/>
              <w:bottom w:val="single" w:sz="8" w:space="0" w:color="000000"/>
            </w:tcBorders>
          </w:tcPr>
          <w:p w14:paraId="24102539" w14:textId="77777777" w:rsidR="00EC7C93" w:rsidRPr="008B0947" w:rsidRDefault="00EC7C93"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Within agreed timelines</w:t>
            </w:r>
          </w:p>
        </w:tc>
        <w:tc>
          <w:tcPr>
            <w:tcW w:w="1800" w:type="dxa"/>
            <w:tcBorders>
              <w:top w:val="single" w:sz="8" w:space="0" w:color="000000"/>
              <w:bottom w:val="single" w:sz="8" w:space="0" w:color="000000"/>
            </w:tcBorders>
          </w:tcPr>
          <w:p w14:paraId="2410253A" w14:textId="77777777" w:rsidR="00EC7C93" w:rsidRPr="008B0947" w:rsidRDefault="00894F9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c>
          <w:tcPr>
            <w:tcW w:w="1800" w:type="dxa"/>
            <w:tcBorders>
              <w:top w:val="single" w:sz="8" w:space="0" w:color="000000"/>
              <w:bottom w:val="single" w:sz="8" w:space="0" w:color="000000"/>
            </w:tcBorders>
          </w:tcPr>
          <w:p w14:paraId="2410253B" w14:textId="77777777" w:rsidR="00EC7C93" w:rsidRPr="008B0947" w:rsidRDefault="00EC7C93"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sidRPr="008B0947">
              <w:rPr>
                <w:rFonts w:ascii="Arial" w:hAnsi="Arial" w:cs="Arial"/>
                <w:sz w:val="22"/>
                <w:szCs w:val="22"/>
                <w:lang w:val="en-IE"/>
              </w:rPr>
              <w:t>Market Operator</w:t>
            </w:r>
          </w:p>
        </w:tc>
        <w:tc>
          <w:tcPr>
            <w:tcW w:w="2070" w:type="dxa"/>
            <w:tcBorders>
              <w:top w:val="single" w:sz="8" w:space="0" w:color="000000"/>
              <w:bottom w:val="single" w:sz="8" w:space="0" w:color="000000"/>
            </w:tcBorders>
          </w:tcPr>
          <w:p w14:paraId="2410253C" w14:textId="77777777" w:rsidR="00EC7C93" w:rsidRPr="008B0947" w:rsidRDefault="00894F9F" w:rsidP="008B0947">
            <w:pPr>
              <w:pStyle w:val="ProcedureBody1"/>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r>
      <w:tr w:rsidR="00C61ADB" w:rsidRPr="001267B9" w14:paraId="24102544" w14:textId="77777777" w:rsidTr="00625E8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707" w:type="dxa"/>
            <w:tcBorders>
              <w:top w:val="single" w:sz="8" w:space="0" w:color="000000"/>
              <w:bottom w:val="single" w:sz="18" w:space="0" w:color="000000"/>
            </w:tcBorders>
          </w:tcPr>
          <w:p w14:paraId="2410253E" w14:textId="77777777" w:rsidR="00C61ADB" w:rsidRPr="00C61ADB" w:rsidRDefault="00C61ADB" w:rsidP="0075720D">
            <w:pPr>
              <w:pStyle w:val="ProcedureBody1"/>
              <w:numPr>
                <w:ilvl w:val="0"/>
                <w:numId w:val="14"/>
              </w:numPr>
              <w:ind w:left="360"/>
              <w:rPr>
                <w:rFonts w:ascii="Arial" w:hAnsi="Arial" w:cs="Arial"/>
                <w:b w:val="0"/>
                <w:sz w:val="22"/>
                <w:szCs w:val="22"/>
                <w:lang w:val="en-IE"/>
              </w:rPr>
            </w:pPr>
          </w:p>
        </w:tc>
        <w:tc>
          <w:tcPr>
            <w:tcW w:w="5251" w:type="dxa"/>
            <w:tcBorders>
              <w:top w:val="single" w:sz="8" w:space="0" w:color="000000"/>
              <w:bottom w:val="single" w:sz="18" w:space="0" w:color="000000"/>
            </w:tcBorders>
          </w:tcPr>
          <w:p w14:paraId="2410253F" w14:textId="77777777" w:rsidR="00C61ADB" w:rsidRPr="00C61ADB" w:rsidRDefault="00C61ADB" w:rsidP="008B0947">
            <w:pPr>
              <w:pStyle w:val="ProcedureBody1"/>
              <w:cnfStyle w:val="010000000000" w:firstRow="0" w:lastRow="1" w:firstColumn="0" w:lastColumn="0" w:oddVBand="0" w:evenVBand="0" w:oddHBand="0" w:evenHBand="0" w:firstRowFirstColumn="0" w:firstRowLastColumn="0" w:lastRowFirstColumn="0" w:lastRowLastColumn="0"/>
              <w:rPr>
                <w:rFonts w:ascii="Arial" w:hAnsi="Arial" w:cs="Arial"/>
                <w:sz w:val="22"/>
                <w:szCs w:val="22"/>
                <w:lang w:val="en-IE"/>
              </w:rPr>
            </w:pPr>
            <w:r w:rsidRPr="00C61ADB">
              <w:rPr>
                <w:rFonts w:ascii="Arial" w:hAnsi="Arial" w:cs="Arial"/>
                <w:color w:val="auto"/>
                <w:sz w:val="22"/>
                <w:szCs w:val="22"/>
                <w:lang w:val="en-IE"/>
              </w:rPr>
              <w:t>Ensure revised data is used in next Timetabled Settlement Rerun statement.</w:t>
            </w:r>
          </w:p>
        </w:tc>
        <w:tc>
          <w:tcPr>
            <w:tcW w:w="2610" w:type="dxa"/>
            <w:tcBorders>
              <w:top w:val="single" w:sz="8" w:space="0" w:color="000000"/>
              <w:bottom w:val="single" w:sz="18" w:space="0" w:color="000000"/>
            </w:tcBorders>
          </w:tcPr>
          <w:p w14:paraId="24102540" w14:textId="77777777" w:rsidR="00C61ADB" w:rsidRPr="00C61ADB" w:rsidRDefault="00C61ADB" w:rsidP="008B0947">
            <w:pPr>
              <w:pStyle w:val="ProcedureBody1"/>
              <w:cnfStyle w:val="010000000000" w:firstRow="0" w:lastRow="1" w:firstColumn="0" w:lastColumn="0" w:oddVBand="0" w:evenVBand="0" w:oddHBand="0" w:evenHBand="0" w:firstRowFirstColumn="0" w:firstRowLastColumn="0" w:lastRowFirstColumn="0" w:lastRowLastColumn="0"/>
              <w:rPr>
                <w:rFonts w:ascii="Arial" w:hAnsi="Arial" w:cs="Arial"/>
                <w:sz w:val="22"/>
                <w:szCs w:val="22"/>
                <w:lang w:val="en-IE"/>
              </w:rPr>
            </w:pPr>
            <w:r w:rsidRPr="00C61ADB">
              <w:rPr>
                <w:rFonts w:ascii="Arial" w:hAnsi="Arial" w:cs="Arial"/>
                <w:color w:val="auto"/>
                <w:sz w:val="22"/>
                <w:szCs w:val="22"/>
                <w:lang w:val="en-IE"/>
              </w:rPr>
              <w:t>Prior to next Timetabled Settlement Rerun</w:t>
            </w:r>
          </w:p>
        </w:tc>
        <w:tc>
          <w:tcPr>
            <w:tcW w:w="1800" w:type="dxa"/>
            <w:tcBorders>
              <w:top w:val="single" w:sz="8" w:space="0" w:color="000000"/>
              <w:bottom w:val="single" w:sz="18" w:space="0" w:color="000000"/>
            </w:tcBorders>
          </w:tcPr>
          <w:p w14:paraId="24102541" w14:textId="77777777" w:rsidR="00C61ADB" w:rsidRPr="00C61ADB" w:rsidRDefault="00894F9F" w:rsidP="008B0947">
            <w:pPr>
              <w:pStyle w:val="ProcedureBody1"/>
              <w:cnfStyle w:val="010000000000" w:firstRow="0" w:lastRow="1"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c>
          <w:tcPr>
            <w:tcW w:w="1800" w:type="dxa"/>
            <w:tcBorders>
              <w:top w:val="single" w:sz="8" w:space="0" w:color="000000"/>
              <w:bottom w:val="single" w:sz="18" w:space="0" w:color="000000"/>
            </w:tcBorders>
          </w:tcPr>
          <w:p w14:paraId="24102542" w14:textId="77777777" w:rsidR="00C61ADB" w:rsidRPr="00C61ADB" w:rsidRDefault="00C61ADB" w:rsidP="008B0947">
            <w:pPr>
              <w:pStyle w:val="ProcedureBody1"/>
              <w:cnfStyle w:val="010000000000" w:firstRow="0" w:lastRow="1" w:firstColumn="0" w:lastColumn="0" w:oddVBand="0" w:evenVBand="0" w:oddHBand="0" w:evenHBand="0" w:firstRowFirstColumn="0" w:firstRowLastColumn="0" w:lastRowFirstColumn="0" w:lastRowLastColumn="0"/>
              <w:rPr>
                <w:rFonts w:ascii="Arial" w:hAnsi="Arial" w:cs="Arial"/>
                <w:sz w:val="22"/>
                <w:szCs w:val="22"/>
                <w:lang w:val="en-IE"/>
              </w:rPr>
            </w:pPr>
            <w:r w:rsidRPr="00C61ADB">
              <w:rPr>
                <w:rFonts w:ascii="Arial" w:hAnsi="Arial" w:cs="Arial"/>
                <w:color w:val="auto"/>
                <w:sz w:val="22"/>
                <w:szCs w:val="22"/>
                <w:lang w:val="en-IE"/>
              </w:rPr>
              <w:t>Market Operator</w:t>
            </w:r>
          </w:p>
        </w:tc>
        <w:tc>
          <w:tcPr>
            <w:tcW w:w="2070" w:type="dxa"/>
            <w:tcBorders>
              <w:top w:val="single" w:sz="8" w:space="0" w:color="000000"/>
              <w:bottom w:val="single" w:sz="18" w:space="0" w:color="000000"/>
            </w:tcBorders>
          </w:tcPr>
          <w:p w14:paraId="24102543" w14:textId="77777777" w:rsidR="00C61ADB" w:rsidRPr="00C61ADB" w:rsidRDefault="00894F9F" w:rsidP="008B0947">
            <w:pPr>
              <w:pStyle w:val="ProcedureBody1"/>
              <w:cnfStyle w:val="010000000000" w:firstRow="0" w:lastRow="1" w:firstColumn="0" w:lastColumn="0" w:oddVBand="0" w:evenVBand="0" w:oddHBand="0" w:evenHBand="0" w:firstRowFirstColumn="0" w:firstRowLastColumn="0" w:lastRowFirstColumn="0" w:lastRowLastColumn="0"/>
              <w:rPr>
                <w:rFonts w:ascii="Arial" w:hAnsi="Arial" w:cs="Arial"/>
                <w:sz w:val="22"/>
                <w:szCs w:val="22"/>
                <w:lang w:val="en-IE"/>
              </w:rPr>
            </w:pPr>
            <w:r>
              <w:rPr>
                <w:rFonts w:ascii="Arial" w:hAnsi="Arial" w:cs="Arial"/>
                <w:sz w:val="22"/>
                <w:szCs w:val="22"/>
                <w:lang w:val="en-IE"/>
              </w:rPr>
              <w:t>-</w:t>
            </w:r>
          </w:p>
        </w:tc>
      </w:tr>
    </w:tbl>
    <w:p w14:paraId="24102545" w14:textId="77777777" w:rsidR="00713907" w:rsidRDefault="00713907" w:rsidP="00D116C3">
      <w:pPr>
        <w:pStyle w:val="ProcedureBody1"/>
        <w:rPr>
          <w:rFonts w:ascii="Arial" w:hAnsi="Arial" w:cs="Arial"/>
          <w:sz w:val="22"/>
          <w:szCs w:val="22"/>
          <w:lang w:val="en-IE"/>
        </w:rPr>
      </w:pPr>
    </w:p>
    <w:p w14:paraId="24102546" w14:textId="77777777" w:rsidR="00D116C3" w:rsidRPr="00D116C3" w:rsidRDefault="0099679B" w:rsidP="0099679B">
      <w:pPr>
        <w:pStyle w:val="ProcedureBody1"/>
        <w:rPr>
          <w:rFonts w:ascii="Arial" w:hAnsi="Arial" w:cs="Arial"/>
          <w:sz w:val="22"/>
          <w:szCs w:val="22"/>
          <w:lang w:val="en-IE"/>
        </w:rPr>
      </w:pPr>
      <w:r>
        <w:rPr>
          <w:rFonts w:ascii="Arial" w:hAnsi="Arial" w:cs="Arial"/>
          <w:noProof/>
          <w:sz w:val="22"/>
          <w:szCs w:val="22"/>
          <w:lang w:val="en-IE" w:eastAsia="en-IE"/>
        </w:rPr>
        <w:lastRenderedPageBreak/>
        <w:drawing>
          <wp:inline distT="0" distB="0" distL="0" distR="0" wp14:anchorId="24102578" wp14:editId="24102579">
            <wp:extent cx="9208135" cy="54590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C AP13 - 1 Settlement Querie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08135" cy="5459095"/>
                    </a:xfrm>
                    <a:prstGeom prst="rect">
                      <a:avLst/>
                    </a:prstGeom>
                  </pic:spPr>
                </pic:pic>
              </a:graphicData>
            </a:graphic>
          </wp:inline>
        </w:drawing>
      </w:r>
    </w:p>
    <w:p w14:paraId="24102547" w14:textId="77777777" w:rsidR="00D116C3" w:rsidRPr="00D116C3" w:rsidRDefault="00D116C3" w:rsidP="00D116C3">
      <w:pPr>
        <w:pStyle w:val="ProcedureBody1"/>
        <w:rPr>
          <w:rFonts w:ascii="Arial" w:hAnsi="Arial" w:cs="Arial"/>
          <w:sz w:val="22"/>
          <w:szCs w:val="22"/>
          <w:lang w:val="en-IE"/>
        </w:rPr>
      </w:pPr>
    </w:p>
    <w:p w14:paraId="24102548" w14:textId="77777777" w:rsidR="00D116C3" w:rsidRDefault="00D116C3" w:rsidP="00D116C3">
      <w:pPr>
        <w:pStyle w:val="ProcedureBody1"/>
        <w:rPr>
          <w:rFonts w:ascii="Arial" w:hAnsi="Arial" w:cs="Arial"/>
          <w:b/>
          <w:i/>
          <w:iCs/>
          <w:sz w:val="22"/>
          <w:szCs w:val="22"/>
          <w:lang w:val="en-IE"/>
        </w:rPr>
        <w:sectPr w:rsidR="00D116C3" w:rsidSect="009B3988">
          <w:headerReference w:type="default" r:id="rId20"/>
          <w:pgSz w:w="16840" w:h="11907" w:orient="landscape" w:code="9"/>
          <w:pgMar w:top="1134" w:right="899" w:bottom="1440" w:left="1440" w:header="227" w:footer="170" w:gutter="0"/>
          <w:cols w:space="720"/>
          <w:docGrid w:linePitch="272"/>
        </w:sectPr>
      </w:pPr>
    </w:p>
    <w:p w14:paraId="24102549" w14:textId="77777777" w:rsidR="00713907" w:rsidRPr="001267B9" w:rsidRDefault="00713907" w:rsidP="00713907">
      <w:pPr>
        <w:pStyle w:val="CERHEADING1"/>
        <w:numPr>
          <w:ilvl w:val="0"/>
          <w:numId w:val="0"/>
        </w:numPr>
      </w:pPr>
      <w:bookmarkStart w:id="199" w:name="_Toc465936535"/>
      <w:bookmarkStart w:id="200" w:name="_Toc465936536"/>
      <w:bookmarkStart w:id="201" w:name="_Toc162679201"/>
      <w:bookmarkStart w:id="202" w:name="_Toc162915341"/>
      <w:bookmarkStart w:id="203" w:name="_Toc164279728"/>
      <w:bookmarkStart w:id="204" w:name="_Toc162679204"/>
      <w:bookmarkStart w:id="205" w:name="_Toc162915344"/>
      <w:bookmarkStart w:id="206" w:name="_Toc164279731"/>
      <w:bookmarkStart w:id="207" w:name="_Toc162679205"/>
      <w:bookmarkStart w:id="208" w:name="_Toc162915345"/>
      <w:bookmarkStart w:id="209" w:name="_Toc164279732"/>
      <w:bookmarkStart w:id="210" w:name="_Toc162679206"/>
      <w:bookmarkStart w:id="211" w:name="_Toc162915346"/>
      <w:bookmarkStart w:id="212" w:name="_Toc164279733"/>
      <w:bookmarkStart w:id="213" w:name="_Toc162679213"/>
      <w:bookmarkStart w:id="214" w:name="_Toc162915353"/>
      <w:bookmarkStart w:id="215" w:name="_Toc164279740"/>
      <w:bookmarkStart w:id="216" w:name="_Toc162679214"/>
      <w:bookmarkStart w:id="217" w:name="_Toc162915354"/>
      <w:bookmarkStart w:id="218" w:name="_Toc164279741"/>
      <w:bookmarkStart w:id="219" w:name="_Toc162679215"/>
      <w:bookmarkStart w:id="220" w:name="_Toc162915355"/>
      <w:bookmarkStart w:id="221" w:name="_Toc164279742"/>
      <w:bookmarkStart w:id="222" w:name="_Toc162679216"/>
      <w:bookmarkStart w:id="223" w:name="_Toc162915356"/>
      <w:bookmarkStart w:id="224" w:name="_Toc164279743"/>
      <w:bookmarkStart w:id="225" w:name="_Toc162679217"/>
      <w:bookmarkStart w:id="226" w:name="_Toc162915357"/>
      <w:bookmarkStart w:id="227" w:name="_Toc164279744"/>
      <w:bookmarkStart w:id="228" w:name="_Toc162679218"/>
      <w:bookmarkStart w:id="229" w:name="_Toc162915358"/>
      <w:bookmarkStart w:id="230" w:name="_Toc164279745"/>
      <w:bookmarkStart w:id="231" w:name="_Toc162679219"/>
      <w:bookmarkStart w:id="232" w:name="_Toc162915359"/>
      <w:bookmarkStart w:id="233" w:name="_Toc164279746"/>
      <w:bookmarkStart w:id="234" w:name="_Toc162679220"/>
      <w:bookmarkStart w:id="235" w:name="_Toc162915360"/>
      <w:bookmarkStart w:id="236" w:name="_Toc164279747"/>
      <w:bookmarkStart w:id="237" w:name="_Toc162679221"/>
      <w:bookmarkStart w:id="238" w:name="_Toc162915361"/>
      <w:bookmarkStart w:id="239" w:name="_Toc164279748"/>
      <w:bookmarkStart w:id="240" w:name="_Toc162679222"/>
      <w:bookmarkStart w:id="241" w:name="_Toc162915362"/>
      <w:bookmarkStart w:id="242" w:name="_Toc164279749"/>
      <w:bookmarkStart w:id="243" w:name="_Toc162679223"/>
      <w:bookmarkStart w:id="244" w:name="_Toc162915363"/>
      <w:bookmarkStart w:id="245" w:name="_Toc164279750"/>
      <w:bookmarkStart w:id="246" w:name="_Toc162679224"/>
      <w:bookmarkStart w:id="247" w:name="_Toc162915364"/>
      <w:bookmarkStart w:id="248" w:name="_Toc164279751"/>
      <w:bookmarkStart w:id="249" w:name="_Toc477420708"/>
      <w:bookmarkEnd w:id="179"/>
      <w:bookmarkEnd w:id="180"/>
      <w:bookmarkEnd w:id="181"/>
      <w:bookmarkEnd w:id="182"/>
      <w:bookmarkEnd w:id="183"/>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1267B9">
        <w:lastRenderedPageBreak/>
        <w:t xml:space="preserve">APPENDIX </w:t>
      </w:r>
      <w:r w:rsidR="00894F9F">
        <w:t>1</w:t>
      </w:r>
      <w:r w:rsidRPr="001267B9">
        <w:t>:  Query Form Validation</w:t>
      </w:r>
      <w:bookmarkEnd w:id="249"/>
    </w:p>
    <w:p w14:paraId="2410254A" w14:textId="77777777" w:rsidR="00713907" w:rsidRPr="008B0947" w:rsidRDefault="00713907" w:rsidP="00713907">
      <w:pPr>
        <w:pStyle w:val="Body1"/>
        <w:spacing w:before="120" w:after="120"/>
        <w:jc w:val="both"/>
        <w:rPr>
          <w:rFonts w:ascii="Arial" w:hAnsi="Arial" w:cs="Arial"/>
          <w:lang w:val="en-US"/>
        </w:rPr>
      </w:pPr>
      <w:r w:rsidRPr="008B0947">
        <w:rPr>
          <w:rFonts w:ascii="Arial" w:hAnsi="Arial" w:cs="Arial"/>
          <w:lang w:val="en-US"/>
        </w:rPr>
        <w:t xml:space="preserve">The </w:t>
      </w:r>
      <w:r w:rsidR="00894F9F">
        <w:rPr>
          <w:rFonts w:ascii="Arial" w:hAnsi="Arial" w:cs="Arial"/>
          <w:lang w:val="en-US"/>
        </w:rPr>
        <w:t xml:space="preserve">Settlement </w:t>
      </w:r>
      <w:r w:rsidRPr="008B0947">
        <w:rPr>
          <w:rFonts w:ascii="Arial" w:hAnsi="Arial" w:cs="Arial"/>
          <w:lang w:val="en-US"/>
        </w:rPr>
        <w:t>Query Form</w:t>
      </w:r>
      <w:r w:rsidR="00894F9F">
        <w:rPr>
          <w:rFonts w:ascii="Arial" w:hAnsi="Arial" w:cs="Arial"/>
          <w:lang w:val="en-US"/>
        </w:rPr>
        <w:t xml:space="preserve"> is available on the Market Operator’s website.  In order to be valid a Settlement Query Form must</w:t>
      </w:r>
      <w:r w:rsidRPr="008B0947">
        <w:rPr>
          <w:rFonts w:ascii="Arial" w:hAnsi="Arial" w:cs="Arial"/>
          <w:lang w:val="en-US"/>
        </w:rPr>
        <w:t xml:space="preserve"> have the follow</w:t>
      </w:r>
      <w:r w:rsidR="008F51FC">
        <w:rPr>
          <w:rFonts w:ascii="Arial" w:hAnsi="Arial" w:cs="Arial"/>
          <w:lang w:val="en-US"/>
        </w:rPr>
        <w:t>ing</w:t>
      </w:r>
      <w:r w:rsidRPr="008B0947">
        <w:rPr>
          <w:rFonts w:ascii="Arial" w:hAnsi="Arial" w:cs="Arial"/>
          <w:lang w:val="en-US"/>
        </w:rPr>
        <w:t xml:space="preserve"> items completed satisfactorily:</w:t>
      </w:r>
    </w:p>
    <w:p w14:paraId="2410254B" w14:textId="77777777" w:rsidR="00713907" w:rsidRPr="001267B9" w:rsidRDefault="00713907" w:rsidP="00713907">
      <w:pPr>
        <w:pStyle w:val="Body1"/>
        <w:rPr>
          <w:rFonts w:ascii="Arial" w:hAnsi="Arial" w:cs="Arial"/>
          <w:lang w:val="en-IE"/>
        </w:rPr>
      </w:pPr>
    </w:p>
    <w:tbl>
      <w:tblPr>
        <w:tblW w:w="936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520"/>
        <w:gridCol w:w="6840"/>
      </w:tblGrid>
      <w:tr w:rsidR="00713907" w:rsidRPr="001267B9" w14:paraId="2410254E" w14:textId="77777777" w:rsidTr="00D34A1F">
        <w:tc>
          <w:tcPr>
            <w:tcW w:w="2520" w:type="dxa"/>
            <w:shd w:val="clear" w:color="auto" w:fill="F2F2F2" w:themeFill="background1" w:themeFillShade="F2"/>
          </w:tcPr>
          <w:p w14:paraId="2410254C" w14:textId="77777777" w:rsidR="00713907" w:rsidRPr="001267B9" w:rsidRDefault="00713907" w:rsidP="00155ACC">
            <w:pPr>
              <w:pStyle w:val="Body1"/>
              <w:rPr>
                <w:rFonts w:ascii="Arial" w:hAnsi="Arial" w:cs="Arial"/>
                <w:b/>
                <w:bCs/>
                <w:lang w:val="en-IE"/>
              </w:rPr>
            </w:pPr>
            <w:r w:rsidRPr="001267B9">
              <w:rPr>
                <w:rFonts w:ascii="Arial" w:hAnsi="Arial" w:cs="Arial"/>
                <w:b/>
                <w:bCs/>
                <w:lang w:val="en-IE"/>
              </w:rPr>
              <w:t>Item</w:t>
            </w:r>
          </w:p>
        </w:tc>
        <w:tc>
          <w:tcPr>
            <w:tcW w:w="6840" w:type="dxa"/>
            <w:shd w:val="clear" w:color="auto" w:fill="F2F2F2" w:themeFill="background1" w:themeFillShade="F2"/>
          </w:tcPr>
          <w:p w14:paraId="2410254D" w14:textId="77777777" w:rsidR="00713907" w:rsidRPr="001267B9" w:rsidRDefault="00713907" w:rsidP="008F51FC">
            <w:pPr>
              <w:pStyle w:val="Body1"/>
              <w:rPr>
                <w:rFonts w:ascii="Arial" w:hAnsi="Arial" w:cs="Arial"/>
                <w:b/>
                <w:bCs/>
                <w:lang w:val="en-IE"/>
              </w:rPr>
            </w:pPr>
            <w:r w:rsidRPr="001267B9">
              <w:rPr>
                <w:rFonts w:ascii="Arial" w:hAnsi="Arial" w:cs="Arial"/>
                <w:b/>
                <w:bCs/>
                <w:lang w:val="en-IE"/>
              </w:rPr>
              <w:t>Validation</w:t>
            </w:r>
          </w:p>
        </w:tc>
      </w:tr>
      <w:tr w:rsidR="00713907" w:rsidRPr="001267B9" w14:paraId="24102551" w14:textId="77777777" w:rsidTr="00155ACC">
        <w:tc>
          <w:tcPr>
            <w:tcW w:w="2520" w:type="dxa"/>
          </w:tcPr>
          <w:p w14:paraId="2410254F"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Participant Name</w:t>
            </w:r>
          </w:p>
        </w:tc>
        <w:tc>
          <w:tcPr>
            <w:tcW w:w="6840" w:type="dxa"/>
          </w:tcPr>
          <w:p w14:paraId="24102550"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Must be a registered Participant</w:t>
            </w:r>
          </w:p>
        </w:tc>
      </w:tr>
      <w:tr w:rsidR="00713907" w:rsidRPr="001267B9" w14:paraId="24102554" w14:textId="77777777" w:rsidTr="00155ACC">
        <w:tc>
          <w:tcPr>
            <w:tcW w:w="2520" w:type="dxa"/>
          </w:tcPr>
          <w:p w14:paraId="24102552"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Participant id</w:t>
            </w:r>
          </w:p>
        </w:tc>
        <w:tc>
          <w:tcPr>
            <w:tcW w:w="6840" w:type="dxa"/>
          </w:tcPr>
          <w:p w14:paraId="24102553"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Must be a registered Participant which aligns with the Participant Name</w:t>
            </w:r>
          </w:p>
        </w:tc>
      </w:tr>
      <w:tr w:rsidR="00713907" w:rsidRPr="001267B9" w14:paraId="24102557" w14:textId="77777777" w:rsidTr="00155ACC">
        <w:tc>
          <w:tcPr>
            <w:tcW w:w="2520" w:type="dxa"/>
          </w:tcPr>
          <w:p w14:paraId="24102555"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Settlement Statement Number</w:t>
            </w:r>
          </w:p>
        </w:tc>
        <w:tc>
          <w:tcPr>
            <w:tcW w:w="6840" w:type="dxa"/>
          </w:tcPr>
          <w:p w14:paraId="24102556"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Must be valid Settlement Statement Number</w:t>
            </w:r>
          </w:p>
        </w:tc>
      </w:tr>
      <w:tr w:rsidR="00713907" w:rsidRPr="001267B9" w14:paraId="2410255A" w14:textId="77777777" w:rsidTr="00155ACC">
        <w:tc>
          <w:tcPr>
            <w:tcW w:w="2520" w:type="dxa"/>
          </w:tcPr>
          <w:p w14:paraId="24102558"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Run Type</w:t>
            </w:r>
          </w:p>
        </w:tc>
        <w:tc>
          <w:tcPr>
            <w:tcW w:w="6840" w:type="dxa"/>
          </w:tcPr>
          <w:p w14:paraId="24102559"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 xml:space="preserve">Where it is a Settlement Query then only one of the items must not be struck out. The Run Type must also align with the Settlement Statement Number. </w:t>
            </w:r>
          </w:p>
        </w:tc>
      </w:tr>
      <w:tr w:rsidR="00713907" w:rsidRPr="001267B9" w14:paraId="2410255D" w14:textId="77777777" w:rsidTr="00155ACC">
        <w:tc>
          <w:tcPr>
            <w:tcW w:w="2520" w:type="dxa"/>
          </w:tcPr>
          <w:p w14:paraId="2410255B"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Settlement Days in Statement</w:t>
            </w:r>
          </w:p>
        </w:tc>
        <w:tc>
          <w:tcPr>
            <w:tcW w:w="6840" w:type="dxa"/>
          </w:tcPr>
          <w:p w14:paraId="2410255C"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Must be completed as indicated depending on whether it is a Settlement Query for a Capacity Period (month/year) or Billing Period (dd/mm/</w:t>
            </w:r>
            <w:proofErr w:type="spellStart"/>
            <w:r w:rsidRPr="008637E7">
              <w:rPr>
                <w:rFonts w:ascii="Arial" w:hAnsi="Arial" w:cs="Arial"/>
                <w:sz w:val="22"/>
                <w:szCs w:val="22"/>
                <w:lang w:val="en-IE"/>
              </w:rPr>
              <w:t>yy</w:t>
            </w:r>
            <w:proofErr w:type="spellEnd"/>
            <w:r w:rsidRPr="008637E7">
              <w:rPr>
                <w:rFonts w:ascii="Arial" w:hAnsi="Arial" w:cs="Arial"/>
                <w:sz w:val="22"/>
                <w:szCs w:val="22"/>
                <w:lang w:val="en-IE"/>
              </w:rPr>
              <w:t xml:space="preserve"> to dd/mm/</w:t>
            </w:r>
            <w:proofErr w:type="spellStart"/>
            <w:r w:rsidRPr="008637E7">
              <w:rPr>
                <w:rFonts w:ascii="Arial" w:hAnsi="Arial" w:cs="Arial"/>
                <w:sz w:val="22"/>
                <w:szCs w:val="22"/>
                <w:lang w:val="en-IE"/>
              </w:rPr>
              <w:t>yy</w:t>
            </w:r>
            <w:proofErr w:type="spellEnd"/>
            <w:r w:rsidRPr="008637E7">
              <w:rPr>
                <w:rFonts w:ascii="Arial" w:hAnsi="Arial" w:cs="Arial"/>
                <w:sz w:val="22"/>
                <w:szCs w:val="22"/>
                <w:lang w:val="en-IE"/>
              </w:rPr>
              <w:t>). The days must align with the Settlement Statement Number.</w:t>
            </w:r>
          </w:p>
        </w:tc>
      </w:tr>
      <w:tr w:rsidR="00713907" w:rsidRPr="001267B9" w14:paraId="24102560" w14:textId="77777777" w:rsidTr="00155ACC">
        <w:tc>
          <w:tcPr>
            <w:tcW w:w="2520" w:type="dxa"/>
          </w:tcPr>
          <w:p w14:paraId="2410255E"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Descriptive Overview</w:t>
            </w:r>
          </w:p>
        </w:tc>
        <w:tc>
          <w:tcPr>
            <w:tcW w:w="6840" w:type="dxa"/>
          </w:tcPr>
          <w:p w14:paraId="2410255F"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This must provide information about what is being queried</w:t>
            </w:r>
          </w:p>
        </w:tc>
      </w:tr>
      <w:tr w:rsidR="00713907" w:rsidRPr="001267B9" w14:paraId="24102563" w14:textId="77777777" w:rsidTr="00155ACC">
        <w:tc>
          <w:tcPr>
            <w:tcW w:w="2520" w:type="dxa"/>
          </w:tcPr>
          <w:p w14:paraId="24102561" w14:textId="77777777" w:rsidR="00713907" w:rsidRPr="008637E7" w:rsidRDefault="00765A2D" w:rsidP="00155ACC">
            <w:pPr>
              <w:pStyle w:val="ProcedureBody1"/>
              <w:rPr>
                <w:rFonts w:ascii="Arial" w:hAnsi="Arial" w:cs="Arial"/>
                <w:sz w:val="22"/>
                <w:szCs w:val="22"/>
                <w:lang w:val="en-IE"/>
              </w:rPr>
            </w:pPr>
            <w:r>
              <w:rPr>
                <w:rFonts w:ascii="Arial" w:hAnsi="Arial" w:cs="Arial"/>
                <w:sz w:val="22"/>
                <w:szCs w:val="22"/>
                <w:lang w:val="en-IE"/>
              </w:rPr>
              <w:t xml:space="preserve">Settlement </w:t>
            </w:r>
            <w:r w:rsidR="00713907" w:rsidRPr="008637E7">
              <w:rPr>
                <w:rFonts w:ascii="Arial" w:hAnsi="Arial" w:cs="Arial"/>
                <w:sz w:val="22"/>
                <w:szCs w:val="22"/>
                <w:lang w:val="en-IE"/>
              </w:rPr>
              <w:t>Query Details</w:t>
            </w:r>
          </w:p>
        </w:tc>
        <w:tc>
          <w:tcPr>
            <w:tcW w:w="6840" w:type="dxa"/>
          </w:tcPr>
          <w:p w14:paraId="24102562"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This must provide the specific details of the items being queried. This should be in sufficient detail to unambiguously allow the data being queried to be identified and where necessary allow an external Data Provider (including Meter Data Providers) to identify the data.</w:t>
            </w:r>
          </w:p>
        </w:tc>
      </w:tr>
      <w:tr w:rsidR="00713907" w:rsidRPr="001267B9" w14:paraId="24102566" w14:textId="77777777" w:rsidTr="00155ACC">
        <w:tc>
          <w:tcPr>
            <w:tcW w:w="2520" w:type="dxa"/>
          </w:tcPr>
          <w:p w14:paraId="24102564"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Additional Supporting Documents</w:t>
            </w:r>
          </w:p>
        </w:tc>
        <w:tc>
          <w:tcPr>
            <w:tcW w:w="6840" w:type="dxa"/>
          </w:tcPr>
          <w:p w14:paraId="24102565"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 xml:space="preserve">The list must align with the additional documents provided in terms of title. If the </w:t>
            </w:r>
            <w:r w:rsidR="00765A2D">
              <w:rPr>
                <w:rFonts w:ascii="Arial" w:hAnsi="Arial" w:cs="Arial"/>
                <w:sz w:val="22"/>
                <w:szCs w:val="22"/>
                <w:lang w:val="en-IE"/>
              </w:rPr>
              <w:t xml:space="preserve">Settlement </w:t>
            </w:r>
            <w:r w:rsidRPr="008637E7">
              <w:rPr>
                <w:rFonts w:ascii="Arial" w:hAnsi="Arial" w:cs="Arial"/>
                <w:sz w:val="22"/>
                <w:szCs w:val="22"/>
                <w:lang w:val="en-IE"/>
              </w:rPr>
              <w:t xml:space="preserve">Query is being sent by </w:t>
            </w:r>
            <w:r w:rsidR="00197337">
              <w:rPr>
                <w:rFonts w:ascii="Arial" w:hAnsi="Arial" w:cs="Arial"/>
                <w:sz w:val="22"/>
                <w:szCs w:val="22"/>
                <w:lang w:val="en-IE"/>
              </w:rPr>
              <w:t>facsimile</w:t>
            </w:r>
            <w:r w:rsidRPr="008637E7">
              <w:rPr>
                <w:rFonts w:ascii="Arial" w:hAnsi="Arial" w:cs="Arial"/>
                <w:sz w:val="22"/>
                <w:szCs w:val="22"/>
                <w:lang w:val="en-IE"/>
              </w:rPr>
              <w:t xml:space="preserve"> or post then the number of pages for each document must also be correct. Where it is being emailed the number of pages in each document may be left blank.</w:t>
            </w:r>
          </w:p>
        </w:tc>
      </w:tr>
      <w:tr w:rsidR="00713907" w:rsidRPr="001267B9" w14:paraId="24102569" w14:textId="77777777" w:rsidTr="00155ACC">
        <w:tc>
          <w:tcPr>
            <w:tcW w:w="2520" w:type="dxa"/>
          </w:tcPr>
          <w:p w14:paraId="24102567"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Authorised Representative Details: Name</w:t>
            </w:r>
          </w:p>
        </w:tc>
        <w:tc>
          <w:tcPr>
            <w:tcW w:w="6840" w:type="dxa"/>
          </w:tcPr>
          <w:p w14:paraId="24102568"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This must be a name of a person from the Participant who is authorised to submit the Form. (Authorisation is provided under Agreed Procedure 11 “Market System Operation, Testing, Upgrading and Support”)</w:t>
            </w:r>
          </w:p>
        </w:tc>
      </w:tr>
      <w:tr w:rsidR="00713907" w:rsidRPr="001267B9" w14:paraId="2410256C" w14:textId="77777777" w:rsidTr="00155ACC">
        <w:tc>
          <w:tcPr>
            <w:tcW w:w="2520" w:type="dxa"/>
          </w:tcPr>
          <w:p w14:paraId="2410256A"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Authorised Representative Details: Signature</w:t>
            </w:r>
          </w:p>
        </w:tc>
        <w:tc>
          <w:tcPr>
            <w:tcW w:w="6840" w:type="dxa"/>
          </w:tcPr>
          <w:p w14:paraId="2410256B"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 xml:space="preserve">If this form is being sent by post or </w:t>
            </w:r>
            <w:r w:rsidR="00197337">
              <w:rPr>
                <w:rFonts w:ascii="Arial" w:hAnsi="Arial" w:cs="Arial"/>
                <w:sz w:val="22"/>
                <w:szCs w:val="22"/>
                <w:lang w:val="en-IE"/>
              </w:rPr>
              <w:t>facsimile</w:t>
            </w:r>
            <w:r w:rsidRPr="008637E7">
              <w:rPr>
                <w:rFonts w:ascii="Arial" w:hAnsi="Arial" w:cs="Arial"/>
                <w:sz w:val="22"/>
                <w:szCs w:val="22"/>
                <w:lang w:val="en-IE"/>
              </w:rPr>
              <w:t xml:space="preserve"> then this must contain the signature of the Authorised Person as registered under Agreed Procedure 11 “Market System Operation, Testing, Upgrading and Support”. If it is being emailed then this should be left blank.</w:t>
            </w:r>
          </w:p>
        </w:tc>
      </w:tr>
      <w:tr w:rsidR="00713907" w:rsidRPr="001267B9" w14:paraId="2410256F" w14:textId="77777777" w:rsidTr="00155ACC">
        <w:tc>
          <w:tcPr>
            <w:tcW w:w="2520" w:type="dxa"/>
          </w:tcPr>
          <w:p w14:paraId="2410256D"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Authorised Representative Details: Password</w:t>
            </w:r>
          </w:p>
        </w:tc>
        <w:tc>
          <w:tcPr>
            <w:tcW w:w="6840" w:type="dxa"/>
          </w:tcPr>
          <w:p w14:paraId="2410256E"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This must contain the password of the Authorised Person as registered under Agreed Procedure 11 “Market System Operation, Testing, Upgrading and Support”.</w:t>
            </w:r>
          </w:p>
        </w:tc>
      </w:tr>
      <w:tr w:rsidR="00713907" w:rsidRPr="001267B9" w14:paraId="24102572" w14:textId="77777777" w:rsidTr="00155ACC">
        <w:tc>
          <w:tcPr>
            <w:tcW w:w="2520" w:type="dxa"/>
          </w:tcPr>
          <w:p w14:paraId="24102570"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Authorised Representative Details: Date</w:t>
            </w:r>
          </w:p>
        </w:tc>
        <w:tc>
          <w:tcPr>
            <w:tcW w:w="6840" w:type="dxa"/>
          </w:tcPr>
          <w:p w14:paraId="24102571" w14:textId="77777777" w:rsidR="00713907" w:rsidRPr="008637E7" w:rsidRDefault="00713907" w:rsidP="00155ACC">
            <w:pPr>
              <w:pStyle w:val="ProcedureBody1"/>
              <w:rPr>
                <w:rFonts w:ascii="Arial" w:hAnsi="Arial" w:cs="Arial"/>
                <w:sz w:val="22"/>
                <w:szCs w:val="22"/>
                <w:lang w:val="en-IE"/>
              </w:rPr>
            </w:pPr>
            <w:r w:rsidRPr="008637E7">
              <w:rPr>
                <w:rFonts w:ascii="Arial" w:hAnsi="Arial" w:cs="Arial"/>
                <w:sz w:val="22"/>
                <w:szCs w:val="22"/>
                <w:lang w:val="en-IE"/>
              </w:rPr>
              <w:t>This must be a valid date within the timescales allowed for raising the Settlement Query.</w:t>
            </w:r>
          </w:p>
        </w:tc>
      </w:tr>
    </w:tbl>
    <w:p w14:paraId="24102573" w14:textId="77777777" w:rsidR="00713907" w:rsidRPr="001267B9" w:rsidRDefault="00713907" w:rsidP="00713907">
      <w:pPr>
        <w:rPr>
          <w:rFonts w:ascii="Arial" w:hAnsi="Arial" w:cs="Arial"/>
          <w:lang w:val="en-IE"/>
        </w:rPr>
      </w:pPr>
    </w:p>
    <w:p w14:paraId="24102574" w14:textId="77777777" w:rsidR="00713907" w:rsidRPr="008B0947" w:rsidRDefault="00713907" w:rsidP="00713907">
      <w:pPr>
        <w:pStyle w:val="Body1"/>
        <w:spacing w:before="120" w:after="120"/>
        <w:jc w:val="both"/>
        <w:rPr>
          <w:rFonts w:ascii="Arial" w:hAnsi="Arial" w:cs="Arial"/>
          <w:lang w:val="en-US"/>
        </w:rPr>
      </w:pPr>
      <w:r w:rsidRPr="008B0947">
        <w:rPr>
          <w:rFonts w:ascii="Arial" w:hAnsi="Arial" w:cs="Arial"/>
          <w:lang w:val="en-US"/>
        </w:rPr>
        <w:t xml:space="preserve">In addition, the date the form is received by the Market Operator must be within the </w:t>
      </w:r>
      <w:r w:rsidR="00625E8F" w:rsidRPr="008B0947">
        <w:rPr>
          <w:rFonts w:ascii="Arial" w:hAnsi="Arial" w:cs="Arial"/>
          <w:lang w:val="en-US"/>
        </w:rPr>
        <w:t>time</w:t>
      </w:r>
      <w:r w:rsidR="00625E8F">
        <w:rPr>
          <w:rFonts w:ascii="Arial" w:hAnsi="Arial" w:cs="Arial"/>
          <w:lang w:val="en-US"/>
        </w:rPr>
        <w:t>lines</w:t>
      </w:r>
      <w:r w:rsidR="00625E8F" w:rsidRPr="008B0947">
        <w:rPr>
          <w:rFonts w:ascii="Arial" w:hAnsi="Arial" w:cs="Arial"/>
          <w:lang w:val="en-US"/>
        </w:rPr>
        <w:t xml:space="preserve"> allowed</w:t>
      </w:r>
      <w:r w:rsidRPr="008B0947">
        <w:rPr>
          <w:rFonts w:ascii="Arial" w:hAnsi="Arial" w:cs="Arial"/>
          <w:lang w:val="en-US"/>
        </w:rPr>
        <w:t xml:space="preserve"> for raising the Settlement Query. </w:t>
      </w:r>
    </w:p>
    <w:p w14:paraId="24102575" w14:textId="77777777" w:rsidR="00713907" w:rsidRPr="00713907" w:rsidRDefault="00713907" w:rsidP="00625E8F">
      <w:pPr>
        <w:pStyle w:val="TOC3"/>
        <w:rPr>
          <w:lang w:val="en-US"/>
        </w:rPr>
      </w:pPr>
    </w:p>
    <w:sectPr w:rsidR="00713907" w:rsidRPr="00713907" w:rsidSect="00DD5E51">
      <w:pgSz w:w="11907" w:h="16840" w:code="9"/>
      <w:pgMar w:top="899" w:right="1440" w:bottom="1440" w:left="1134" w:header="227"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DD48" w14:textId="77777777" w:rsidR="00BB2218" w:rsidRDefault="00BB2218">
      <w:r>
        <w:separator/>
      </w:r>
    </w:p>
  </w:endnote>
  <w:endnote w:type="continuationSeparator" w:id="0">
    <w:p w14:paraId="051F333E" w14:textId="77777777" w:rsidR="00BB2218" w:rsidRDefault="00BB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257E" w14:textId="77777777" w:rsidR="00BD70AE" w:rsidRPr="00EF3036" w:rsidRDefault="00BD70AE" w:rsidP="000914BB">
    <w:pPr>
      <w:pStyle w:val="Footer"/>
      <w:pBdr>
        <w:top w:val="none" w:sz="0" w:space="0" w:color="auto"/>
      </w:pBdr>
      <w:jc w:val="center"/>
      <w:rPr>
        <w:rFonts w:ascii="Arial" w:hAnsi="Arial" w:cs="Arial"/>
        <w:sz w:val="22"/>
        <w:szCs w:val="22"/>
        <w:lang w:val="en-I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257F" w14:textId="77777777" w:rsidR="00BD70AE" w:rsidRPr="00EF3036" w:rsidRDefault="00BD70AE" w:rsidP="00EF3036">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2581" w14:textId="77777777" w:rsidR="00F06FFD" w:rsidRPr="00EF3036" w:rsidRDefault="00F06FFD" w:rsidP="000914BB">
    <w:pPr>
      <w:pStyle w:val="Footer"/>
      <w:pBdr>
        <w:top w:val="none" w:sz="0" w:space="0" w:color="auto"/>
      </w:pBdr>
      <w:jc w:val="center"/>
      <w:rPr>
        <w:rFonts w:ascii="Arial" w:hAnsi="Arial" w:cs="Arial"/>
        <w:sz w:val="22"/>
        <w:szCs w:val="22"/>
        <w:lang w:val="en-IE"/>
      </w:rPr>
    </w:pPr>
    <w:r w:rsidRPr="00EF3036">
      <w:rPr>
        <w:rFonts w:ascii="Arial" w:hAnsi="Arial" w:cs="Arial"/>
        <w:sz w:val="22"/>
        <w:szCs w:val="22"/>
        <w:lang w:val="en-IE"/>
      </w:rPr>
      <w:t>AP13</w:t>
    </w:r>
    <w:r>
      <w:t xml:space="preserve"> – </w:t>
    </w:r>
    <w:r w:rsidR="00AA2DEF" w:rsidRPr="00EF3036">
      <w:rPr>
        <w:rStyle w:val="PageNumber"/>
        <w:rFonts w:ascii="Arial" w:hAnsi="Arial" w:cs="Arial"/>
        <w:sz w:val="22"/>
        <w:szCs w:val="22"/>
      </w:rPr>
      <w:fldChar w:fldCharType="begin"/>
    </w:r>
    <w:r w:rsidRPr="00EF3036">
      <w:rPr>
        <w:rStyle w:val="PageNumber"/>
        <w:rFonts w:ascii="Arial" w:hAnsi="Arial" w:cs="Arial"/>
        <w:sz w:val="22"/>
        <w:szCs w:val="22"/>
      </w:rPr>
      <w:instrText xml:space="preserve"> PAGE </w:instrText>
    </w:r>
    <w:r w:rsidR="00AA2DEF" w:rsidRPr="00EF3036">
      <w:rPr>
        <w:rStyle w:val="PageNumber"/>
        <w:rFonts w:ascii="Arial" w:hAnsi="Arial" w:cs="Arial"/>
        <w:sz w:val="22"/>
        <w:szCs w:val="22"/>
      </w:rPr>
      <w:fldChar w:fldCharType="separate"/>
    </w:r>
    <w:r w:rsidR="003E5550">
      <w:rPr>
        <w:rStyle w:val="PageNumber"/>
        <w:rFonts w:ascii="Arial" w:hAnsi="Arial" w:cs="Arial"/>
        <w:noProof/>
        <w:sz w:val="22"/>
        <w:szCs w:val="22"/>
      </w:rPr>
      <w:t>12</w:t>
    </w:r>
    <w:r w:rsidR="00AA2DEF" w:rsidRPr="00EF3036">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7BA1" w14:textId="77777777" w:rsidR="00BB2218" w:rsidRDefault="00BB2218">
      <w:r>
        <w:separator/>
      </w:r>
    </w:p>
  </w:footnote>
  <w:footnote w:type="continuationSeparator" w:id="0">
    <w:p w14:paraId="7C0BEB3F" w14:textId="77777777" w:rsidR="00BB2218" w:rsidRDefault="00BB2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2580" w14:textId="77777777" w:rsidR="00BD70AE" w:rsidRPr="008B0947" w:rsidRDefault="00BD70AE" w:rsidP="008B0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2582" w14:textId="77777777" w:rsidR="00BD70AE" w:rsidRPr="00EF3036" w:rsidRDefault="00BD70AE" w:rsidP="00EF3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EFC18E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8F2AC1C2"/>
    <w:lvl w:ilvl="0">
      <w:start w:val="1"/>
      <w:numFmt w:val="decimal"/>
      <w:pStyle w:val="ListNumber"/>
      <w:lvlText w:val="%1."/>
      <w:lvlJc w:val="left"/>
      <w:pPr>
        <w:tabs>
          <w:tab w:val="num" w:pos="1074"/>
        </w:tabs>
        <w:ind w:left="1074" w:hanging="360"/>
      </w:pPr>
      <w:rPr>
        <w:rFonts w:hint="default"/>
      </w:rPr>
    </w:lvl>
    <w:lvl w:ilvl="1">
      <w:start w:val="1"/>
      <w:numFmt w:val="lowerLetter"/>
      <w:lvlText w:val="%2."/>
      <w:lvlJc w:val="left"/>
      <w:pPr>
        <w:tabs>
          <w:tab w:val="num" w:pos="1794"/>
        </w:tabs>
        <w:ind w:left="1794" w:hanging="360"/>
      </w:pPr>
      <w:rPr>
        <w:rFonts w:hint="default"/>
      </w:rPr>
    </w:lvl>
    <w:lvl w:ilvl="2" w:tentative="1">
      <w:start w:val="1"/>
      <w:numFmt w:val="lowerRoman"/>
      <w:lvlText w:val="%3."/>
      <w:lvlJc w:val="right"/>
      <w:pPr>
        <w:tabs>
          <w:tab w:val="num" w:pos="2514"/>
        </w:tabs>
        <w:ind w:left="2514" w:hanging="180"/>
      </w:pPr>
    </w:lvl>
    <w:lvl w:ilvl="3" w:tentative="1">
      <w:start w:val="1"/>
      <w:numFmt w:val="decimal"/>
      <w:lvlText w:val="%4."/>
      <w:lvlJc w:val="left"/>
      <w:pPr>
        <w:tabs>
          <w:tab w:val="num" w:pos="3234"/>
        </w:tabs>
        <w:ind w:left="3234" w:hanging="360"/>
      </w:pPr>
    </w:lvl>
    <w:lvl w:ilvl="4" w:tentative="1">
      <w:start w:val="1"/>
      <w:numFmt w:val="lowerLetter"/>
      <w:lvlText w:val="%5."/>
      <w:lvlJc w:val="left"/>
      <w:pPr>
        <w:tabs>
          <w:tab w:val="num" w:pos="3954"/>
        </w:tabs>
        <w:ind w:left="3954" w:hanging="360"/>
      </w:pPr>
    </w:lvl>
    <w:lvl w:ilvl="5" w:tentative="1">
      <w:start w:val="1"/>
      <w:numFmt w:val="lowerRoman"/>
      <w:lvlText w:val="%6."/>
      <w:lvlJc w:val="right"/>
      <w:pPr>
        <w:tabs>
          <w:tab w:val="num" w:pos="4674"/>
        </w:tabs>
        <w:ind w:left="4674" w:hanging="180"/>
      </w:pPr>
    </w:lvl>
    <w:lvl w:ilvl="6" w:tentative="1">
      <w:start w:val="1"/>
      <w:numFmt w:val="decimal"/>
      <w:lvlText w:val="%7."/>
      <w:lvlJc w:val="left"/>
      <w:pPr>
        <w:tabs>
          <w:tab w:val="num" w:pos="5394"/>
        </w:tabs>
        <w:ind w:left="5394" w:hanging="360"/>
      </w:pPr>
    </w:lvl>
    <w:lvl w:ilvl="7" w:tentative="1">
      <w:start w:val="1"/>
      <w:numFmt w:val="lowerLetter"/>
      <w:lvlText w:val="%8."/>
      <w:lvlJc w:val="left"/>
      <w:pPr>
        <w:tabs>
          <w:tab w:val="num" w:pos="6114"/>
        </w:tabs>
        <w:ind w:left="6114" w:hanging="360"/>
      </w:pPr>
    </w:lvl>
    <w:lvl w:ilvl="8" w:tentative="1">
      <w:start w:val="1"/>
      <w:numFmt w:val="lowerRoman"/>
      <w:lvlText w:val="%9."/>
      <w:lvlJc w:val="right"/>
      <w:pPr>
        <w:tabs>
          <w:tab w:val="num" w:pos="6834"/>
        </w:tabs>
        <w:ind w:left="6834" w:hanging="180"/>
      </w:pPr>
    </w:lvl>
  </w:abstractNum>
  <w:abstractNum w:abstractNumId="2" w15:restartNumberingAfterBreak="0">
    <w:nsid w:val="0BC41C01"/>
    <w:multiLevelType w:val="hybridMultilevel"/>
    <w:tmpl w:val="C06C6172"/>
    <w:lvl w:ilvl="0" w:tplc="31CE14B6">
      <w:start w:val="1"/>
      <w:numFmt w:val="decimal"/>
      <w:lvlText w:val="%1"/>
      <w:lvlJc w:val="left"/>
      <w:pPr>
        <w:ind w:left="720" w:hanging="360"/>
      </w:pPr>
      <w:rPr>
        <w:rFonts w:ascii="Arial Bold" w:hAnsi="Arial Bold" w:hint="default"/>
        <w:b/>
        <w:i w:val="0"/>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72B038D"/>
    <w:multiLevelType w:val="multilevel"/>
    <w:tmpl w:val="3CE217B8"/>
    <w:lvl w:ilvl="0">
      <w:start w:val="1"/>
      <w:numFmt w:val="decimal"/>
      <w:lvlText w:val="%1."/>
      <w:lvlJc w:val="left"/>
      <w:pPr>
        <w:tabs>
          <w:tab w:val="num" w:pos="851"/>
        </w:tabs>
        <w:ind w:left="851" w:hanging="851"/>
      </w:pPr>
      <w:rPr>
        <w:rFonts w:ascii="Arial" w:hAnsi="Arial" w:hint="default"/>
        <w:b/>
        <w:i w:val="0"/>
        <w:sz w:val="28"/>
        <w:szCs w:val="28"/>
      </w:rPr>
    </w:lvl>
    <w:lvl w:ilvl="1">
      <w:start w:val="1"/>
      <w:numFmt w:val="decimal"/>
      <w:lvlText w:val="%1.%2"/>
      <w:lvlJc w:val="left"/>
      <w:pPr>
        <w:tabs>
          <w:tab w:val="num" w:pos="851"/>
        </w:tabs>
        <w:ind w:left="851" w:hanging="851"/>
      </w:pPr>
      <w:rPr>
        <w:rFonts w:ascii="Arial" w:hAnsi="Arial" w:hint="default"/>
        <w:b/>
        <w:i w:val="0"/>
        <w:sz w:val="24"/>
        <w:szCs w:val="24"/>
      </w:rPr>
    </w:lvl>
    <w:lvl w:ilvl="2">
      <w:start w:val="1"/>
      <w:numFmt w:val="decimal"/>
      <w:pStyle w:val="APHeading3"/>
      <w:lvlText w:val="%1.%2.%3"/>
      <w:lvlJc w:val="left"/>
      <w:pPr>
        <w:tabs>
          <w:tab w:val="num" w:pos="851"/>
        </w:tabs>
        <w:ind w:left="851" w:hanging="851"/>
      </w:pPr>
      <w:rPr>
        <w:rFonts w:ascii="Arial" w:hAnsi="Arial" w:hint="default"/>
        <w:b w:val="0"/>
        <w:i/>
        <w:color w:val="00000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31646E"/>
    <w:multiLevelType w:val="hybridMultilevel"/>
    <w:tmpl w:val="5C7A2A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E7F7F0F"/>
    <w:multiLevelType w:val="hybridMultilevel"/>
    <w:tmpl w:val="603688BC"/>
    <w:lvl w:ilvl="0" w:tplc="D368C4F2">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F062899"/>
    <w:multiLevelType w:val="hybridMultilevel"/>
    <w:tmpl w:val="AD785C00"/>
    <w:lvl w:ilvl="0" w:tplc="3B720570">
      <w:start w:val="1"/>
      <w:numFmt w:val="decimal"/>
      <w:pStyle w:val="Number1"/>
      <w:lvlText w:val="%1."/>
      <w:lvlJc w:val="left"/>
      <w:pPr>
        <w:tabs>
          <w:tab w:val="num" w:pos="709"/>
        </w:tabs>
        <w:ind w:left="709" w:hanging="425"/>
      </w:pPr>
      <w:rPr>
        <w:rFonts w:hint="default"/>
      </w:rPr>
    </w:lvl>
    <w:lvl w:ilvl="1" w:tplc="DCD6826A" w:tentative="1">
      <w:start w:val="1"/>
      <w:numFmt w:val="lowerLetter"/>
      <w:lvlText w:val="%2."/>
      <w:lvlJc w:val="left"/>
      <w:pPr>
        <w:tabs>
          <w:tab w:val="num" w:pos="1440"/>
        </w:tabs>
        <w:ind w:left="1440" w:hanging="360"/>
      </w:pPr>
    </w:lvl>
    <w:lvl w:ilvl="2" w:tplc="A3C8C8DA" w:tentative="1">
      <w:start w:val="1"/>
      <w:numFmt w:val="lowerRoman"/>
      <w:lvlText w:val="%3."/>
      <w:lvlJc w:val="right"/>
      <w:pPr>
        <w:tabs>
          <w:tab w:val="num" w:pos="2160"/>
        </w:tabs>
        <w:ind w:left="2160" w:hanging="180"/>
      </w:pPr>
    </w:lvl>
    <w:lvl w:ilvl="3" w:tplc="EC6EDFD6" w:tentative="1">
      <w:start w:val="1"/>
      <w:numFmt w:val="decimal"/>
      <w:lvlText w:val="%4."/>
      <w:lvlJc w:val="left"/>
      <w:pPr>
        <w:tabs>
          <w:tab w:val="num" w:pos="2880"/>
        </w:tabs>
        <w:ind w:left="2880" w:hanging="360"/>
      </w:pPr>
    </w:lvl>
    <w:lvl w:ilvl="4" w:tplc="C9544298" w:tentative="1">
      <w:start w:val="1"/>
      <w:numFmt w:val="lowerLetter"/>
      <w:lvlText w:val="%5."/>
      <w:lvlJc w:val="left"/>
      <w:pPr>
        <w:tabs>
          <w:tab w:val="num" w:pos="3600"/>
        </w:tabs>
        <w:ind w:left="3600" w:hanging="360"/>
      </w:pPr>
    </w:lvl>
    <w:lvl w:ilvl="5" w:tplc="2D9891AA" w:tentative="1">
      <w:start w:val="1"/>
      <w:numFmt w:val="lowerRoman"/>
      <w:lvlText w:val="%6."/>
      <w:lvlJc w:val="right"/>
      <w:pPr>
        <w:tabs>
          <w:tab w:val="num" w:pos="4320"/>
        </w:tabs>
        <w:ind w:left="4320" w:hanging="180"/>
      </w:pPr>
    </w:lvl>
    <w:lvl w:ilvl="6" w:tplc="C948662E" w:tentative="1">
      <w:start w:val="1"/>
      <w:numFmt w:val="decimal"/>
      <w:lvlText w:val="%7."/>
      <w:lvlJc w:val="left"/>
      <w:pPr>
        <w:tabs>
          <w:tab w:val="num" w:pos="5040"/>
        </w:tabs>
        <w:ind w:left="5040" w:hanging="360"/>
      </w:pPr>
    </w:lvl>
    <w:lvl w:ilvl="7" w:tplc="4AEA5ACE" w:tentative="1">
      <w:start w:val="1"/>
      <w:numFmt w:val="lowerLetter"/>
      <w:lvlText w:val="%8."/>
      <w:lvlJc w:val="left"/>
      <w:pPr>
        <w:tabs>
          <w:tab w:val="num" w:pos="5760"/>
        </w:tabs>
        <w:ind w:left="5760" w:hanging="360"/>
      </w:pPr>
    </w:lvl>
    <w:lvl w:ilvl="8" w:tplc="F8D2479C" w:tentative="1">
      <w:start w:val="1"/>
      <w:numFmt w:val="lowerRoman"/>
      <w:lvlText w:val="%9."/>
      <w:lvlJc w:val="right"/>
      <w:pPr>
        <w:tabs>
          <w:tab w:val="num" w:pos="6480"/>
        </w:tabs>
        <w:ind w:left="6480" w:hanging="180"/>
      </w:pPr>
    </w:lvl>
  </w:abstractNum>
  <w:abstractNum w:abstractNumId="7" w15:restartNumberingAfterBreak="0">
    <w:nsid w:val="33F04BBA"/>
    <w:multiLevelType w:val="hybridMultilevel"/>
    <w:tmpl w:val="DB642D40"/>
    <w:lvl w:ilvl="0" w:tplc="D368C4F2">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8C812FB"/>
    <w:multiLevelType w:val="hybridMultilevel"/>
    <w:tmpl w:val="92601770"/>
    <w:lvl w:ilvl="0" w:tplc="D368C4F2">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A87FBF"/>
    <w:multiLevelType w:val="hybridMultilevel"/>
    <w:tmpl w:val="BC325FBC"/>
    <w:lvl w:ilvl="0" w:tplc="5770F32C">
      <w:start w:val="1"/>
      <w:numFmt w:val="decimal"/>
      <w:lvlText w:val="%1."/>
      <w:lvlJc w:val="left"/>
      <w:pPr>
        <w:tabs>
          <w:tab w:val="num" w:pos="709"/>
        </w:tabs>
        <w:ind w:left="709" w:hanging="425"/>
      </w:pPr>
      <w:rPr>
        <w:rFonts w:hint="default"/>
      </w:rPr>
    </w:lvl>
    <w:lvl w:ilvl="1" w:tplc="7E12D60C">
      <w:start w:val="1"/>
      <w:numFmt w:val="lowerLetter"/>
      <w:pStyle w:val="Number2"/>
      <w:lvlText w:val="%2."/>
      <w:lvlJc w:val="left"/>
      <w:pPr>
        <w:tabs>
          <w:tab w:val="num" w:pos="1276"/>
        </w:tabs>
        <w:ind w:left="1276" w:hanging="425"/>
      </w:pPr>
      <w:rPr>
        <w:rFonts w:hint="default"/>
      </w:rPr>
    </w:lvl>
    <w:lvl w:ilvl="2" w:tplc="24506966" w:tentative="1">
      <w:start w:val="1"/>
      <w:numFmt w:val="lowerRoman"/>
      <w:lvlText w:val="%3."/>
      <w:lvlJc w:val="right"/>
      <w:pPr>
        <w:tabs>
          <w:tab w:val="num" w:pos="2160"/>
        </w:tabs>
        <w:ind w:left="2160" w:hanging="180"/>
      </w:pPr>
    </w:lvl>
    <w:lvl w:ilvl="3" w:tplc="CC36AEC8" w:tentative="1">
      <w:start w:val="1"/>
      <w:numFmt w:val="decimal"/>
      <w:lvlText w:val="%4."/>
      <w:lvlJc w:val="left"/>
      <w:pPr>
        <w:tabs>
          <w:tab w:val="num" w:pos="2880"/>
        </w:tabs>
        <w:ind w:left="2880" w:hanging="360"/>
      </w:pPr>
    </w:lvl>
    <w:lvl w:ilvl="4" w:tplc="B1F22CE2" w:tentative="1">
      <w:start w:val="1"/>
      <w:numFmt w:val="lowerLetter"/>
      <w:lvlText w:val="%5."/>
      <w:lvlJc w:val="left"/>
      <w:pPr>
        <w:tabs>
          <w:tab w:val="num" w:pos="3600"/>
        </w:tabs>
        <w:ind w:left="3600" w:hanging="360"/>
      </w:pPr>
    </w:lvl>
    <w:lvl w:ilvl="5" w:tplc="2C0403E2" w:tentative="1">
      <w:start w:val="1"/>
      <w:numFmt w:val="lowerRoman"/>
      <w:lvlText w:val="%6."/>
      <w:lvlJc w:val="right"/>
      <w:pPr>
        <w:tabs>
          <w:tab w:val="num" w:pos="4320"/>
        </w:tabs>
        <w:ind w:left="4320" w:hanging="180"/>
      </w:pPr>
    </w:lvl>
    <w:lvl w:ilvl="6" w:tplc="4BFC94A4" w:tentative="1">
      <w:start w:val="1"/>
      <w:numFmt w:val="decimal"/>
      <w:lvlText w:val="%7."/>
      <w:lvlJc w:val="left"/>
      <w:pPr>
        <w:tabs>
          <w:tab w:val="num" w:pos="5040"/>
        </w:tabs>
        <w:ind w:left="5040" w:hanging="360"/>
      </w:pPr>
    </w:lvl>
    <w:lvl w:ilvl="7" w:tplc="BEEE59A0" w:tentative="1">
      <w:start w:val="1"/>
      <w:numFmt w:val="lowerLetter"/>
      <w:lvlText w:val="%8."/>
      <w:lvlJc w:val="left"/>
      <w:pPr>
        <w:tabs>
          <w:tab w:val="num" w:pos="5760"/>
        </w:tabs>
        <w:ind w:left="5760" w:hanging="360"/>
      </w:pPr>
    </w:lvl>
    <w:lvl w:ilvl="8" w:tplc="D99A9C24" w:tentative="1">
      <w:start w:val="1"/>
      <w:numFmt w:val="lowerRoman"/>
      <w:lvlText w:val="%9."/>
      <w:lvlJc w:val="right"/>
      <w:pPr>
        <w:tabs>
          <w:tab w:val="num" w:pos="6480"/>
        </w:tabs>
        <w:ind w:left="6480" w:hanging="180"/>
      </w:pPr>
    </w:lvl>
  </w:abstractNum>
  <w:abstractNum w:abstractNumId="10" w15:restartNumberingAfterBreak="0">
    <w:nsid w:val="4F1178FC"/>
    <w:multiLevelType w:val="hybridMultilevel"/>
    <w:tmpl w:val="825C7E32"/>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B73217E"/>
    <w:multiLevelType w:val="hybridMultilevel"/>
    <w:tmpl w:val="3202C840"/>
    <w:lvl w:ilvl="0" w:tplc="99DE42B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063422"/>
    <w:multiLevelType w:val="hybridMultilevel"/>
    <w:tmpl w:val="05FCD49A"/>
    <w:lvl w:ilvl="0" w:tplc="D368C4F2">
      <w:start w:val="1"/>
      <w:numFmt w:val="lowerLetter"/>
      <w:lvlText w:val="(%1)"/>
      <w:lvlJc w:val="left"/>
      <w:pPr>
        <w:ind w:left="1080" w:hanging="72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F0B02CB"/>
    <w:multiLevelType w:val="hybridMultilevel"/>
    <w:tmpl w:val="C3D6986C"/>
    <w:lvl w:ilvl="0" w:tplc="D368C4F2">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3AC125F"/>
    <w:multiLevelType w:val="multilevel"/>
    <w:tmpl w:val="29C24A8A"/>
    <w:lvl w:ilvl="0">
      <w:start w:val="10"/>
      <w:numFmt w:val="decimal"/>
      <w:pStyle w:val="CERAPPENDIXHEADING1"/>
      <w:suff w:val="space"/>
      <w:lvlText w:val="Agreed Procedure %1: "/>
      <w:lvlJc w:val="center"/>
      <w:pPr>
        <w:ind w:left="0" w:firstLine="1758"/>
      </w:pPr>
      <w:rPr>
        <w:rFonts w:ascii="Arial" w:hAnsi="Arial" w:hint="default"/>
        <w:b/>
        <w:i w:val="0"/>
        <w:caps/>
        <w:strike w:val="0"/>
        <w:dstrike w:val="0"/>
        <w:vanish w:val="0"/>
        <w:color w:val="auto"/>
        <w:sz w:val="28"/>
        <w:vertAlign w:val="baseline"/>
      </w:rPr>
    </w:lvl>
    <w:lvl w:ilvl="1">
      <w:start w:val="1"/>
      <w:numFmt w:val="decimal"/>
      <w:pStyle w:val="CERAPPENDIXBODY"/>
      <w:lvlText w:val="AP%1.%2"/>
      <w:lvlJc w:val="left"/>
      <w:pPr>
        <w:tabs>
          <w:tab w:val="num" w:pos="709"/>
        </w:tabs>
        <w:ind w:left="709" w:hanging="709"/>
      </w:pPr>
      <w:rPr>
        <w:rFonts w:ascii="Arial" w:hAnsi="Arial" w:hint="default"/>
        <w:b w:val="0"/>
        <w:i w:val="0"/>
        <w:caps w:val="0"/>
        <w:strike w:val="0"/>
        <w:dstrike w:val="0"/>
        <w:vanish w:val="0"/>
        <w:color w:val="000000"/>
        <w:sz w:val="22"/>
        <w:vertAlign w:val="baseline"/>
      </w:rPr>
    </w:lvl>
    <w:lvl w:ilvl="2">
      <w:start w:val="1"/>
      <w:numFmt w:val="decimal"/>
      <w:lvlText w:val="AP%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15" w15:restartNumberingAfterBreak="0">
    <w:nsid w:val="6D2148DE"/>
    <w:multiLevelType w:val="hybridMultilevel"/>
    <w:tmpl w:val="1932E274"/>
    <w:lvl w:ilvl="0" w:tplc="100600F0">
      <w:start w:val="1"/>
      <w:numFmt w:val="bullet"/>
      <w:pStyle w:val="Bullet1"/>
      <w:lvlText w:val=""/>
      <w:lvlJc w:val="left"/>
      <w:pPr>
        <w:tabs>
          <w:tab w:val="num" w:pos="709"/>
        </w:tabs>
        <w:ind w:left="709" w:hanging="425"/>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324DFC"/>
    <w:multiLevelType w:val="hybridMultilevel"/>
    <w:tmpl w:val="DEC6016C"/>
    <w:lvl w:ilvl="0" w:tplc="0A2451F2">
      <w:start w:val="1"/>
      <w:numFmt w:val="decimal"/>
      <w:pStyle w:val="CERBULLET"/>
      <w:lvlText w:val="%1."/>
      <w:lvlJc w:val="left"/>
      <w:pPr>
        <w:tabs>
          <w:tab w:val="num" w:pos="1418"/>
        </w:tabs>
        <w:ind w:left="1418" w:hanging="567"/>
      </w:pPr>
      <w:rPr>
        <w:rFonts w:ascii="Arial" w:hAnsi="Arial" w:hint="default"/>
        <w:b w:val="0"/>
        <w:i w:val="0"/>
        <w:sz w:val="22"/>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6E01B6"/>
    <w:multiLevelType w:val="multilevel"/>
    <w:tmpl w:val="70CA4EC8"/>
    <w:lvl w:ilvl="0">
      <w:start w:val="1"/>
      <w:numFmt w:val="decimal"/>
      <w:pStyle w:val="CERHEADING1"/>
      <w:isLgl/>
      <w:lvlText w:val="%1."/>
      <w:lvlJc w:val="center"/>
      <w:pPr>
        <w:tabs>
          <w:tab w:val="num" w:pos="369"/>
        </w:tabs>
        <w:ind w:left="369" w:hanging="369"/>
      </w:pPr>
      <w:rPr>
        <w:rFonts w:hint="default"/>
      </w:rPr>
    </w:lvl>
    <w:lvl w:ilvl="1">
      <w:start w:val="1"/>
      <w:numFmt w:val="decimal"/>
      <w:pStyle w:val="CERBODY"/>
      <w:isLgl/>
      <w:lvlText w:val="%1.%2"/>
      <w:lvlJc w:val="left"/>
      <w:pPr>
        <w:tabs>
          <w:tab w:val="num" w:pos="1031"/>
        </w:tabs>
        <w:ind w:left="1031" w:hanging="851"/>
      </w:pPr>
      <w:rPr>
        <w:rFonts w:hint="default"/>
        <w:b w:val="0"/>
        <w:i w:val="0"/>
      </w:rPr>
    </w:lvl>
    <w:lvl w:ilvl="2">
      <w:start w:val="1"/>
      <w:numFmt w:val="decimal"/>
      <w:isLgl/>
      <w:lvlText w:val="%3."/>
      <w:lvlJc w:val="left"/>
      <w:pPr>
        <w:tabs>
          <w:tab w:val="num" w:pos="851"/>
        </w:tabs>
        <w:ind w:left="851" w:hanging="851"/>
      </w:pPr>
      <w:rPr>
        <w:rFonts w:ascii="Arial" w:eastAsia="Times New Roman" w:hAnsi="Arial" w:cs="Arial" w:hint="default"/>
      </w:rPr>
    </w:lvl>
    <w:lvl w:ilvl="3">
      <w:start w:val="1"/>
      <w:numFmt w:val="decimal"/>
      <w:isLgl/>
      <w:lvlText w:val="%1.%2.%3.%4"/>
      <w:lvlJc w:val="left"/>
      <w:pPr>
        <w:tabs>
          <w:tab w:val="num" w:pos="1134"/>
        </w:tabs>
        <w:ind w:left="1134" w:hanging="1134"/>
      </w:pPr>
      <w:rPr>
        <w:rFonts w:hint="default"/>
      </w:rPr>
    </w:lvl>
    <w:lvl w:ilvl="4">
      <w:start w:val="1"/>
      <w:numFmt w:val="decimal"/>
      <w:isLgl/>
      <w:lvlText w:val="%1.%2.%3.%4.%5"/>
      <w:lvlJc w:val="left"/>
      <w:pPr>
        <w:tabs>
          <w:tab w:val="num" w:pos="3609"/>
        </w:tabs>
        <w:ind w:left="3609" w:hanging="1080"/>
      </w:pPr>
      <w:rPr>
        <w:rFonts w:hint="default"/>
      </w:rPr>
    </w:lvl>
    <w:lvl w:ilvl="5">
      <w:start w:val="1"/>
      <w:numFmt w:val="decimal"/>
      <w:isLgl/>
      <w:lvlText w:val="%1.%2.%3.%4.%5.%6"/>
      <w:lvlJc w:val="left"/>
      <w:pPr>
        <w:tabs>
          <w:tab w:val="num" w:pos="4329"/>
        </w:tabs>
        <w:ind w:left="4329" w:hanging="1080"/>
      </w:pPr>
      <w:rPr>
        <w:rFonts w:hint="default"/>
      </w:rPr>
    </w:lvl>
    <w:lvl w:ilvl="6">
      <w:start w:val="1"/>
      <w:numFmt w:val="decimal"/>
      <w:isLgl/>
      <w:lvlText w:val="%1.%2.%3.%4.%5.%6.%7"/>
      <w:lvlJc w:val="left"/>
      <w:pPr>
        <w:tabs>
          <w:tab w:val="num" w:pos="5409"/>
        </w:tabs>
        <w:ind w:left="5409" w:hanging="1440"/>
      </w:pPr>
      <w:rPr>
        <w:rFonts w:hint="default"/>
      </w:rPr>
    </w:lvl>
    <w:lvl w:ilvl="7">
      <w:start w:val="1"/>
      <w:numFmt w:val="decimal"/>
      <w:isLgl/>
      <w:lvlText w:val="%1.%2.%3.%4.%5.%6.%7.%8"/>
      <w:lvlJc w:val="left"/>
      <w:pPr>
        <w:tabs>
          <w:tab w:val="num" w:pos="6129"/>
        </w:tabs>
        <w:ind w:left="6129" w:hanging="1440"/>
      </w:pPr>
      <w:rPr>
        <w:rFonts w:hint="default"/>
      </w:rPr>
    </w:lvl>
    <w:lvl w:ilvl="8">
      <w:start w:val="1"/>
      <w:numFmt w:val="decimal"/>
      <w:isLgl/>
      <w:lvlText w:val="%1.%2.%3.%4.%5.%6.%7.%8.%9"/>
      <w:lvlJc w:val="left"/>
      <w:pPr>
        <w:tabs>
          <w:tab w:val="num" w:pos="7209"/>
        </w:tabs>
        <w:ind w:left="7209" w:hanging="1800"/>
      </w:pPr>
      <w:rPr>
        <w:rFonts w:hint="default"/>
      </w:rPr>
    </w:lvl>
  </w:abstractNum>
  <w:num w:numId="1" w16cid:durableId="220099885">
    <w:abstractNumId w:val="9"/>
  </w:num>
  <w:num w:numId="2" w16cid:durableId="269974878">
    <w:abstractNumId w:val="6"/>
  </w:num>
  <w:num w:numId="3" w16cid:durableId="725832659">
    <w:abstractNumId w:val="15"/>
  </w:num>
  <w:num w:numId="4" w16cid:durableId="517085018">
    <w:abstractNumId w:val="16"/>
  </w:num>
  <w:num w:numId="5" w16cid:durableId="1468010948">
    <w:abstractNumId w:val="14"/>
  </w:num>
  <w:num w:numId="6" w16cid:durableId="777718685">
    <w:abstractNumId w:val="17"/>
  </w:num>
  <w:num w:numId="7" w16cid:durableId="290525595">
    <w:abstractNumId w:val="1"/>
  </w:num>
  <w:num w:numId="8" w16cid:durableId="2066492048">
    <w:abstractNumId w:val="0"/>
  </w:num>
  <w:num w:numId="9" w16cid:durableId="1233738420">
    <w:abstractNumId w:val="3"/>
  </w:num>
  <w:num w:numId="10" w16cid:durableId="1678265884">
    <w:abstractNumId w:val="11"/>
  </w:num>
  <w:num w:numId="11" w16cid:durableId="346256796">
    <w:abstractNumId w:val="10"/>
  </w:num>
  <w:num w:numId="12" w16cid:durableId="1305429159">
    <w:abstractNumId w:val="12"/>
  </w:num>
  <w:num w:numId="13" w16cid:durableId="687371853">
    <w:abstractNumId w:val="4"/>
  </w:num>
  <w:num w:numId="14" w16cid:durableId="731662009">
    <w:abstractNumId w:val="2"/>
  </w:num>
  <w:num w:numId="15" w16cid:durableId="2006780597">
    <w:abstractNumId w:val="7"/>
  </w:num>
  <w:num w:numId="16" w16cid:durableId="1477063884">
    <w:abstractNumId w:val="5"/>
  </w:num>
  <w:num w:numId="17" w16cid:durableId="1811095360">
    <w:abstractNumId w:val="8"/>
  </w:num>
  <w:num w:numId="18" w16cid:durableId="185869353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357"/>
  <w:clickAndTypeStyle w:val="TOC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26"/>
    <w:rsid w:val="00000ED6"/>
    <w:rsid w:val="000011CB"/>
    <w:rsid w:val="00002BB0"/>
    <w:rsid w:val="00002D1E"/>
    <w:rsid w:val="000033B7"/>
    <w:rsid w:val="00007971"/>
    <w:rsid w:val="00007DA5"/>
    <w:rsid w:val="00010053"/>
    <w:rsid w:val="0001235E"/>
    <w:rsid w:val="00015D4C"/>
    <w:rsid w:val="00017E44"/>
    <w:rsid w:val="00020D4C"/>
    <w:rsid w:val="00021636"/>
    <w:rsid w:val="00021D5A"/>
    <w:rsid w:val="0002349D"/>
    <w:rsid w:val="00025C0E"/>
    <w:rsid w:val="00026584"/>
    <w:rsid w:val="00031839"/>
    <w:rsid w:val="0003194A"/>
    <w:rsid w:val="00031FFA"/>
    <w:rsid w:val="00033D08"/>
    <w:rsid w:val="00033FB1"/>
    <w:rsid w:val="00034A39"/>
    <w:rsid w:val="00035FE4"/>
    <w:rsid w:val="000375E6"/>
    <w:rsid w:val="0004160A"/>
    <w:rsid w:val="00043CDF"/>
    <w:rsid w:val="00043FE5"/>
    <w:rsid w:val="00045A2A"/>
    <w:rsid w:val="00045F0E"/>
    <w:rsid w:val="00046721"/>
    <w:rsid w:val="00046B5F"/>
    <w:rsid w:val="0004798E"/>
    <w:rsid w:val="000502E0"/>
    <w:rsid w:val="00051AB1"/>
    <w:rsid w:val="00051D5D"/>
    <w:rsid w:val="00053774"/>
    <w:rsid w:val="000546DA"/>
    <w:rsid w:val="00055EB8"/>
    <w:rsid w:val="0005654A"/>
    <w:rsid w:val="00056ED0"/>
    <w:rsid w:val="00057322"/>
    <w:rsid w:val="00057386"/>
    <w:rsid w:val="000578DC"/>
    <w:rsid w:val="0006103E"/>
    <w:rsid w:val="00061E05"/>
    <w:rsid w:val="00062752"/>
    <w:rsid w:val="00063F0F"/>
    <w:rsid w:val="00064890"/>
    <w:rsid w:val="0006617E"/>
    <w:rsid w:val="00067A02"/>
    <w:rsid w:val="00067B27"/>
    <w:rsid w:val="00070291"/>
    <w:rsid w:val="000721AD"/>
    <w:rsid w:val="00073295"/>
    <w:rsid w:val="00074B19"/>
    <w:rsid w:val="00074B43"/>
    <w:rsid w:val="00075583"/>
    <w:rsid w:val="00077F5A"/>
    <w:rsid w:val="0008045B"/>
    <w:rsid w:val="00081AFD"/>
    <w:rsid w:val="00082475"/>
    <w:rsid w:val="00083354"/>
    <w:rsid w:val="00084318"/>
    <w:rsid w:val="0008447B"/>
    <w:rsid w:val="0008466E"/>
    <w:rsid w:val="00085AC2"/>
    <w:rsid w:val="00085ECD"/>
    <w:rsid w:val="0008720E"/>
    <w:rsid w:val="000877BA"/>
    <w:rsid w:val="00087DC7"/>
    <w:rsid w:val="0009039D"/>
    <w:rsid w:val="00091171"/>
    <w:rsid w:val="000914BB"/>
    <w:rsid w:val="00094DE6"/>
    <w:rsid w:val="00097649"/>
    <w:rsid w:val="000A0E07"/>
    <w:rsid w:val="000A1F72"/>
    <w:rsid w:val="000A2B5B"/>
    <w:rsid w:val="000A37E1"/>
    <w:rsid w:val="000A3A32"/>
    <w:rsid w:val="000A462E"/>
    <w:rsid w:val="000A77D4"/>
    <w:rsid w:val="000B162A"/>
    <w:rsid w:val="000B2DCE"/>
    <w:rsid w:val="000B3B7F"/>
    <w:rsid w:val="000B5F20"/>
    <w:rsid w:val="000B6214"/>
    <w:rsid w:val="000B647A"/>
    <w:rsid w:val="000B68E9"/>
    <w:rsid w:val="000B7C80"/>
    <w:rsid w:val="000C0999"/>
    <w:rsid w:val="000C1780"/>
    <w:rsid w:val="000C29AA"/>
    <w:rsid w:val="000C3575"/>
    <w:rsid w:val="000C366A"/>
    <w:rsid w:val="000C4301"/>
    <w:rsid w:val="000C4DA8"/>
    <w:rsid w:val="000C5712"/>
    <w:rsid w:val="000C5995"/>
    <w:rsid w:val="000C71CC"/>
    <w:rsid w:val="000C7907"/>
    <w:rsid w:val="000D036F"/>
    <w:rsid w:val="000D1212"/>
    <w:rsid w:val="000D2703"/>
    <w:rsid w:val="000D291D"/>
    <w:rsid w:val="000D3BED"/>
    <w:rsid w:val="000D4DFC"/>
    <w:rsid w:val="000D54A0"/>
    <w:rsid w:val="000E0390"/>
    <w:rsid w:val="000E1D90"/>
    <w:rsid w:val="000E260F"/>
    <w:rsid w:val="000E2739"/>
    <w:rsid w:val="000E3168"/>
    <w:rsid w:val="000E37FC"/>
    <w:rsid w:val="000E399D"/>
    <w:rsid w:val="000E5276"/>
    <w:rsid w:val="000E6CE7"/>
    <w:rsid w:val="000F2125"/>
    <w:rsid w:val="000F2ED4"/>
    <w:rsid w:val="000F3D77"/>
    <w:rsid w:val="000F477B"/>
    <w:rsid w:val="000F6435"/>
    <w:rsid w:val="000F7111"/>
    <w:rsid w:val="000F7370"/>
    <w:rsid w:val="00101735"/>
    <w:rsid w:val="00102E3A"/>
    <w:rsid w:val="00102EAC"/>
    <w:rsid w:val="00103A3C"/>
    <w:rsid w:val="0010408E"/>
    <w:rsid w:val="001048CC"/>
    <w:rsid w:val="00104F26"/>
    <w:rsid w:val="001050AC"/>
    <w:rsid w:val="001054C9"/>
    <w:rsid w:val="00110B47"/>
    <w:rsid w:val="00112E29"/>
    <w:rsid w:val="001158D4"/>
    <w:rsid w:val="0011635C"/>
    <w:rsid w:val="001165EA"/>
    <w:rsid w:val="00117575"/>
    <w:rsid w:val="00117844"/>
    <w:rsid w:val="00117D1D"/>
    <w:rsid w:val="0012001F"/>
    <w:rsid w:val="00121614"/>
    <w:rsid w:val="001216D8"/>
    <w:rsid w:val="00121742"/>
    <w:rsid w:val="001218D6"/>
    <w:rsid w:val="00122218"/>
    <w:rsid w:val="00125001"/>
    <w:rsid w:val="00125A1D"/>
    <w:rsid w:val="00125F28"/>
    <w:rsid w:val="001267B9"/>
    <w:rsid w:val="0012758B"/>
    <w:rsid w:val="001308CA"/>
    <w:rsid w:val="00130EF6"/>
    <w:rsid w:val="00130F66"/>
    <w:rsid w:val="001319D1"/>
    <w:rsid w:val="00131F55"/>
    <w:rsid w:val="00134BEC"/>
    <w:rsid w:val="00135ABE"/>
    <w:rsid w:val="0013697D"/>
    <w:rsid w:val="00137055"/>
    <w:rsid w:val="001372D5"/>
    <w:rsid w:val="00137396"/>
    <w:rsid w:val="001373B1"/>
    <w:rsid w:val="001401BC"/>
    <w:rsid w:val="00141326"/>
    <w:rsid w:val="001420E0"/>
    <w:rsid w:val="0014247E"/>
    <w:rsid w:val="00142F9F"/>
    <w:rsid w:val="00143069"/>
    <w:rsid w:val="001438CB"/>
    <w:rsid w:val="001442E2"/>
    <w:rsid w:val="0014435A"/>
    <w:rsid w:val="00144AD0"/>
    <w:rsid w:val="00146841"/>
    <w:rsid w:val="001473C6"/>
    <w:rsid w:val="00151585"/>
    <w:rsid w:val="001526E0"/>
    <w:rsid w:val="001529F6"/>
    <w:rsid w:val="00153385"/>
    <w:rsid w:val="00153B49"/>
    <w:rsid w:val="0015590B"/>
    <w:rsid w:val="00155ACC"/>
    <w:rsid w:val="00155CFE"/>
    <w:rsid w:val="00157BFE"/>
    <w:rsid w:val="00160030"/>
    <w:rsid w:val="00163D49"/>
    <w:rsid w:val="00163DFC"/>
    <w:rsid w:val="00164CC4"/>
    <w:rsid w:val="001654F3"/>
    <w:rsid w:val="001662BB"/>
    <w:rsid w:val="00166548"/>
    <w:rsid w:val="00167944"/>
    <w:rsid w:val="00167E02"/>
    <w:rsid w:val="00170F78"/>
    <w:rsid w:val="0017102A"/>
    <w:rsid w:val="0017138D"/>
    <w:rsid w:val="00171E1F"/>
    <w:rsid w:val="00172685"/>
    <w:rsid w:val="0017286F"/>
    <w:rsid w:val="00173B42"/>
    <w:rsid w:val="0017559A"/>
    <w:rsid w:val="0017575D"/>
    <w:rsid w:val="0017640A"/>
    <w:rsid w:val="00176E71"/>
    <w:rsid w:val="00177A35"/>
    <w:rsid w:val="00180F33"/>
    <w:rsid w:val="00181AF9"/>
    <w:rsid w:val="00183080"/>
    <w:rsid w:val="00185EDA"/>
    <w:rsid w:val="00185F85"/>
    <w:rsid w:val="00186891"/>
    <w:rsid w:val="00187D2F"/>
    <w:rsid w:val="00187FB8"/>
    <w:rsid w:val="00190165"/>
    <w:rsid w:val="00190220"/>
    <w:rsid w:val="001911C5"/>
    <w:rsid w:val="00192F65"/>
    <w:rsid w:val="00193358"/>
    <w:rsid w:val="0019475E"/>
    <w:rsid w:val="00195263"/>
    <w:rsid w:val="00196E46"/>
    <w:rsid w:val="00197337"/>
    <w:rsid w:val="001A0393"/>
    <w:rsid w:val="001A08D4"/>
    <w:rsid w:val="001A19C8"/>
    <w:rsid w:val="001A33BD"/>
    <w:rsid w:val="001A4435"/>
    <w:rsid w:val="001A4F67"/>
    <w:rsid w:val="001A5DEE"/>
    <w:rsid w:val="001A62FF"/>
    <w:rsid w:val="001A6563"/>
    <w:rsid w:val="001A7A85"/>
    <w:rsid w:val="001B04E7"/>
    <w:rsid w:val="001B1D70"/>
    <w:rsid w:val="001B23A3"/>
    <w:rsid w:val="001B34DE"/>
    <w:rsid w:val="001B36D8"/>
    <w:rsid w:val="001B44E0"/>
    <w:rsid w:val="001B4CD5"/>
    <w:rsid w:val="001C2C77"/>
    <w:rsid w:val="001C2F49"/>
    <w:rsid w:val="001C501D"/>
    <w:rsid w:val="001C79F2"/>
    <w:rsid w:val="001C7F5F"/>
    <w:rsid w:val="001D01B5"/>
    <w:rsid w:val="001D05BB"/>
    <w:rsid w:val="001D1048"/>
    <w:rsid w:val="001D158D"/>
    <w:rsid w:val="001D29BC"/>
    <w:rsid w:val="001D3136"/>
    <w:rsid w:val="001D465F"/>
    <w:rsid w:val="001E1C5D"/>
    <w:rsid w:val="001E3467"/>
    <w:rsid w:val="001E3B4D"/>
    <w:rsid w:val="001F0498"/>
    <w:rsid w:val="001F0F1E"/>
    <w:rsid w:val="001F1286"/>
    <w:rsid w:val="001F2D03"/>
    <w:rsid w:val="001F332B"/>
    <w:rsid w:val="001F530E"/>
    <w:rsid w:val="001F6302"/>
    <w:rsid w:val="001F723C"/>
    <w:rsid w:val="001F7596"/>
    <w:rsid w:val="001F7D65"/>
    <w:rsid w:val="00202BD9"/>
    <w:rsid w:val="00203235"/>
    <w:rsid w:val="00203B89"/>
    <w:rsid w:val="00205FE1"/>
    <w:rsid w:val="00207882"/>
    <w:rsid w:val="00207DFD"/>
    <w:rsid w:val="00210989"/>
    <w:rsid w:val="002109D1"/>
    <w:rsid w:val="00210EA0"/>
    <w:rsid w:val="00211598"/>
    <w:rsid w:val="00213537"/>
    <w:rsid w:val="00220CDA"/>
    <w:rsid w:val="002210B9"/>
    <w:rsid w:val="00221135"/>
    <w:rsid w:val="002219A2"/>
    <w:rsid w:val="002226AE"/>
    <w:rsid w:val="00222BF2"/>
    <w:rsid w:val="00223337"/>
    <w:rsid w:val="00223EB6"/>
    <w:rsid w:val="00225FFF"/>
    <w:rsid w:val="0022678A"/>
    <w:rsid w:val="00226E4A"/>
    <w:rsid w:val="00230074"/>
    <w:rsid w:val="00230329"/>
    <w:rsid w:val="00232050"/>
    <w:rsid w:val="0023509B"/>
    <w:rsid w:val="00235985"/>
    <w:rsid w:val="00236148"/>
    <w:rsid w:val="00237A34"/>
    <w:rsid w:val="002412B2"/>
    <w:rsid w:val="00241E5F"/>
    <w:rsid w:val="002423C4"/>
    <w:rsid w:val="002447B2"/>
    <w:rsid w:val="002448B6"/>
    <w:rsid w:val="00245471"/>
    <w:rsid w:val="00245A3C"/>
    <w:rsid w:val="00245D3A"/>
    <w:rsid w:val="00247C38"/>
    <w:rsid w:val="0025144E"/>
    <w:rsid w:val="00251929"/>
    <w:rsid w:val="00252265"/>
    <w:rsid w:val="002562E2"/>
    <w:rsid w:val="00257150"/>
    <w:rsid w:val="00260016"/>
    <w:rsid w:val="002603C4"/>
    <w:rsid w:val="00261960"/>
    <w:rsid w:val="00261DCB"/>
    <w:rsid w:val="00262222"/>
    <w:rsid w:val="00262C64"/>
    <w:rsid w:val="00265988"/>
    <w:rsid w:val="002666E8"/>
    <w:rsid w:val="00267038"/>
    <w:rsid w:val="00267868"/>
    <w:rsid w:val="00267B14"/>
    <w:rsid w:val="00267B49"/>
    <w:rsid w:val="00271680"/>
    <w:rsid w:val="002718D6"/>
    <w:rsid w:val="00272149"/>
    <w:rsid w:val="00272D9D"/>
    <w:rsid w:val="002736A7"/>
    <w:rsid w:val="0027455E"/>
    <w:rsid w:val="00280346"/>
    <w:rsid w:val="00282088"/>
    <w:rsid w:val="002822C4"/>
    <w:rsid w:val="0028243F"/>
    <w:rsid w:val="00282E52"/>
    <w:rsid w:val="00283911"/>
    <w:rsid w:val="00283F83"/>
    <w:rsid w:val="002845E5"/>
    <w:rsid w:val="00284AA1"/>
    <w:rsid w:val="00285EF7"/>
    <w:rsid w:val="002900BD"/>
    <w:rsid w:val="00290206"/>
    <w:rsid w:val="00290D95"/>
    <w:rsid w:val="002913D3"/>
    <w:rsid w:val="00291B45"/>
    <w:rsid w:val="0029232C"/>
    <w:rsid w:val="00293F35"/>
    <w:rsid w:val="00295227"/>
    <w:rsid w:val="0029542A"/>
    <w:rsid w:val="002964ED"/>
    <w:rsid w:val="00296675"/>
    <w:rsid w:val="00297BB0"/>
    <w:rsid w:val="002A0F19"/>
    <w:rsid w:val="002A14B8"/>
    <w:rsid w:val="002A3171"/>
    <w:rsid w:val="002A3B8B"/>
    <w:rsid w:val="002A3DF0"/>
    <w:rsid w:val="002A5E80"/>
    <w:rsid w:val="002A6319"/>
    <w:rsid w:val="002A7057"/>
    <w:rsid w:val="002A72BD"/>
    <w:rsid w:val="002A7F90"/>
    <w:rsid w:val="002B0A57"/>
    <w:rsid w:val="002B18D0"/>
    <w:rsid w:val="002B206A"/>
    <w:rsid w:val="002B229F"/>
    <w:rsid w:val="002B2442"/>
    <w:rsid w:val="002B2876"/>
    <w:rsid w:val="002B2DDC"/>
    <w:rsid w:val="002B3D8F"/>
    <w:rsid w:val="002B5401"/>
    <w:rsid w:val="002B5865"/>
    <w:rsid w:val="002B601E"/>
    <w:rsid w:val="002B724F"/>
    <w:rsid w:val="002C0A4F"/>
    <w:rsid w:val="002C1309"/>
    <w:rsid w:val="002C30DD"/>
    <w:rsid w:val="002C3A68"/>
    <w:rsid w:val="002C5881"/>
    <w:rsid w:val="002C64EE"/>
    <w:rsid w:val="002C6524"/>
    <w:rsid w:val="002C7476"/>
    <w:rsid w:val="002D09D7"/>
    <w:rsid w:val="002D3DF6"/>
    <w:rsid w:val="002D4EC4"/>
    <w:rsid w:val="002D6F88"/>
    <w:rsid w:val="002E0712"/>
    <w:rsid w:val="002E16D0"/>
    <w:rsid w:val="002E1FFD"/>
    <w:rsid w:val="002E492A"/>
    <w:rsid w:val="002E4FEC"/>
    <w:rsid w:val="002E5729"/>
    <w:rsid w:val="002E64AE"/>
    <w:rsid w:val="002E7A4D"/>
    <w:rsid w:val="002F02A8"/>
    <w:rsid w:val="002F070C"/>
    <w:rsid w:val="002F11E3"/>
    <w:rsid w:val="002F1CAC"/>
    <w:rsid w:val="002F3BB4"/>
    <w:rsid w:val="002F3DCA"/>
    <w:rsid w:val="002F46B2"/>
    <w:rsid w:val="002F48A9"/>
    <w:rsid w:val="002F62F1"/>
    <w:rsid w:val="002F72A9"/>
    <w:rsid w:val="002F736F"/>
    <w:rsid w:val="002F767F"/>
    <w:rsid w:val="003008E2"/>
    <w:rsid w:val="00304F54"/>
    <w:rsid w:val="0031234C"/>
    <w:rsid w:val="00312841"/>
    <w:rsid w:val="00313552"/>
    <w:rsid w:val="0031372D"/>
    <w:rsid w:val="00315F1A"/>
    <w:rsid w:val="0031694F"/>
    <w:rsid w:val="00316A0B"/>
    <w:rsid w:val="003205CC"/>
    <w:rsid w:val="003210F3"/>
    <w:rsid w:val="00321599"/>
    <w:rsid w:val="00322155"/>
    <w:rsid w:val="00322935"/>
    <w:rsid w:val="00323B14"/>
    <w:rsid w:val="0032423E"/>
    <w:rsid w:val="003243A5"/>
    <w:rsid w:val="00326B2B"/>
    <w:rsid w:val="00331B0A"/>
    <w:rsid w:val="00332448"/>
    <w:rsid w:val="00334182"/>
    <w:rsid w:val="00334FB6"/>
    <w:rsid w:val="003355AF"/>
    <w:rsid w:val="00341FA0"/>
    <w:rsid w:val="00342D49"/>
    <w:rsid w:val="003430CC"/>
    <w:rsid w:val="003446CD"/>
    <w:rsid w:val="00344E57"/>
    <w:rsid w:val="00344EF1"/>
    <w:rsid w:val="0034510D"/>
    <w:rsid w:val="003506B4"/>
    <w:rsid w:val="00351FFD"/>
    <w:rsid w:val="00352142"/>
    <w:rsid w:val="003533F7"/>
    <w:rsid w:val="00354CF9"/>
    <w:rsid w:val="00354DE6"/>
    <w:rsid w:val="00355466"/>
    <w:rsid w:val="00356278"/>
    <w:rsid w:val="00356C47"/>
    <w:rsid w:val="0035711A"/>
    <w:rsid w:val="003604F3"/>
    <w:rsid w:val="003608BC"/>
    <w:rsid w:val="0036122E"/>
    <w:rsid w:val="0036241B"/>
    <w:rsid w:val="00362AA7"/>
    <w:rsid w:val="00363ED5"/>
    <w:rsid w:val="00364286"/>
    <w:rsid w:val="003643B4"/>
    <w:rsid w:val="003645EC"/>
    <w:rsid w:val="00364B14"/>
    <w:rsid w:val="00365E4C"/>
    <w:rsid w:val="00365F55"/>
    <w:rsid w:val="00366560"/>
    <w:rsid w:val="0036693E"/>
    <w:rsid w:val="00367B63"/>
    <w:rsid w:val="00372857"/>
    <w:rsid w:val="00372B10"/>
    <w:rsid w:val="00372BA2"/>
    <w:rsid w:val="00375E0B"/>
    <w:rsid w:val="00375E9F"/>
    <w:rsid w:val="003765DA"/>
    <w:rsid w:val="0037742E"/>
    <w:rsid w:val="00377E0C"/>
    <w:rsid w:val="00380B17"/>
    <w:rsid w:val="00382E1D"/>
    <w:rsid w:val="00383F6D"/>
    <w:rsid w:val="00384437"/>
    <w:rsid w:val="00385782"/>
    <w:rsid w:val="00385B68"/>
    <w:rsid w:val="00390555"/>
    <w:rsid w:val="00390BFF"/>
    <w:rsid w:val="00391AB2"/>
    <w:rsid w:val="00392D1C"/>
    <w:rsid w:val="00393D36"/>
    <w:rsid w:val="00394EAD"/>
    <w:rsid w:val="003950A4"/>
    <w:rsid w:val="00395CEC"/>
    <w:rsid w:val="00396519"/>
    <w:rsid w:val="003A0054"/>
    <w:rsid w:val="003A06DF"/>
    <w:rsid w:val="003A0ECF"/>
    <w:rsid w:val="003A0F09"/>
    <w:rsid w:val="003A2542"/>
    <w:rsid w:val="003A2D4D"/>
    <w:rsid w:val="003A2EDF"/>
    <w:rsid w:val="003A3849"/>
    <w:rsid w:val="003A5A4B"/>
    <w:rsid w:val="003A66DA"/>
    <w:rsid w:val="003A6BB2"/>
    <w:rsid w:val="003A6C30"/>
    <w:rsid w:val="003A6F98"/>
    <w:rsid w:val="003B0077"/>
    <w:rsid w:val="003B11A9"/>
    <w:rsid w:val="003B1CBA"/>
    <w:rsid w:val="003B2D15"/>
    <w:rsid w:val="003B43FA"/>
    <w:rsid w:val="003B4809"/>
    <w:rsid w:val="003B51A5"/>
    <w:rsid w:val="003B5EE7"/>
    <w:rsid w:val="003B60E9"/>
    <w:rsid w:val="003B6697"/>
    <w:rsid w:val="003B72E2"/>
    <w:rsid w:val="003B7540"/>
    <w:rsid w:val="003C5895"/>
    <w:rsid w:val="003C5BE3"/>
    <w:rsid w:val="003C5C5D"/>
    <w:rsid w:val="003C687F"/>
    <w:rsid w:val="003C6E92"/>
    <w:rsid w:val="003D2D51"/>
    <w:rsid w:val="003D3FF9"/>
    <w:rsid w:val="003D646C"/>
    <w:rsid w:val="003D7395"/>
    <w:rsid w:val="003D79D1"/>
    <w:rsid w:val="003D7D08"/>
    <w:rsid w:val="003E1184"/>
    <w:rsid w:val="003E13DB"/>
    <w:rsid w:val="003E154B"/>
    <w:rsid w:val="003E1B16"/>
    <w:rsid w:val="003E2495"/>
    <w:rsid w:val="003E2F2A"/>
    <w:rsid w:val="003E3139"/>
    <w:rsid w:val="003E5550"/>
    <w:rsid w:val="003F12B8"/>
    <w:rsid w:val="003F2D08"/>
    <w:rsid w:val="003F3E0E"/>
    <w:rsid w:val="003F5438"/>
    <w:rsid w:val="003F65EB"/>
    <w:rsid w:val="003F6664"/>
    <w:rsid w:val="00400F94"/>
    <w:rsid w:val="00402AD7"/>
    <w:rsid w:val="00404476"/>
    <w:rsid w:val="00404938"/>
    <w:rsid w:val="004075A7"/>
    <w:rsid w:val="00407CC4"/>
    <w:rsid w:val="004114E1"/>
    <w:rsid w:val="0041164A"/>
    <w:rsid w:val="0041254F"/>
    <w:rsid w:val="00413055"/>
    <w:rsid w:val="00413883"/>
    <w:rsid w:val="00413F84"/>
    <w:rsid w:val="0041401D"/>
    <w:rsid w:val="0042252E"/>
    <w:rsid w:val="004241CE"/>
    <w:rsid w:val="00427B56"/>
    <w:rsid w:val="00427EE1"/>
    <w:rsid w:val="004302C2"/>
    <w:rsid w:val="00433E51"/>
    <w:rsid w:val="0043599A"/>
    <w:rsid w:val="004361A3"/>
    <w:rsid w:val="004365BC"/>
    <w:rsid w:val="00436742"/>
    <w:rsid w:val="00436766"/>
    <w:rsid w:val="00436B08"/>
    <w:rsid w:val="00437703"/>
    <w:rsid w:val="0044120F"/>
    <w:rsid w:val="00441459"/>
    <w:rsid w:val="00441EBF"/>
    <w:rsid w:val="00442126"/>
    <w:rsid w:val="00443FBF"/>
    <w:rsid w:val="004449AA"/>
    <w:rsid w:val="00445F62"/>
    <w:rsid w:val="00447FD3"/>
    <w:rsid w:val="0045021D"/>
    <w:rsid w:val="004509CD"/>
    <w:rsid w:val="004512E7"/>
    <w:rsid w:val="00452654"/>
    <w:rsid w:val="00455288"/>
    <w:rsid w:val="00455822"/>
    <w:rsid w:val="004578A0"/>
    <w:rsid w:val="00460A1E"/>
    <w:rsid w:val="00462211"/>
    <w:rsid w:val="004624DF"/>
    <w:rsid w:val="0046392F"/>
    <w:rsid w:val="00465DEE"/>
    <w:rsid w:val="00466D4B"/>
    <w:rsid w:val="00466F15"/>
    <w:rsid w:val="00467449"/>
    <w:rsid w:val="004713A6"/>
    <w:rsid w:val="00471913"/>
    <w:rsid w:val="00472494"/>
    <w:rsid w:val="004724FF"/>
    <w:rsid w:val="00472651"/>
    <w:rsid w:val="0047322D"/>
    <w:rsid w:val="00473B1D"/>
    <w:rsid w:val="00473D60"/>
    <w:rsid w:val="00473FFC"/>
    <w:rsid w:val="0047473B"/>
    <w:rsid w:val="004749F0"/>
    <w:rsid w:val="00475F82"/>
    <w:rsid w:val="00477124"/>
    <w:rsid w:val="004771C9"/>
    <w:rsid w:val="00480715"/>
    <w:rsid w:val="00481940"/>
    <w:rsid w:val="00481CF8"/>
    <w:rsid w:val="00482A2E"/>
    <w:rsid w:val="00482EA2"/>
    <w:rsid w:val="0048394D"/>
    <w:rsid w:val="004851BE"/>
    <w:rsid w:val="004864F2"/>
    <w:rsid w:val="00486A5D"/>
    <w:rsid w:val="00487482"/>
    <w:rsid w:val="00492C53"/>
    <w:rsid w:val="00493305"/>
    <w:rsid w:val="00494282"/>
    <w:rsid w:val="0049628C"/>
    <w:rsid w:val="004A0410"/>
    <w:rsid w:val="004A0A43"/>
    <w:rsid w:val="004A3050"/>
    <w:rsid w:val="004A3381"/>
    <w:rsid w:val="004A3716"/>
    <w:rsid w:val="004A394F"/>
    <w:rsid w:val="004A5442"/>
    <w:rsid w:val="004A59D9"/>
    <w:rsid w:val="004A6C4D"/>
    <w:rsid w:val="004A6E77"/>
    <w:rsid w:val="004A786F"/>
    <w:rsid w:val="004B00E4"/>
    <w:rsid w:val="004B11ED"/>
    <w:rsid w:val="004B4A82"/>
    <w:rsid w:val="004B694F"/>
    <w:rsid w:val="004B7CD9"/>
    <w:rsid w:val="004C0B57"/>
    <w:rsid w:val="004C10C1"/>
    <w:rsid w:val="004C13C6"/>
    <w:rsid w:val="004C1BBF"/>
    <w:rsid w:val="004C2F1A"/>
    <w:rsid w:val="004C374C"/>
    <w:rsid w:val="004C3CA3"/>
    <w:rsid w:val="004C583D"/>
    <w:rsid w:val="004C6472"/>
    <w:rsid w:val="004C73AB"/>
    <w:rsid w:val="004D3371"/>
    <w:rsid w:val="004D50EF"/>
    <w:rsid w:val="004D5312"/>
    <w:rsid w:val="004D556E"/>
    <w:rsid w:val="004D741D"/>
    <w:rsid w:val="004E0857"/>
    <w:rsid w:val="004E2011"/>
    <w:rsid w:val="004E210E"/>
    <w:rsid w:val="004E5D5F"/>
    <w:rsid w:val="004E5F59"/>
    <w:rsid w:val="004E7158"/>
    <w:rsid w:val="004E7965"/>
    <w:rsid w:val="004F0CF2"/>
    <w:rsid w:val="004F1F9E"/>
    <w:rsid w:val="004F2412"/>
    <w:rsid w:val="004F3507"/>
    <w:rsid w:val="004F4330"/>
    <w:rsid w:val="004F5A3D"/>
    <w:rsid w:val="004F5F90"/>
    <w:rsid w:val="004F7179"/>
    <w:rsid w:val="004F7638"/>
    <w:rsid w:val="00500424"/>
    <w:rsid w:val="005006BE"/>
    <w:rsid w:val="005013B7"/>
    <w:rsid w:val="00501D5C"/>
    <w:rsid w:val="005024BC"/>
    <w:rsid w:val="005035F9"/>
    <w:rsid w:val="0050364F"/>
    <w:rsid w:val="005047A7"/>
    <w:rsid w:val="00505244"/>
    <w:rsid w:val="00505AAC"/>
    <w:rsid w:val="005070D4"/>
    <w:rsid w:val="005109EB"/>
    <w:rsid w:val="00510F40"/>
    <w:rsid w:val="00511093"/>
    <w:rsid w:val="00511EAE"/>
    <w:rsid w:val="00512C83"/>
    <w:rsid w:val="0051494D"/>
    <w:rsid w:val="00514ED1"/>
    <w:rsid w:val="00514F91"/>
    <w:rsid w:val="0051668F"/>
    <w:rsid w:val="00516F12"/>
    <w:rsid w:val="0052087D"/>
    <w:rsid w:val="0052126A"/>
    <w:rsid w:val="0052153A"/>
    <w:rsid w:val="00524181"/>
    <w:rsid w:val="00524B68"/>
    <w:rsid w:val="00525722"/>
    <w:rsid w:val="00526505"/>
    <w:rsid w:val="00527C6C"/>
    <w:rsid w:val="00530742"/>
    <w:rsid w:val="00531281"/>
    <w:rsid w:val="00531851"/>
    <w:rsid w:val="00531D9D"/>
    <w:rsid w:val="0053288B"/>
    <w:rsid w:val="00532B16"/>
    <w:rsid w:val="00532DEC"/>
    <w:rsid w:val="00533677"/>
    <w:rsid w:val="0053383E"/>
    <w:rsid w:val="0053438E"/>
    <w:rsid w:val="00534506"/>
    <w:rsid w:val="00534642"/>
    <w:rsid w:val="005358FE"/>
    <w:rsid w:val="005361B3"/>
    <w:rsid w:val="0053659C"/>
    <w:rsid w:val="005377CC"/>
    <w:rsid w:val="00541A94"/>
    <w:rsid w:val="00541B50"/>
    <w:rsid w:val="00542290"/>
    <w:rsid w:val="00542CC9"/>
    <w:rsid w:val="0054373F"/>
    <w:rsid w:val="00544389"/>
    <w:rsid w:val="00544409"/>
    <w:rsid w:val="005446AF"/>
    <w:rsid w:val="00545461"/>
    <w:rsid w:val="005474F9"/>
    <w:rsid w:val="005479BE"/>
    <w:rsid w:val="005507D2"/>
    <w:rsid w:val="00554302"/>
    <w:rsid w:val="00555CD2"/>
    <w:rsid w:val="00556D0B"/>
    <w:rsid w:val="00557C32"/>
    <w:rsid w:val="00557C59"/>
    <w:rsid w:val="0056015A"/>
    <w:rsid w:val="005603ED"/>
    <w:rsid w:val="005609C4"/>
    <w:rsid w:val="00560AA2"/>
    <w:rsid w:val="00560DBF"/>
    <w:rsid w:val="005615D7"/>
    <w:rsid w:val="00561F1E"/>
    <w:rsid w:val="00563C3B"/>
    <w:rsid w:val="00564503"/>
    <w:rsid w:val="00564EF3"/>
    <w:rsid w:val="005706DC"/>
    <w:rsid w:val="005733FD"/>
    <w:rsid w:val="005734EB"/>
    <w:rsid w:val="00573C79"/>
    <w:rsid w:val="00575746"/>
    <w:rsid w:val="00575B5D"/>
    <w:rsid w:val="005770D8"/>
    <w:rsid w:val="0058024F"/>
    <w:rsid w:val="00581050"/>
    <w:rsid w:val="00581332"/>
    <w:rsid w:val="00581BFD"/>
    <w:rsid w:val="00581C28"/>
    <w:rsid w:val="00581D9C"/>
    <w:rsid w:val="00581E04"/>
    <w:rsid w:val="00582059"/>
    <w:rsid w:val="00584867"/>
    <w:rsid w:val="0058637A"/>
    <w:rsid w:val="00587C8F"/>
    <w:rsid w:val="00587CFC"/>
    <w:rsid w:val="0059076B"/>
    <w:rsid w:val="005907BB"/>
    <w:rsid w:val="00592156"/>
    <w:rsid w:val="0059289A"/>
    <w:rsid w:val="00593613"/>
    <w:rsid w:val="00593652"/>
    <w:rsid w:val="00593819"/>
    <w:rsid w:val="00593F82"/>
    <w:rsid w:val="005943B4"/>
    <w:rsid w:val="005A02F3"/>
    <w:rsid w:val="005A1CF3"/>
    <w:rsid w:val="005A2FD0"/>
    <w:rsid w:val="005A38EC"/>
    <w:rsid w:val="005A3B19"/>
    <w:rsid w:val="005A3DB5"/>
    <w:rsid w:val="005A5093"/>
    <w:rsid w:val="005A53F2"/>
    <w:rsid w:val="005A544E"/>
    <w:rsid w:val="005A56E9"/>
    <w:rsid w:val="005A58ED"/>
    <w:rsid w:val="005A72B2"/>
    <w:rsid w:val="005B0321"/>
    <w:rsid w:val="005B033F"/>
    <w:rsid w:val="005B1646"/>
    <w:rsid w:val="005B236F"/>
    <w:rsid w:val="005B2E24"/>
    <w:rsid w:val="005B3621"/>
    <w:rsid w:val="005B3F06"/>
    <w:rsid w:val="005B3F95"/>
    <w:rsid w:val="005B4DF2"/>
    <w:rsid w:val="005B4DF9"/>
    <w:rsid w:val="005B5BA7"/>
    <w:rsid w:val="005B69E0"/>
    <w:rsid w:val="005B760A"/>
    <w:rsid w:val="005C0229"/>
    <w:rsid w:val="005C02C7"/>
    <w:rsid w:val="005C0651"/>
    <w:rsid w:val="005C068D"/>
    <w:rsid w:val="005C2149"/>
    <w:rsid w:val="005C2D20"/>
    <w:rsid w:val="005C35D2"/>
    <w:rsid w:val="005C5EBC"/>
    <w:rsid w:val="005C6B19"/>
    <w:rsid w:val="005C75BE"/>
    <w:rsid w:val="005C7C2E"/>
    <w:rsid w:val="005D0464"/>
    <w:rsid w:val="005D04BA"/>
    <w:rsid w:val="005D1182"/>
    <w:rsid w:val="005D141F"/>
    <w:rsid w:val="005D254F"/>
    <w:rsid w:val="005D342A"/>
    <w:rsid w:val="005D3F5A"/>
    <w:rsid w:val="005E14A8"/>
    <w:rsid w:val="005E1AED"/>
    <w:rsid w:val="005E366D"/>
    <w:rsid w:val="005E5510"/>
    <w:rsid w:val="005E7245"/>
    <w:rsid w:val="005F0003"/>
    <w:rsid w:val="005F0654"/>
    <w:rsid w:val="005F094B"/>
    <w:rsid w:val="005F2303"/>
    <w:rsid w:val="005F2532"/>
    <w:rsid w:val="005F2AD2"/>
    <w:rsid w:val="005F4D84"/>
    <w:rsid w:val="005F52B1"/>
    <w:rsid w:val="005F59BE"/>
    <w:rsid w:val="005F68D8"/>
    <w:rsid w:val="005F7B27"/>
    <w:rsid w:val="005F7CEF"/>
    <w:rsid w:val="005F7DEA"/>
    <w:rsid w:val="006006F5"/>
    <w:rsid w:val="006015D1"/>
    <w:rsid w:val="006017C8"/>
    <w:rsid w:val="00601804"/>
    <w:rsid w:val="00602490"/>
    <w:rsid w:val="00603F48"/>
    <w:rsid w:val="00604D45"/>
    <w:rsid w:val="006062D9"/>
    <w:rsid w:val="00606312"/>
    <w:rsid w:val="006113B9"/>
    <w:rsid w:val="00612031"/>
    <w:rsid w:val="00612F01"/>
    <w:rsid w:val="00614354"/>
    <w:rsid w:val="00614402"/>
    <w:rsid w:val="006149ED"/>
    <w:rsid w:val="006149F1"/>
    <w:rsid w:val="00614FDF"/>
    <w:rsid w:val="0061785E"/>
    <w:rsid w:val="00617DE8"/>
    <w:rsid w:val="00623D8E"/>
    <w:rsid w:val="00625A2D"/>
    <w:rsid w:val="00625E8F"/>
    <w:rsid w:val="00626EB6"/>
    <w:rsid w:val="00627036"/>
    <w:rsid w:val="00630E25"/>
    <w:rsid w:val="006312A8"/>
    <w:rsid w:val="006322FC"/>
    <w:rsid w:val="00632567"/>
    <w:rsid w:val="00633C95"/>
    <w:rsid w:val="0063502B"/>
    <w:rsid w:val="0063711C"/>
    <w:rsid w:val="00637658"/>
    <w:rsid w:val="006379F1"/>
    <w:rsid w:val="00641393"/>
    <w:rsid w:val="006416F3"/>
    <w:rsid w:val="00641CE8"/>
    <w:rsid w:val="00643D09"/>
    <w:rsid w:val="00644167"/>
    <w:rsid w:val="00644630"/>
    <w:rsid w:val="00644ECA"/>
    <w:rsid w:val="006453C1"/>
    <w:rsid w:val="00645C5E"/>
    <w:rsid w:val="00645E19"/>
    <w:rsid w:val="00650300"/>
    <w:rsid w:val="00651278"/>
    <w:rsid w:val="0065135B"/>
    <w:rsid w:val="00653190"/>
    <w:rsid w:val="00653F03"/>
    <w:rsid w:val="00654E3A"/>
    <w:rsid w:val="006553B9"/>
    <w:rsid w:val="00656436"/>
    <w:rsid w:val="006566AD"/>
    <w:rsid w:val="00656971"/>
    <w:rsid w:val="00657366"/>
    <w:rsid w:val="00660680"/>
    <w:rsid w:val="00660B1C"/>
    <w:rsid w:val="00660E68"/>
    <w:rsid w:val="00661ED1"/>
    <w:rsid w:val="006633D1"/>
    <w:rsid w:val="0066349E"/>
    <w:rsid w:val="00663C95"/>
    <w:rsid w:val="006654EF"/>
    <w:rsid w:val="00665563"/>
    <w:rsid w:val="0066646B"/>
    <w:rsid w:val="00666765"/>
    <w:rsid w:val="006747D3"/>
    <w:rsid w:val="0067640F"/>
    <w:rsid w:val="006776CB"/>
    <w:rsid w:val="00677BED"/>
    <w:rsid w:val="00677F06"/>
    <w:rsid w:val="0068095B"/>
    <w:rsid w:val="00682214"/>
    <w:rsid w:val="0068232A"/>
    <w:rsid w:val="006830D0"/>
    <w:rsid w:val="00683347"/>
    <w:rsid w:val="006842E4"/>
    <w:rsid w:val="00684ABE"/>
    <w:rsid w:val="00684E54"/>
    <w:rsid w:val="00685902"/>
    <w:rsid w:val="0068626B"/>
    <w:rsid w:val="00686A62"/>
    <w:rsid w:val="00686EFE"/>
    <w:rsid w:val="00690FF3"/>
    <w:rsid w:val="006913A6"/>
    <w:rsid w:val="006921A8"/>
    <w:rsid w:val="00692F7A"/>
    <w:rsid w:val="006931C0"/>
    <w:rsid w:val="0069364B"/>
    <w:rsid w:val="006938AD"/>
    <w:rsid w:val="00693B36"/>
    <w:rsid w:val="00693D8C"/>
    <w:rsid w:val="00695701"/>
    <w:rsid w:val="00695D7B"/>
    <w:rsid w:val="00695FAF"/>
    <w:rsid w:val="006963CB"/>
    <w:rsid w:val="00697203"/>
    <w:rsid w:val="006973A2"/>
    <w:rsid w:val="00697BC4"/>
    <w:rsid w:val="006A0292"/>
    <w:rsid w:val="006A035F"/>
    <w:rsid w:val="006A095F"/>
    <w:rsid w:val="006A0A09"/>
    <w:rsid w:val="006A2F78"/>
    <w:rsid w:val="006A32F8"/>
    <w:rsid w:val="006A346D"/>
    <w:rsid w:val="006A3BF8"/>
    <w:rsid w:val="006A4DCE"/>
    <w:rsid w:val="006A5943"/>
    <w:rsid w:val="006A59AD"/>
    <w:rsid w:val="006A6E3A"/>
    <w:rsid w:val="006A7A18"/>
    <w:rsid w:val="006B1744"/>
    <w:rsid w:val="006B2F63"/>
    <w:rsid w:val="006B5EEA"/>
    <w:rsid w:val="006B6266"/>
    <w:rsid w:val="006B632F"/>
    <w:rsid w:val="006B6695"/>
    <w:rsid w:val="006C075C"/>
    <w:rsid w:val="006C14E8"/>
    <w:rsid w:val="006C1A37"/>
    <w:rsid w:val="006C2B19"/>
    <w:rsid w:val="006C332A"/>
    <w:rsid w:val="006C3B5E"/>
    <w:rsid w:val="006C444D"/>
    <w:rsid w:val="006D0134"/>
    <w:rsid w:val="006D0B9E"/>
    <w:rsid w:val="006D256B"/>
    <w:rsid w:val="006D3F10"/>
    <w:rsid w:val="006D43B1"/>
    <w:rsid w:val="006D4507"/>
    <w:rsid w:val="006D4D6D"/>
    <w:rsid w:val="006D4F2C"/>
    <w:rsid w:val="006D570F"/>
    <w:rsid w:val="006D58FB"/>
    <w:rsid w:val="006D69BC"/>
    <w:rsid w:val="006E028A"/>
    <w:rsid w:val="006E1C18"/>
    <w:rsid w:val="006E1D74"/>
    <w:rsid w:val="006E208A"/>
    <w:rsid w:val="006E2578"/>
    <w:rsid w:val="006E331E"/>
    <w:rsid w:val="006E3F90"/>
    <w:rsid w:val="006E4CE3"/>
    <w:rsid w:val="006E4E69"/>
    <w:rsid w:val="006E6234"/>
    <w:rsid w:val="006E7220"/>
    <w:rsid w:val="006F0E25"/>
    <w:rsid w:val="006F0F21"/>
    <w:rsid w:val="006F1793"/>
    <w:rsid w:val="006F2797"/>
    <w:rsid w:val="006F295F"/>
    <w:rsid w:val="006F4297"/>
    <w:rsid w:val="006F4310"/>
    <w:rsid w:val="006F495E"/>
    <w:rsid w:val="006F5344"/>
    <w:rsid w:val="006F6B49"/>
    <w:rsid w:val="006F7199"/>
    <w:rsid w:val="00700593"/>
    <w:rsid w:val="00700BC2"/>
    <w:rsid w:val="00700F64"/>
    <w:rsid w:val="0070134D"/>
    <w:rsid w:val="00703D59"/>
    <w:rsid w:val="00704089"/>
    <w:rsid w:val="00705661"/>
    <w:rsid w:val="00705DF1"/>
    <w:rsid w:val="00707CEE"/>
    <w:rsid w:val="0071058F"/>
    <w:rsid w:val="007128BD"/>
    <w:rsid w:val="00712E76"/>
    <w:rsid w:val="00713907"/>
    <w:rsid w:val="00714697"/>
    <w:rsid w:val="00714E43"/>
    <w:rsid w:val="00715387"/>
    <w:rsid w:val="007157BD"/>
    <w:rsid w:val="0071785D"/>
    <w:rsid w:val="00720827"/>
    <w:rsid w:val="007209A6"/>
    <w:rsid w:val="00720A23"/>
    <w:rsid w:val="00720DE1"/>
    <w:rsid w:val="007246EB"/>
    <w:rsid w:val="00727305"/>
    <w:rsid w:val="00727B82"/>
    <w:rsid w:val="00727D7B"/>
    <w:rsid w:val="00730C51"/>
    <w:rsid w:val="00731509"/>
    <w:rsid w:val="00732326"/>
    <w:rsid w:val="007335DF"/>
    <w:rsid w:val="0073432B"/>
    <w:rsid w:val="00735C7D"/>
    <w:rsid w:val="007362BF"/>
    <w:rsid w:val="0073637B"/>
    <w:rsid w:val="00736B75"/>
    <w:rsid w:val="00737678"/>
    <w:rsid w:val="0074106C"/>
    <w:rsid w:val="00742C1A"/>
    <w:rsid w:val="007430D4"/>
    <w:rsid w:val="007439B9"/>
    <w:rsid w:val="00746049"/>
    <w:rsid w:val="00747C6D"/>
    <w:rsid w:val="007513CF"/>
    <w:rsid w:val="00752394"/>
    <w:rsid w:val="007541F6"/>
    <w:rsid w:val="00754A5B"/>
    <w:rsid w:val="00755408"/>
    <w:rsid w:val="0075720D"/>
    <w:rsid w:val="00757555"/>
    <w:rsid w:val="007608A5"/>
    <w:rsid w:val="00761495"/>
    <w:rsid w:val="007625B7"/>
    <w:rsid w:val="007653FC"/>
    <w:rsid w:val="00765A2D"/>
    <w:rsid w:val="007675B5"/>
    <w:rsid w:val="00770DEC"/>
    <w:rsid w:val="007714E8"/>
    <w:rsid w:val="00771CBD"/>
    <w:rsid w:val="00771F4B"/>
    <w:rsid w:val="00772BEB"/>
    <w:rsid w:val="00772D16"/>
    <w:rsid w:val="00774861"/>
    <w:rsid w:val="0077667F"/>
    <w:rsid w:val="0077668B"/>
    <w:rsid w:val="00776731"/>
    <w:rsid w:val="007769A0"/>
    <w:rsid w:val="007773CB"/>
    <w:rsid w:val="00780275"/>
    <w:rsid w:val="00780B7F"/>
    <w:rsid w:val="00780C4F"/>
    <w:rsid w:val="00780D7E"/>
    <w:rsid w:val="0078144D"/>
    <w:rsid w:val="00781B6C"/>
    <w:rsid w:val="00781CC1"/>
    <w:rsid w:val="00781F5B"/>
    <w:rsid w:val="00782A87"/>
    <w:rsid w:val="00783360"/>
    <w:rsid w:val="00783E39"/>
    <w:rsid w:val="00783EE6"/>
    <w:rsid w:val="0078455D"/>
    <w:rsid w:val="00784CA6"/>
    <w:rsid w:val="00785F9C"/>
    <w:rsid w:val="00786805"/>
    <w:rsid w:val="00786E02"/>
    <w:rsid w:val="00787E38"/>
    <w:rsid w:val="00791226"/>
    <w:rsid w:val="00792341"/>
    <w:rsid w:val="0079257F"/>
    <w:rsid w:val="00792736"/>
    <w:rsid w:val="00792833"/>
    <w:rsid w:val="0079297F"/>
    <w:rsid w:val="00793C3C"/>
    <w:rsid w:val="00794725"/>
    <w:rsid w:val="0079526B"/>
    <w:rsid w:val="00795597"/>
    <w:rsid w:val="00796298"/>
    <w:rsid w:val="0079674B"/>
    <w:rsid w:val="00796A63"/>
    <w:rsid w:val="007970C0"/>
    <w:rsid w:val="007A07E7"/>
    <w:rsid w:val="007A0AC3"/>
    <w:rsid w:val="007A0BEA"/>
    <w:rsid w:val="007A25F7"/>
    <w:rsid w:val="007A4F03"/>
    <w:rsid w:val="007A668C"/>
    <w:rsid w:val="007B087B"/>
    <w:rsid w:val="007B0A9C"/>
    <w:rsid w:val="007B33E3"/>
    <w:rsid w:val="007B34A0"/>
    <w:rsid w:val="007B3521"/>
    <w:rsid w:val="007B3967"/>
    <w:rsid w:val="007B4088"/>
    <w:rsid w:val="007B4277"/>
    <w:rsid w:val="007B522E"/>
    <w:rsid w:val="007B6A1A"/>
    <w:rsid w:val="007B7226"/>
    <w:rsid w:val="007B7792"/>
    <w:rsid w:val="007C0F77"/>
    <w:rsid w:val="007C188B"/>
    <w:rsid w:val="007C2650"/>
    <w:rsid w:val="007C3E59"/>
    <w:rsid w:val="007C4615"/>
    <w:rsid w:val="007C4654"/>
    <w:rsid w:val="007C7A2A"/>
    <w:rsid w:val="007C7B95"/>
    <w:rsid w:val="007D04F2"/>
    <w:rsid w:val="007D0598"/>
    <w:rsid w:val="007D0689"/>
    <w:rsid w:val="007D113D"/>
    <w:rsid w:val="007D3C81"/>
    <w:rsid w:val="007D3FBD"/>
    <w:rsid w:val="007D63A8"/>
    <w:rsid w:val="007D6700"/>
    <w:rsid w:val="007D6880"/>
    <w:rsid w:val="007D7069"/>
    <w:rsid w:val="007E13DC"/>
    <w:rsid w:val="007E1D3D"/>
    <w:rsid w:val="007E1D86"/>
    <w:rsid w:val="007E21E3"/>
    <w:rsid w:val="007E3DE1"/>
    <w:rsid w:val="007E3F7F"/>
    <w:rsid w:val="007E6122"/>
    <w:rsid w:val="007E6413"/>
    <w:rsid w:val="007E641B"/>
    <w:rsid w:val="007E690B"/>
    <w:rsid w:val="007E7A11"/>
    <w:rsid w:val="007F00A8"/>
    <w:rsid w:val="007F153B"/>
    <w:rsid w:val="007F2BAA"/>
    <w:rsid w:val="007F3CCD"/>
    <w:rsid w:val="007F4636"/>
    <w:rsid w:val="007F59B0"/>
    <w:rsid w:val="007F64CF"/>
    <w:rsid w:val="007F72D5"/>
    <w:rsid w:val="007F760A"/>
    <w:rsid w:val="00800F20"/>
    <w:rsid w:val="0080158B"/>
    <w:rsid w:val="0080223D"/>
    <w:rsid w:val="00802D0D"/>
    <w:rsid w:val="0080447D"/>
    <w:rsid w:val="00804A57"/>
    <w:rsid w:val="008055E4"/>
    <w:rsid w:val="008062B7"/>
    <w:rsid w:val="0081091A"/>
    <w:rsid w:val="008129C1"/>
    <w:rsid w:val="00814F12"/>
    <w:rsid w:val="00815D6B"/>
    <w:rsid w:val="00816767"/>
    <w:rsid w:val="00816804"/>
    <w:rsid w:val="008175B3"/>
    <w:rsid w:val="00817718"/>
    <w:rsid w:val="00817E6A"/>
    <w:rsid w:val="00821968"/>
    <w:rsid w:val="00821E68"/>
    <w:rsid w:val="0082236A"/>
    <w:rsid w:val="0082307D"/>
    <w:rsid w:val="00823E7D"/>
    <w:rsid w:val="00824DD6"/>
    <w:rsid w:val="00825BFC"/>
    <w:rsid w:val="00825DDF"/>
    <w:rsid w:val="008262C6"/>
    <w:rsid w:val="008266C4"/>
    <w:rsid w:val="00826971"/>
    <w:rsid w:val="00826FBE"/>
    <w:rsid w:val="00826FCF"/>
    <w:rsid w:val="008279E8"/>
    <w:rsid w:val="008315B0"/>
    <w:rsid w:val="0083259F"/>
    <w:rsid w:val="008325FA"/>
    <w:rsid w:val="008337A2"/>
    <w:rsid w:val="00835744"/>
    <w:rsid w:val="008366BC"/>
    <w:rsid w:val="008402A4"/>
    <w:rsid w:val="00842A38"/>
    <w:rsid w:val="00844D0B"/>
    <w:rsid w:val="00846E74"/>
    <w:rsid w:val="008470EA"/>
    <w:rsid w:val="00847858"/>
    <w:rsid w:val="00847CE8"/>
    <w:rsid w:val="00850747"/>
    <w:rsid w:val="0085197D"/>
    <w:rsid w:val="008528D3"/>
    <w:rsid w:val="00852E3F"/>
    <w:rsid w:val="00853559"/>
    <w:rsid w:val="0085431C"/>
    <w:rsid w:val="008544BC"/>
    <w:rsid w:val="0085668F"/>
    <w:rsid w:val="00856743"/>
    <w:rsid w:val="00856A16"/>
    <w:rsid w:val="0085739F"/>
    <w:rsid w:val="00857729"/>
    <w:rsid w:val="00860990"/>
    <w:rsid w:val="00860BC8"/>
    <w:rsid w:val="00862261"/>
    <w:rsid w:val="0086273D"/>
    <w:rsid w:val="00862BB1"/>
    <w:rsid w:val="008637E7"/>
    <w:rsid w:val="00863E7A"/>
    <w:rsid w:val="00866488"/>
    <w:rsid w:val="0087002B"/>
    <w:rsid w:val="00870625"/>
    <w:rsid w:val="00871199"/>
    <w:rsid w:val="00871211"/>
    <w:rsid w:val="00871645"/>
    <w:rsid w:val="00872B42"/>
    <w:rsid w:val="00872C8A"/>
    <w:rsid w:val="00873E98"/>
    <w:rsid w:val="008756E0"/>
    <w:rsid w:val="008768EC"/>
    <w:rsid w:val="008801D9"/>
    <w:rsid w:val="0088125A"/>
    <w:rsid w:val="00881D93"/>
    <w:rsid w:val="00884AA0"/>
    <w:rsid w:val="00886C12"/>
    <w:rsid w:val="00890D74"/>
    <w:rsid w:val="00893294"/>
    <w:rsid w:val="00893840"/>
    <w:rsid w:val="008949BC"/>
    <w:rsid w:val="00894CF9"/>
    <w:rsid w:val="00894F9F"/>
    <w:rsid w:val="008A028F"/>
    <w:rsid w:val="008A148E"/>
    <w:rsid w:val="008A1E5B"/>
    <w:rsid w:val="008A21E4"/>
    <w:rsid w:val="008A33C7"/>
    <w:rsid w:val="008A3E9A"/>
    <w:rsid w:val="008A4414"/>
    <w:rsid w:val="008A7C15"/>
    <w:rsid w:val="008B021C"/>
    <w:rsid w:val="008B0947"/>
    <w:rsid w:val="008B0973"/>
    <w:rsid w:val="008B237A"/>
    <w:rsid w:val="008B2C25"/>
    <w:rsid w:val="008B31B6"/>
    <w:rsid w:val="008B33E3"/>
    <w:rsid w:val="008B576E"/>
    <w:rsid w:val="008B5927"/>
    <w:rsid w:val="008B5D25"/>
    <w:rsid w:val="008B7101"/>
    <w:rsid w:val="008B72A1"/>
    <w:rsid w:val="008C00A1"/>
    <w:rsid w:val="008C13C8"/>
    <w:rsid w:val="008C1D3A"/>
    <w:rsid w:val="008C36C0"/>
    <w:rsid w:val="008C4358"/>
    <w:rsid w:val="008C6871"/>
    <w:rsid w:val="008C6B33"/>
    <w:rsid w:val="008C7710"/>
    <w:rsid w:val="008C7F6B"/>
    <w:rsid w:val="008D06AE"/>
    <w:rsid w:val="008D098E"/>
    <w:rsid w:val="008D1E13"/>
    <w:rsid w:val="008D37E0"/>
    <w:rsid w:val="008D4151"/>
    <w:rsid w:val="008D43E1"/>
    <w:rsid w:val="008D4443"/>
    <w:rsid w:val="008D48D8"/>
    <w:rsid w:val="008D4A86"/>
    <w:rsid w:val="008D6136"/>
    <w:rsid w:val="008D711D"/>
    <w:rsid w:val="008D71AC"/>
    <w:rsid w:val="008E1BE9"/>
    <w:rsid w:val="008E2C1C"/>
    <w:rsid w:val="008E3A6B"/>
    <w:rsid w:val="008E4045"/>
    <w:rsid w:val="008E6187"/>
    <w:rsid w:val="008E6499"/>
    <w:rsid w:val="008E6617"/>
    <w:rsid w:val="008E77B2"/>
    <w:rsid w:val="008E7B70"/>
    <w:rsid w:val="008F0A53"/>
    <w:rsid w:val="008F166B"/>
    <w:rsid w:val="008F1BF1"/>
    <w:rsid w:val="008F51FC"/>
    <w:rsid w:val="008F562F"/>
    <w:rsid w:val="008F5E72"/>
    <w:rsid w:val="008F6EE5"/>
    <w:rsid w:val="008F7452"/>
    <w:rsid w:val="008F7598"/>
    <w:rsid w:val="008F7AF7"/>
    <w:rsid w:val="008F7D18"/>
    <w:rsid w:val="008F7E2D"/>
    <w:rsid w:val="0090027B"/>
    <w:rsid w:val="009032CC"/>
    <w:rsid w:val="009045FC"/>
    <w:rsid w:val="00904E12"/>
    <w:rsid w:val="00906C50"/>
    <w:rsid w:val="0090751F"/>
    <w:rsid w:val="00907B8F"/>
    <w:rsid w:val="00907DC9"/>
    <w:rsid w:val="00907F25"/>
    <w:rsid w:val="009104CD"/>
    <w:rsid w:val="009133EA"/>
    <w:rsid w:val="00913DE5"/>
    <w:rsid w:val="009152F7"/>
    <w:rsid w:val="00915A2A"/>
    <w:rsid w:val="009165D3"/>
    <w:rsid w:val="00916719"/>
    <w:rsid w:val="00916FD1"/>
    <w:rsid w:val="00917892"/>
    <w:rsid w:val="00920284"/>
    <w:rsid w:val="00921CB5"/>
    <w:rsid w:val="009230CD"/>
    <w:rsid w:val="00923E47"/>
    <w:rsid w:val="00923F58"/>
    <w:rsid w:val="00924A9C"/>
    <w:rsid w:val="00925361"/>
    <w:rsid w:val="009264C1"/>
    <w:rsid w:val="009268F3"/>
    <w:rsid w:val="00926F4B"/>
    <w:rsid w:val="0092711B"/>
    <w:rsid w:val="00927376"/>
    <w:rsid w:val="00927781"/>
    <w:rsid w:val="00927FA3"/>
    <w:rsid w:val="009310BF"/>
    <w:rsid w:val="009315FF"/>
    <w:rsid w:val="00931AC8"/>
    <w:rsid w:val="00932880"/>
    <w:rsid w:val="00932E38"/>
    <w:rsid w:val="00933921"/>
    <w:rsid w:val="00933E1C"/>
    <w:rsid w:val="00934AED"/>
    <w:rsid w:val="0094041A"/>
    <w:rsid w:val="00940450"/>
    <w:rsid w:val="00940790"/>
    <w:rsid w:val="00940EEF"/>
    <w:rsid w:val="00941CA6"/>
    <w:rsid w:val="00942387"/>
    <w:rsid w:val="0094245F"/>
    <w:rsid w:val="00943F7D"/>
    <w:rsid w:val="009447C7"/>
    <w:rsid w:val="00944F0E"/>
    <w:rsid w:val="009468D0"/>
    <w:rsid w:val="009468D3"/>
    <w:rsid w:val="009505D0"/>
    <w:rsid w:val="0095099F"/>
    <w:rsid w:val="009509EC"/>
    <w:rsid w:val="00951930"/>
    <w:rsid w:val="0095246F"/>
    <w:rsid w:val="00953244"/>
    <w:rsid w:val="00953942"/>
    <w:rsid w:val="00954252"/>
    <w:rsid w:val="009545B9"/>
    <w:rsid w:val="00956A65"/>
    <w:rsid w:val="00960451"/>
    <w:rsid w:val="009605BC"/>
    <w:rsid w:val="009612B4"/>
    <w:rsid w:val="009628DD"/>
    <w:rsid w:val="00962DE9"/>
    <w:rsid w:val="00964DB2"/>
    <w:rsid w:val="00966023"/>
    <w:rsid w:val="00967470"/>
    <w:rsid w:val="00970361"/>
    <w:rsid w:val="00970AA7"/>
    <w:rsid w:val="009720AC"/>
    <w:rsid w:val="00972F3D"/>
    <w:rsid w:val="0097404A"/>
    <w:rsid w:val="00974E29"/>
    <w:rsid w:val="00976006"/>
    <w:rsid w:val="009800E9"/>
    <w:rsid w:val="00980CF9"/>
    <w:rsid w:val="009819D7"/>
    <w:rsid w:val="00981D6B"/>
    <w:rsid w:val="0098226D"/>
    <w:rsid w:val="00982429"/>
    <w:rsid w:val="00982A7F"/>
    <w:rsid w:val="009834F5"/>
    <w:rsid w:val="0098381D"/>
    <w:rsid w:val="00984E18"/>
    <w:rsid w:val="009855CC"/>
    <w:rsid w:val="009857D4"/>
    <w:rsid w:val="00987275"/>
    <w:rsid w:val="00987CDF"/>
    <w:rsid w:val="00992C02"/>
    <w:rsid w:val="0099679B"/>
    <w:rsid w:val="009970AC"/>
    <w:rsid w:val="009A1443"/>
    <w:rsid w:val="009A1A0F"/>
    <w:rsid w:val="009A3C68"/>
    <w:rsid w:val="009A42C1"/>
    <w:rsid w:val="009A55FB"/>
    <w:rsid w:val="009A763B"/>
    <w:rsid w:val="009A7660"/>
    <w:rsid w:val="009A769B"/>
    <w:rsid w:val="009B0F99"/>
    <w:rsid w:val="009B1E98"/>
    <w:rsid w:val="009B221F"/>
    <w:rsid w:val="009B36BA"/>
    <w:rsid w:val="009B3976"/>
    <w:rsid w:val="009B3988"/>
    <w:rsid w:val="009B5662"/>
    <w:rsid w:val="009B5D8C"/>
    <w:rsid w:val="009B62B6"/>
    <w:rsid w:val="009B657F"/>
    <w:rsid w:val="009C0602"/>
    <w:rsid w:val="009C06D4"/>
    <w:rsid w:val="009C07F7"/>
    <w:rsid w:val="009C22E2"/>
    <w:rsid w:val="009C308D"/>
    <w:rsid w:val="009C3D11"/>
    <w:rsid w:val="009C3E02"/>
    <w:rsid w:val="009C47B3"/>
    <w:rsid w:val="009C5671"/>
    <w:rsid w:val="009C6B2F"/>
    <w:rsid w:val="009C6D1B"/>
    <w:rsid w:val="009C783E"/>
    <w:rsid w:val="009D08D0"/>
    <w:rsid w:val="009D2930"/>
    <w:rsid w:val="009D310E"/>
    <w:rsid w:val="009D3692"/>
    <w:rsid w:val="009D4675"/>
    <w:rsid w:val="009D6093"/>
    <w:rsid w:val="009D6F03"/>
    <w:rsid w:val="009E2984"/>
    <w:rsid w:val="009E3123"/>
    <w:rsid w:val="009E379D"/>
    <w:rsid w:val="009E39F6"/>
    <w:rsid w:val="009E4DE5"/>
    <w:rsid w:val="009E4EC4"/>
    <w:rsid w:val="009E5838"/>
    <w:rsid w:val="009E685D"/>
    <w:rsid w:val="009F1320"/>
    <w:rsid w:val="009F1912"/>
    <w:rsid w:val="009F2AD4"/>
    <w:rsid w:val="009F2B39"/>
    <w:rsid w:val="009F3808"/>
    <w:rsid w:val="009F4155"/>
    <w:rsid w:val="009F4A02"/>
    <w:rsid w:val="009F4FC1"/>
    <w:rsid w:val="009F572A"/>
    <w:rsid w:val="009F5B15"/>
    <w:rsid w:val="009F65EF"/>
    <w:rsid w:val="009F70D9"/>
    <w:rsid w:val="00A005E1"/>
    <w:rsid w:val="00A00AF9"/>
    <w:rsid w:val="00A00E1A"/>
    <w:rsid w:val="00A03DF9"/>
    <w:rsid w:val="00A03EF3"/>
    <w:rsid w:val="00A04D3F"/>
    <w:rsid w:val="00A06865"/>
    <w:rsid w:val="00A104F1"/>
    <w:rsid w:val="00A11891"/>
    <w:rsid w:val="00A11BD4"/>
    <w:rsid w:val="00A11CA2"/>
    <w:rsid w:val="00A12840"/>
    <w:rsid w:val="00A13F67"/>
    <w:rsid w:val="00A15625"/>
    <w:rsid w:val="00A1737F"/>
    <w:rsid w:val="00A2069B"/>
    <w:rsid w:val="00A229F4"/>
    <w:rsid w:val="00A22F62"/>
    <w:rsid w:val="00A264D5"/>
    <w:rsid w:val="00A27802"/>
    <w:rsid w:val="00A31239"/>
    <w:rsid w:val="00A35CBD"/>
    <w:rsid w:val="00A35F7B"/>
    <w:rsid w:val="00A3797C"/>
    <w:rsid w:val="00A426C1"/>
    <w:rsid w:val="00A42F1A"/>
    <w:rsid w:val="00A43E63"/>
    <w:rsid w:val="00A44B52"/>
    <w:rsid w:val="00A44EFC"/>
    <w:rsid w:val="00A4544B"/>
    <w:rsid w:val="00A45CBF"/>
    <w:rsid w:val="00A47607"/>
    <w:rsid w:val="00A502B7"/>
    <w:rsid w:val="00A53B2F"/>
    <w:rsid w:val="00A56D15"/>
    <w:rsid w:val="00A61033"/>
    <w:rsid w:val="00A61187"/>
    <w:rsid w:val="00A65E26"/>
    <w:rsid w:val="00A667D3"/>
    <w:rsid w:val="00A70D50"/>
    <w:rsid w:val="00A7149E"/>
    <w:rsid w:val="00A73FF0"/>
    <w:rsid w:val="00A75515"/>
    <w:rsid w:val="00A76CCE"/>
    <w:rsid w:val="00A8151B"/>
    <w:rsid w:val="00A81FB1"/>
    <w:rsid w:val="00A824BD"/>
    <w:rsid w:val="00A82F36"/>
    <w:rsid w:val="00A85C76"/>
    <w:rsid w:val="00A85F24"/>
    <w:rsid w:val="00A8618F"/>
    <w:rsid w:val="00A8642D"/>
    <w:rsid w:val="00A86456"/>
    <w:rsid w:val="00A86C9C"/>
    <w:rsid w:val="00A87FBA"/>
    <w:rsid w:val="00A915D8"/>
    <w:rsid w:val="00A91BDB"/>
    <w:rsid w:val="00A920C8"/>
    <w:rsid w:val="00A92EC7"/>
    <w:rsid w:val="00A940F5"/>
    <w:rsid w:val="00A95672"/>
    <w:rsid w:val="00A96897"/>
    <w:rsid w:val="00AA1712"/>
    <w:rsid w:val="00AA193B"/>
    <w:rsid w:val="00AA2398"/>
    <w:rsid w:val="00AA2895"/>
    <w:rsid w:val="00AA2BCE"/>
    <w:rsid w:val="00AA2DEF"/>
    <w:rsid w:val="00AA33FD"/>
    <w:rsid w:val="00AA4A7B"/>
    <w:rsid w:val="00AA7515"/>
    <w:rsid w:val="00AB17DE"/>
    <w:rsid w:val="00AB22BB"/>
    <w:rsid w:val="00AB2A79"/>
    <w:rsid w:val="00AB3F51"/>
    <w:rsid w:val="00AB5122"/>
    <w:rsid w:val="00AB568C"/>
    <w:rsid w:val="00AB6C9B"/>
    <w:rsid w:val="00AB7A53"/>
    <w:rsid w:val="00AC06AC"/>
    <w:rsid w:val="00AC2077"/>
    <w:rsid w:val="00AC30D4"/>
    <w:rsid w:val="00AC3149"/>
    <w:rsid w:val="00AC6105"/>
    <w:rsid w:val="00AC665D"/>
    <w:rsid w:val="00AC6AAF"/>
    <w:rsid w:val="00AD04A6"/>
    <w:rsid w:val="00AD1226"/>
    <w:rsid w:val="00AD18E4"/>
    <w:rsid w:val="00AD2BEB"/>
    <w:rsid w:val="00AD4C4B"/>
    <w:rsid w:val="00AD7375"/>
    <w:rsid w:val="00AD7E94"/>
    <w:rsid w:val="00AE01AD"/>
    <w:rsid w:val="00AE293E"/>
    <w:rsid w:val="00AE3A5C"/>
    <w:rsid w:val="00AE432B"/>
    <w:rsid w:val="00AE4941"/>
    <w:rsid w:val="00AE58F6"/>
    <w:rsid w:val="00AE5BA8"/>
    <w:rsid w:val="00AE5D61"/>
    <w:rsid w:val="00AE7B1B"/>
    <w:rsid w:val="00AE7D53"/>
    <w:rsid w:val="00AE7E0B"/>
    <w:rsid w:val="00AF0DC7"/>
    <w:rsid w:val="00AF12D4"/>
    <w:rsid w:val="00AF3580"/>
    <w:rsid w:val="00AF3629"/>
    <w:rsid w:val="00AF5C94"/>
    <w:rsid w:val="00AF6F44"/>
    <w:rsid w:val="00AF7404"/>
    <w:rsid w:val="00B01894"/>
    <w:rsid w:val="00B02329"/>
    <w:rsid w:val="00B02CFD"/>
    <w:rsid w:val="00B03EE2"/>
    <w:rsid w:val="00B05DE1"/>
    <w:rsid w:val="00B06441"/>
    <w:rsid w:val="00B1045C"/>
    <w:rsid w:val="00B11B31"/>
    <w:rsid w:val="00B11F66"/>
    <w:rsid w:val="00B124FF"/>
    <w:rsid w:val="00B12563"/>
    <w:rsid w:val="00B13325"/>
    <w:rsid w:val="00B136DF"/>
    <w:rsid w:val="00B144AD"/>
    <w:rsid w:val="00B145E5"/>
    <w:rsid w:val="00B14C83"/>
    <w:rsid w:val="00B20E90"/>
    <w:rsid w:val="00B223D8"/>
    <w:rsid w:val="00B24E4F"/>
    <w:rsid w:val="00B25192"/>
    <w:rsid w:val="00B25291"/>
    <w:rsid w:val="00B258E5"/>
    <w:rsid w:val="00B26206"/>
    <w:rsid w:val="00B2706A"/>
    <w:rsid w:val="00B27A50"/>
    <w:rsid w:val="00B27DEE"/>
    <w:rsid w:val="00B30927"/>
    <w:rsid w:val="00B32397"/>
    <w:rsid w:val="00B32A74"/>
    <w:rsid w:val="00B3631A"/>
    <w:rsid w:val="00B36654"/>
    <w:rsid w:val="00B366ED"/>
    <w:rsid w:val="00B36F35"/>
    <w:rsid w:val="00B4022D"/>
    <w:rsid w:val="00B41A66"/>
    <w:rsid w:val="00B42C6D"/>
    <w:rsid w:val="00B433DD"/>
    <w:rsid w:val="00B43C1A"/>
    <w:rsid w:val="00B455AC"/>
    <w:rsid w:val="00B47608"/>
    <w:rsid w:val="00B47B09"/>
    <w:rsid w:val="00B47D38"/>
    <w:rsid w:val="00B522BB"/>
    <w:rsid w:val="00B53DE5"/>
    <w:rsid w:val="00B62B23"/>
    <w:rsid w:val="00B639BF"/>
    <w:rsid w:val="00B64180"/>
    <w:rsid w:val="00B648E2"/>
    <w:rsid w:val="00B64908"/>
    <w:rsid w:val="00B64D67"/>
    <w:rsid w:val="00B65565"/>
    <w:rsid w:val="00B657E8"/>
    <w:rsid w:val="00B65F56"/>
    <w:rsid w:val="00B66082"/>
    <w:rsid w:val="00B7037A"/>
    <w:rsid w:val="00B71547"/>
    <w:rsid w:val="00B72530"/>
    <w:rsid w:val="00B72C3D"/>
    <w:rsid w:val="00B73B46"/>
    <w:rsid w:val="00B73C5D"/>
    <w:rsid w:val="00B747D3"/>
    <w:rsid w:val="00B75A3A"/>
    <w:rsid w:val="00B81973"/>
    <w:rsid w:val="00B81FF8"/>
    <w:rsid w:val="00B8208E"/>
    <w:rsid w:val="00B82F0C"/>
    <w:rsid w:val="00B834F7"/>
    <w:rsid w:val="00B83D34"/>
    <w:rsid w:val="00B86D47"/>
    <w:rsid w:val="00B90737"/>
    <w:rsid w:val="00B909F9"/>
    <w:rsid w:val="00B90DF3"/>
    <w:rsid w:val="00B91BF3"/>
    <w:rsid w:val="00B935F9"/>
    <w:rsid w:val="00B94217"/>
    <w:rsid w:val="00B94B56"/>
    <w:rsid w:val="00B94F00"/>
    <w:rsid w:val="00B95B9E"/>
    <w:rsid w:val="00B96816"/>
    <w:rsid w:val="00B96C9D"/>
    <w:rsid w:val="00BA09BE"/>
    <w:rsid w:val="00BA0DD9"/>
    <w:rsid w:val="00BA0FE1"/>
    <w:rsid w:val="00BA1714"/>
    <w:rsid w:val="00BA22F8"/>
    <w:rsid w:val="00BA2A4B"/>
    <w:rsid w:val="00BA476B"/>
    <w:rsid w:val="00BA48FC"/>
    <w:rsid w:val="00BA55C2"/>
    <w:rsid w:val="00BA5B8D"/>
    <w:rsid w:val="00BA5CFA"/>
    <w:rsid w:val="00BA6512"/>
    <w:rsid w:val="00BA661A"/>
    <w:rsid w:val="00BA6787"/>
    <w:rsid w:val="00BA70E2"/>
    <w:rsid w:val="00BB2218"/>
    <w:rsid w:val="00BB5996"/>
    <w:rsid w:val="00BB5C31"/>
    <w:rsid w:val="00BB72D2"/>
    <w:rsid w:val="00BB73A8"/>
    <w:rsid w:val="00BC09D8"/>
    <w:rsid w:val="00BC1561"/>
    <w:rsid w:val="00BC204B"/>
    <w:rsid w:val="00BC2A8E"/>
    <w:rsid w:val="00BC2FA9"/>
    <w:rsid w:val="00BC39FF"/>
    <w:rsid w:val="00BC4941"/>
    <w:rsid w:val="00BC5D79"/>
    <w:rsid w:val="00BC5F4D"/>
    <w:rsid w:val="00BC675C"/>
    <w:rsid w:val="00BC6CE3"/>
    <w:rsid w:val="00BC7366"/>
    <w:rsid w:val="00BD0763"/>
    <w:rsid w:val="00BD0C93"/>
    <w:rsid w:val="00BD142D"/>
    <w:rsid w:val="00BD1D4B"/>
    <w:rsid w:val="00BD1F25"/>
    <w:rsid w:val="00BD224D"/>
    <w:rsid w:val="00BD2A70"/>
    <w:rsid w:val="00BD55EA"/>
    <w:rsid w:val="00BD582D"/>
    <w:rsid w:val="00BD5A5F"/>
    <w:rsid w:val="00BD5B6A"/>
    <w:rsid w:val="00BD5E69"/>
    <w:rsid w:val="00BD6890"/>
    <w:rsid w:val="00BD6F23"/>
    <w:rsid w:val="00BD70AE"/>
    <w:rsid w:val="00BD7FF5"/>
    <w:rsid w:val="00BE01AC"/>
    <w:rsid w:val="00BE050B"/>
    <w:rsid w:val="00BE06F2"/>
    <w:rsid w:val="00BE2830"/>
    <w:rsid w:val="00BE28AE"/>
    <w:rsid w:val="00BE3BC7"/>
    <w:rsid w:val="00BE48E5"/>
    <w:rsid w:val="00BE586B"/>
    <w:rsid w:val="00BE5CBE"/>
    <w:rsid w:val="00BE6834"/>
    <w:rsid w:val="00BE6F15"/>
    <w:rsid w:val="00BE7078"/>
    <w:rsid w:val="00BF0368"/>
    <w:rsid w:val="00BF0382"/>
    <w:rsid w:val="00BF1356"/>
    <w:rsid w:val="00BF4C12"/>
    <w:rsid w:val="00BF4CD4"/>
    <w:rsid w:val="00BF5C5A"/>
    <w:rsid w:val="00BF5E87"/>
    <w:rsid w:val="00BF6AB4"/>
    <w:rsid w:val="00BF7016"/>
    <w:rsid w:val="00BF7F6A"/>
    <w:rsid w:val="00C003F9"/>
    <w:rsid w:val="00C02529"/>
    <w:rsid w:val="00C0314E"/>
    <w:rsid w:val="00C041A8"/>
    <w:rsid w:val="00C059CA"/>
    <w:rsid w:val="00C05E50"/>
    <w:rsid w:val="00C06B0E"/>
    <w:rsid w:val="00C14838"/>
    <w:rsid w:val="00C1485F"/>
    <w:rsid w:val="00C15053"/>
    <w:rsid w:val="00C150CD"/>
    <w:rsid w:val="00C17039"/>
    <w:rsid w:val="00C20C0F"/>
    <w:rsid w:val="00C21D19"/>
    <w:rsid w:val="00C21E85"/>
    <w:rsid w:val="00C25DF3"/>
    <w:rsid w:val="00C2613A"/>
    <w:rsid w:val="00C26638"/>
    <w:rsid w:val="00C26660"/>
    <w:rsid w:val="00C266E1"/>
    <w:rsid w:val="00C267EA"/>
    <w:rsid w:val="00C3098E"/>
    <w:rsid w:val="00C34E57"/>
    <w:rsid w:val="00C35F11"/>
    <w:rsid w:val="00C367CE"/>
    <w:rsid w:val="00C367EE"/>
    <w:rsid w:val="00C370DD"/>
    <w:rsid w:val="00C372C5"/>
    <w:rsid w:val="00C4021D"/>
    <w:rsid w:val="00C42300"/>
    <w:rsid w:val="00C43EC1"/>
    <w:rsid w:val="00C45BCD"/>
    <w:rsid w:val="00C47179"/>
    <w:rsid w:val="00C471EB"/>
    <w:rsid w:val="00C473A0"/>
    <w:rsid w:val="00C477A1"/>
    <w:rsid w:val="00C47E1F"/>
    <w:rsid w:val="00C47F95"/>
    <w:rsid w:val="00C5015F"/>
    <w:rsid w:val="00C508F1"/>
    <w:rsid w:val="00C520B9"/>
    <w:rsid w:val="00C527BA"/>
    <w:rsid w:val="00C52E7C"/>
    <w:rsid w:val="00C540D6"/>
    <w:rsid w:val="00C55FB7"/>
    <w:rsid w:val="00C57444"/>
    <w:rsid w:val="00C576C7"/>
    <w:rsid w:val="00C5796D"/>
    <w:rsid w:val="00C615A3"/>
    <w:rsid w:val="00C61A34"/>
    <w:rsid w:val="00C61ADB"/>
    <w:rsid w:val="00C66219"/>
    <w:rsid w:val="00C6697B"/>
    <w:rsid w:val="00C67496"/>
    <w:rsid w:val="00C70ED6"/>
    <w:rsid w:val="00C723EE"/>
    <w:rsid w:val="00C745E5"/>
    <w:rsid w:val="00C746EE"/>
    <w:rsid w:val="00C74C64"/>
    <w:rsid w:val="00C755BE"/>
    <w:rsid w:val="00C7570E"/>
    <w:rsid w:val="00C7677E"/>
    <w:rsid w:val="00C76F22"/>
    <w:rsid w:val="00C77B15"/>
    <w:rsid w:val="00C821FA"/>
    <w:rsid w:val="00C8396F"/>
    <w:rsid w:val="00C83A2A"/>
    <w:rsid w:val="00C85629"/>
    <w:rsid w:val="00C85971"/>
    <w:rsid w:val="00C876A7"/>
    <w:rsid w:val="00C9044A"/>
    <w:rsid w:val="00C917EB"/>
    <w:rsid w:val="00C9191D"/>
    <w:rsid w:val="00C91942"/>
    <w:rsid w:val="00C91BA0"/>
    <w:rsid w:val="00C91C9D"/>
    <w:rsid w:val="00C9316B"/>
    <w:rsid w:val="00C97177"/>
    <w:rsid w:val="00CA098D"/>
    <w:rsid w:val="00CA12F9"/>
    <w:rsid w:val="00CA1463"/>
    <w:rsid w:val="00CA2C4F"/>
    <w:rsid w:val="00CA3097"/>
    <w:rsid w:val="00CA35C5"/>
    <w:rsid w:val="00CA376A"/>
    <w:rsid w:val="00CA3A41"/>
    <w:rsid w:val="00CA4614"/>
    <w:rsid w:val="00CA5349"/>
    <w:rsid w:val="00CA5D93"/>
    <w:rsid w:val="00CA5F4C"/>
    <w:rsid w:val="00CA694E"/>
    <w:rsid w:val="00CB0E0E"/>
    <w:rsid w:val="00CB16D2"/>
    <w:rsid w:val="00CB186C"/>
    <w:rsid w:val="00CB1B4F"/>
    <w:rsid w:val="00CB2B21"/>
    <w:rsid w:val="00CB355A"/>
    <w:rsid w:val="00CB4787"/>
    <w:rsid w:val="00CB656A"/>
    <w:rsid w:val="00CC10C2"/>
    <w:rsid w:val="00CC1410"/>
    <w:rsid w:val="00CC22C8"/>
    <w:rsid w:val="00CC322C"/>
    <w:rsid w:val="00CC4E3F"/>
    <w:rsid w:val="00CC73D3"/>
    <w:rsid w:val="00CC761E"/>
    <w:rsid w:val="00CC7A2D"/>
    <w:rsid w:val="00CD1BE5"/>
    <w:rsid w:val="00CD1D4D"/>
    <w:rsid w:val="00CD2513"/>
    <w:rsid w:val="00CD2ADE"/>
    <w:rsid w:val="00CD2ED8"/>
    <w:rsid w:val="00CD3E52"/>
    <w:rsid w:val="00CD481E"/>
    <w:rsid w:val="00CD4987"/>
    <w:rsid w:val="00CD4A98"/>
    <w:rsid w:val="00CD4D4B"/>
    <w:rsid w:val="00CD52E8"/>
    <w:rsid w:val="00CD5AED"/>
    <w:rsid w:val="00CE08B2"/>
    <w:rsid w:val="00CE0E76"/>
    <w:rsid w:val="00CE0FA8"/>
    <w:rsid w:val="00CE27B7"/>
    <w:rsid w:val="00CE32A3"/>
    <w:rsid w:val="00CE4AD1"/>
    <w:rsid w:val="00CE73BB"/>
    <w:rsid w:val="00CF3493"/>
    <w:rsid w:val="00CF3B38"/>
    <w:rsid w:val="00CF7496"/>
    <w:rsid w:val="00CF76A3"/>
    <w:rsid w:val="00D01C74"/>
    <w:rsid w:val="00D02159"/>
    <w:rsid w:val="00D03741"/>
    <w:rsid w:val="00D0378E"/>
    <w:rsid w:val="00D04BDD"/>
    <w:rsid w:val="00D05707"/>
    <w:rsid w:val="00D0616F"/>
    <w:rsid w:val="00D06302"/>
    <w:rsid w:val="00D07FDD"/>
    <w:rsid w:val="00D07FF8"/>
    <w:rsid w:val="00D10094"/>
    <w:rsid w:val="00D116C3"/>
    <w:rsid w:val="00D1280B"/>
    <w:rsid w:val="00D12BA0"/>
    <w:rsid w:val="00D13606"/>
    <w:rsid w:val="00D13930"/>
    <w:rsid w:val="00D13CA7"/>
    <w:rsid w:val="00D13E05"/>
    <w:rsid w:val="00D21CD9"/>
    <w:rsid w:val="00D22050"/>
    <w:rsid w:val="00D22554"/>
    <w:rsid w:val="00D253BD"/>
    <w:rsid w:val="00D25D7A"/>
    <w:rsid w:val="00D26AA7"/>
    <w:rsid w:val="00D305A7"/>
    <w:rsid w:val="00D30B7A"/>
    <w:rsid w:val="00D31C85"/>
    <w:rsid w:val="00D31EDC"/>
    <w:rsid w:val="00D324F7"/>
    <w:rsid w:val="00D326D1"/>
    <w:rsid w:val="00D32A22"/>
    <w:rsid w:val="00D33B87"/>
    <w:rsid w:val="00D3439C"/>
    <w:rsid w:val="00D34832"/>
    <w:rsid w:val="00D34A1F"/>
    <w:rsid w:val="00D3570A"/>
    <w:rsid w:val="00D35E97"/>
    <w:rsid w:val="00D362A3"/>
    <w:rsid w:val="00D36DA6"/>
    <w:rsid w:val="00D37F05"/>
    <w:rsid w:val="00D40EC5"/>
    <w:rsid w:val="00D42438"/>
    <w:rsid w:val="00D43B7A"/>
    <w:rsid w:val="00D450C5"/>
    <w:rsid w:val="00D462A7"/>
    <w:rsid w:val="00D47AFA"/>
    <w:rsid w:val="00D47CD3"/>
    <w:rsid w:val="00D51997"/>
    <w:rsid w:val="00D53400"/>
    <w:rsid w:val="00D53957"/>
    <w:rsid w:val="00D557A4"/>
    <w:rsid w:val="00D579B8"/>
    <w:rsid w:val="00D60DF6"/>
    <w:rsid w:val="00D6104F"/>
    <w:rsid w:val="00D61706"/>
    <w:rsid w:val="00D61EB9"/>
    <w:rsid w:val="00D62F0E"/>
    <w:rsid w:val="00D63442"/>
    <w:rsid w:val="00D63BFA"/>
    <w:rsid w:val="00D63EB7"/>
    <w:rsid w:val="00D647E0"/>
    <w:rsid w:val="00D64F87"/>
    <w:rsid w:val="00D652F9"/>
    <w:rsid w:val="00D657CE"/>
    <w:rsid w:val="00D65DB2"/>
    <w:rsid w:val="00D66298"/>
    <w:rsid w:val="00D6752B"/>
    <w:rsid w:val="00D67E39"/>
    <w:rsid w:val="00D71C02"/>
    <w:rsid w:val="00D7298F"/>
    <w:rsid w:val="00D73760"/>
    <w:rsid w:val="00D738FD"/>
    <w:rsid w:val="00D73B9D"/>
    <w:rsid w:val="00D7403F"/>
    <w:rsid w:val="00D746BB"/>
    <w:rsid w:val="00D75243"/>
    <w:rsid w:val="00D77831"/>
    <w:rsid w:val="00D77FB6"/>
    <w:rsid w:val="00D81014"/>
    <w:rsid w:val="00D813D9"/>
    <w:rsid w:val="00D817A8"/>
    <w:rsid w:val="00D8323C"/>
    <w:rsid w:val="00D837C8"/>
    <w:rsid w:val="00D84166"/>
    <w:rsid w:val="00D9091F"/>
    <w:rsid w:val="00D912A1"/>
    <w:rsid w:val="00D916BD"/>
    <w:rsid w:val="00D920FB"/>
    <w:rsid w:val="00D92C11"/>
    <w:rsid w:val="00D945CC"/>
    <w:rsid w:val="00D9464A"/>
    <w:rsid w:val="00D949C7"/>
    <w:rsid w:val="00D94A7F"/>
    <w:rsid w:val="00D97C84"/>
    <w:rsid w:val="00DA20F3"/>
    <w:rsid w:val="00DA282C"/>
    <w:rsid w:val="00DA3E11"/>
    <w:rsid w:val="00DA41E5"/>
    <w:rsid w:val="00DA48F0"/>
    <w:rsid w:val="00DA564A"/>
    <w:rsid w:val="00DA5E0D"/>
    <w:rsid w:val="00DA66B1"/>
    <w:rsid w:val="00DB076F"/>
    <w:rsid w:val="00DB1711"/>
    <w:rsid w:val="00DB1D62"/>
    <w:rsid w:val="00DB20BA"/>
    <w:rsid w:val="00DB29AF"/>
    <w:rsid w:val="00DB498B"/>
    <w:rsid w:val="00DB4F3D"/>
    <w:rsid w:val="00DB7EC3"/>
    <w:rsid w:val="00DC0CD8"/>
    <w:rsid w:val="00DC0E41"/>
    <w:rsid w:val="00DC48D2"/>
    <w:rsid w:val="00DC5121"/>
    <w:rsid w:val="00DC5608"/>
    <w:rsid w:val="00DC747F"/>
    <w:rsid w:val="00DC7F63"/>
    <w:rsid w:val="00DD054B"/>
    <w:rsid w:val="00DD061E"/>
    <w:rsid w:val="00DD0C00"/>
    <w:rsid w:val="00DD0C78"/>
    <w:rsid w:val="00DD0E21"/>
    <w:rsid w:val="00DD120B"/>
    <w:rsid w:val="00DD1B71"/>
    <w:rsid w:val="00DD24BF"/>
    <w:rsid w:val="00DD326B"/>
    <w:rsid w:val="00DD5202"/>
    <w:rsid w:val="00DD5E51"/>
    <w:rsid w:val="00DE5D29"/>
    <w:rsid w:val="00DE5F70"/>
    <w:rsid w:val="00DF0100"/>
    <w:rsid w:val="00DF495D"/>
    <w:rsid w:val="00DF64A3"/>
    <w:rsid w:val="00E000EE"/>
    <w:rsid w:val="00E0235D"/>
    <w:rsid w:val="00E029AA"/>
    <w:rsid w:val="00E02B1A"/>
    <w:rsid w:val="00E02DCE"/>
    <w:rsid w:val="00E030CA"/>
    <w:rsid w:val="00E031FC"/>
    <w:rsid w:val="00E03C6D"/>
    <w:rsid w:val="00E044B1"/>
    <w:rsid w:val="00E075BE"/>
    <w:rsid w:val="00E07952"/>
    <w:rsid w:val="00E07E51"/>
    <w:rsid w:val="00E102EC"/>
    <w:rsid w:val="00E10B20"/>
    <w:rsid w:val="00E1125B"/>
    <w:rsid w:val="00E11CB7"/>
    <w:rsid w:val="00E12C73"/>
    <w:rsid w:val="00E14418"/>
    <w:rsid w:val="00E14595"/>
    <w:rsid w:val="00E14B6D"/>
    <w:rsid w:val="00E14D4E"/>
    <w:rsid w:val="00E15092"/>
    <w:rsid w:val="00E20C9F"/>
    <w:rsid w:val="00E21C26"/>
    <w:rsid w:val="00E2334E"/>
    <w:rsid w:val="00E2489F"/>
    <w:rsid w:val="00E3031F"/>
    <w:rsid w:val="00E30610"/>
    <w:rsid w:val="00E3153E"/>
    <w:rsid w:val="00E31A27"/>
    <w:rsid w:val="00E33C83"/>
    <w:rsid w:val="00E36582"/>
    <w:rsid w:val="00E369A7"/>
    <w:rsid w:val="00E408AF"/>
    <w:rsid w:val="00E417EF"/>
    <w:rsid w:val="00E421D8"/>
    <w:rsid w:val="00E427EF"/>
    <w:rsid w:val="00E46683"/>
    <w:rsid w:val="00E47478"/>
    <w:rsid w:val="00E47AAC"/>
    <w:rsid w:val="00E515C8"/>
    <w:rsid w:val="00E52F79"/>
    <w:rsid w:val="00E534D7"/>
    <w:rsid w:val="00E552B0"/>
    <w:rsid w:val="00E55454"/>
    <w:rsid w:val="00E55C69"/>
    <w:rsid w:val="00E5651B"/>
    <w:rsid w:val="00E57A5F"/>
    <w:rsid w:val="00E608F4"/>
    <w:rsid w:val="00E61BF5"/>
    <w:rsid w:val="00E64EA0"/>
    <w:rsid w:val="00E66871"/>
    <w:rsid w:val="00E66933"/>
    <w:rsid w:val="00E66E64"/>
    <w:rsid w:val="00E66FB2"/>
    <w:rsid w:val="00E67E3E"/>
    <w:rsid w:val="00E7389E"/>
    <w:rsid w:val="00E73DB1"/>
    <w:rsid w:val="00E74712"/>
    <w:rsid w:val="00E75343"/>
    <w:rsid w:val="00E75AF1"/>
    <w:rsid w:val="00E75E8A"/>
    <w:rsid w:val="00E813BF"/>
    <w:rsid w:val="00E81FC4"/>
    <w:rsid w:val="00E846EA"/>
    <w:rsid w:val="00E84E94"/>
    <w:rsid w:val="00E850EA"/>
    <w:rsid w:val="00E85826"/>
    <w:rsid w:val="00E8599C"/>
    <w:rsid w:val="00E86855"/>
    <w:rsid w:val="00E87FB1"/>
    <w:rsid w:val="00E901C9"/>
    <w:rsid w:val="00E90925"/>
    <w:rsid w:val="00E9093F"/>
    <w:rsid w:val="00E9169A"/>
    <w:rsid w:val="00E927A9"/>
    <w:rsid w:val="00E92E16"/>
    <w:rsid w:val="00E9352B"/>
    <w:rsid w:val="00E9380A"/>
    <w:rsid w:val="00E93CC5"/>
    <w:rsid w:val="00E93F0F"/>
    <w:rsid w:val="00E9534F"/>
    <w:rsid w:val="00E95E71"/>
    <w:rsid w:val="00E9631C"/>
    <w:rsid w:val="00E9685C"/>
    <w:rsid w:val="00E96C62"/>
    <w:rsid w:val="00E97870"/>
    <w:rsid w:val="00EA0F7D"/>
    <w:rsid w:val="00EA23D1"/>
    <w:rsid w:val="00EA2F20"/>
    <w:rsid w:val="00EA544C"/>
    <w:rsid w:val="00EA6F96"/>
    <w:rsid w:val="00EA76BA"/>
    <w:rsid w:val="00EA7A18"/>
    <w:rsid w:val="00EA7CDB"/>
    <w:rsid w:val="00EB05D9"/>
    <w:rsid w:val="00EB253A"/>
    <w:rsid w:val="00EB2744"/>
    <w:rsid w:val="00EB2F35"/>
    <w:rsid w:val="00EB45A0"/>
    <w:rsid w:val="00EB4D66"/>
    <w:rsid w:val="00EB5B9B"/>
    <w:rsid w:val="00EB71A0"/>
    <w:rsid w:val="00EB7F92"/>
    <w:rsid w:val="00EC12F2"/>
    <w:rsid w:val="00EC1714"/>
    <w:rsid w:val="00EC202C"/>
    <w:rsid w:val="00EC33D3"/>
    <w:rsid w:val="00EC57CC"/>
    <w:rsid w:val="00EC6637"/>
    <w:rsid w:val="00EC6710"/>
    <w:rsid w:val="00EC7A4D"/>
    <w:rsid w:val="00EC7AF6"/>
    <w:rsid w:val="00EC7C93"/>
    <w:rsid w:val="00ED235C"/>
    <w:rsid w:val="00ED323C"/>
    <w:rsid w:val="00ED366F"/>
    <w:rsid w:val="00ED4427"/>
    <w:rsid w:val="00ED4A40"/>
    <w:rsid w:val="00ED5525"/>
    <w:rsid w:val="00ED567D"/>
    <w:rsid w:val="00EE0CB9"/>
    <w:rsid w:val="00EE63E2"/>
    <w:rsid w:val="00EE6449"/>
    <w:rsid w:val="00EE71F9"/>
    <w:rsid w:val="00EE7C93"/>
    <w:rsid w:val="00EF017B"/>
    <w:rsid w:val="00EF0EDF"/>
    <w:rsid w:val="00EF14DE"/>
    <w:rsid w:val="00EF2702"/>
    <w:rsid w:val="00EF3036"/>
    <w:rsid w:val="00EF387A"/>
    <w:rsid w:val="00EF45F3"/>
    <w:rsid w:val="00EF6134"/>
    <w:rsid w:val="00EF6704"/>
    <w:rsid w:val="00EF6AE6"/>
    <w:rsid w:val="00EF7360"/>
    <w:rsid w:val="00F00636"/>
    <w:rsid w:val="00F006B3"/>
    <w:rsid w:val="00F008D7"/>
    <w:rsid w:val="00F00BAD"/>
    <w:rsid w:val="00F01490"/>
    <w:rsid w:val="00F0161C"/>
    <w:rsid w:val="00F04903"/>
    <w:rsid w:val="00F04FF0"/>
    <w:rsid w:val="00F051BC"/>
    <w:rsid w:val="00F06FFD"/>
    <w:rsid w:val="00F073FC"/>
    <w:rsid w:val="00F1164F"/>
    <w:rsid w:val="00F1300B"/>
    <w:rsid w:val="00F14222"/>
    <w:rsid w:val="00F14441"/>
    <w:rsid w:val="00F14F9D"/>
    <w:rsid w:val="00F14FE7"/>
    <w:rsid w:val="00F15912"/>
    <w:rsid w:val="00F169CD"/>
    <w:rsid w:val="00F17FCE"/>
    <w:rsid w:val="00F20041"/>
    <w:rsid w:val="00F216F2"/>
    <w:rsid w:val="00F23EEA"/>
    <w:rsid w:val="00F23F08"/>
    <w:rsid w:val="00F248CC"/>
    <w:rsid w:val="00F2619B"/>
    <w:rsid w:val="00F27ED4"/>
    <w:rsid w:val="00F30626"/>
    <w:rsid w:val="00F307A4"/>
    <w:rsid w:val="00F311D5"/>
    <w:rsid w:val="00F3160F"/>
    <w:rsid w:val="00F31CDB"/>
    <w:rsid w:val="00F31D3E"/>
    <w:rsid w:val="00F31FEA"/>
    <w:rsid w:val="00F323EA"/>
    <w:rsid w:val="00F329F9"/>
    <w:rsid w:val="00F32CEE"/>
    <w:rsid w:val="00F34F0C"/>
    <w:rsid w:val="00F34FD2"/>
    <w:rsid w:val="00F35A4B"/>
    <w:rsid w:val="00F369B3"/>
    <w:rsid w:val="00F37AB2"/>
    <w:rsid w:val="00F37BA5"/>
    <w:rsid w:val="00F4022A"/>
    <w:rsid w:val="00F421CF"/>
    <w:rsid w:val="00F42A76"/>
    <w:rsid w:val="00F42B9B"/>
    <w:rsid w:val="00F468B6"/>
    <w:rsid w:val="00F47ACF"/>
    <w:rsid w:val="00F511CE"/>
    <w:rsid w:val="00F533DB"/>
    <w:rsid w:val="00F53C65"/>
    <w:rsid w:val="00F5485A"/>
    <w:rsid w:val="00F558D5"/>
    <w:rsid w:val="00F56ECB"/>
    <w:rsid w:val="00F571A1"/>
    <w:rsid w:val="00F607F0"/>
    <w:rsid w:val="00F63159"/>
    <w:rsid w:val="00F6345A"/>
    <w:rsid w:val="00F6368E"/>
    <w:rsid w:val="00F65069"/>
    <w:rsid w:val="00F653C1"/>
    <w:rsid w:val="00F67577"/>
    <w:rsid w:val="00F6790D"/>
    <w:rsid w:val="00F679F3"/>
    <w:rsid w:val="00F70B09"/>
    <w:rsid w:val="00F71879"/>
    <w:rsid w:val="00F728F8"/>
    <w:rsid w:val="00F735A7"/>
    <w:rsid w:val="00F73BD6"/>
    <w:rsid w:val="00F75347"/>
    <w:rsid w:val="00F76139"/>
    <w:rsid w:val="00F77FD0"/>
    <w:rsid w:val="00F800A6"/>
    <w:rsid w:val="00F81AAA"/>
    <w:rsid w:val="00F82BF0"/>
    <w:rsid w:val="00F82DE9"/>
    <w:rsid w:val="00F86469"/>
    <w:rsid w:val="00F86599"/>
    <w:rsid w:val="00F86A84"/>
    <w:rsid w:val="00F90D28"/>
    <w:rsid w:val="00F90FBD"/>
    <w:rsid w:val="00F90FC9"/>
    <w:rsid w:val="00F91000"/>
    <w:rsid w:val="00F91BD9"/>
    <w:rsid w:val="00F92F4D"/>
    <w:rsid w:val="00F95AA1"/>
    <w:rsid w:val="00F960B0"/>
    <w:rsid w:val="00F96E8C"/>
    <w:rsid w:val="00F9753C"/>
    <w:rsid w:val="00FA0AFC"/>
    <w:rsid w:val="00FA0D0D"/>
    <w:rsid w:val="00FA1524"/>
    <w:rsid w:val="00FA2A0A"/>
    <w:rsid w:val="00FA4374"/>
    <w:rsid w:val="00FA5062"/>
    <w:rsid w:val="00FA5080"/>
    <w:rsid w:val="00FA7CCF"/>
    <w:rsid w:val="00FB032B"/>
    <w:rsid w:val="00FB07B8"/>
    <w:rsid w:val="00FB0A1D"/>
    <w:rsid w:val="00FB16BA"/>
    <w:rsid w:val="00FB17C7"/>
    <w:rsid w:val="00FB1915"/>
    <w:rsid w:val="00FB1C3D"/>
    <w:rsid w:val="00FB3AA2"/>
    <w:rsid w:val="00FB4224"/>
    <w:rsid w:val="00FB456C"/>
    <w:rsid w:val="00FB603B"/>
    <w:rsid w:val="00FB6ECA"/>
    <w:rsid w:val="00FB7D4D"/>
    <w:rsid w:val="00FC14FA"/>
    <w:rsid w:val="00FC4336"/>
    <w:rsid w:val="00FC4CEA"/>
    <w:rsid w:val="00FC5AB3"/>
    <w:rsid w:val="00FC5C1F"/>
    <w:rsid w:val="00FC66AE"/>
    <w:rsid w:val="00FC72BC"/>
    <w:rsid w:val="00FD10CA"/>
    <w:rsid w:val="00FD15D5"/>
    <w:rsid w:val="00FD285E"/>
    <w:rsid w:val="00FD4862"/>
    <w:rsid w:val="00FD53E4"/>
    <w:rsid w:val="00FD6860"/>
    <w:rsid w:val="00FE1A9A"/>
    <w:rsid w:val="00FE3516"/>
    <w:rsid w:val="00FE40A9"/>
    <w:rsid w:val="00FE4180"/>
    <w:rsid w:val="00FE55D9"/>
    <w:rsid w:val="00FE5E60"/>
    <w:rsid w:val="00FF0ACB"/>
    <w:rsid w:val="00FF1148"/>
    <w:rsid w:val="00FF210C"/>
    <w:rsid w:val="00FF2B64"/>
    <w:rsid w:val="00FF2C33"/>
    <w:rsid w:val="00FF2CCF"/>
    <w:rsid w:val="00FF3846"/>
    <w:rsid w:val="00FF407F"/>
    <w:rsid w:val="00FF4FC5"/>
    <w:rsid w:val="00FF57EF"/>
    <w:rsid w:val="00FF61A3"/>
    <w:rsid w:val="00FF77DB"/>
    <w:rsid w:val="00FF7CE8"/>
    <w:rsid w:val="1CAE5838"/>
    <w:rsid w:val="71C73A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023CA"/>
  <w15:docId w15:val="{0386DE85-608C-42E8-BEB3-D145BD1F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F6A"/>
    <w:pPr>
      <w:overflowPunct w:val="0"/>
      <w:autoSpaceDE w:val="0"/>
      <w:autoSpaceDN w:val="0"/>
      <w:adjustRightInd w:val="0"/>
      <w:textAlignment w:val="baseline"/>
    </w:pPr>
    <w:rPr>
      <w:lang w:val="en-AU" w:eastAsia="en-GB"/>
    </w:rPr>
  </w:style>
  <w:style w:type="paragraph" w:styleId="Heading1">
    <w:name w:val="heading 1"/>
    <w:basedOn w:val="Normal"/>
    <w:next w:val="Normal"/>
    <w:qFormat/>
    <w:rsid w:val="00067B27"/>
    <w:pPr>
      <w:keepNext/>
      <w:pageBreakBefore/>
      <w:spacing w:before="60" w:after="180"/>
      <w:outlineLvl w:val="0"/>
    </w:pPr>
    <w:rPr>
      <w:b/>
      <w:bCs/>
      <w:caps/>
      <w:kern w:val="28"/>
      <w:sz w:val="28"/>
      <w:szCs w:val="28"/>
    </w:rPr>
  </w:style>
  <w:style w:type="paragraph" w:styleId="Heading2">
    <w:name w:val="heading 2"/>
    <w:basedOn w:val="Normal"/>
    <w:next w:val="Normal"/>
    <w:qFormat/>
    <w:rsid w:val="005479BE"/>
    <w:pPr>
      <w:keepNext/>
      <w:spacing w:before="120" w:after="60"/>
      <w:outlineLvl w:val="1"/>
    </w:pPr>
    <w:rPr>
      <w:b/>
      <w:bCs/>
      <w:smallCaps/>
      <w:sz w:val="28"/>
      <w:szCs w:val="28"/>
    </w:rPr>
  </w:style>
  <w:style w:type="paragraph" w:styleId="Heading3">
    <w:name w:val="heading 3"/>
    <w:basedOn w:val="Normal"/>
    <w:next w:val="Normal"/>
    <w:uiPriority w:val="99"/>
    <w:qFormat/>
    <w:rsid w:val="00BF7F6A"/>
    <w:pPr>
      <w:keepNext/>
      <w:spacing w:before="120" w:after="60"/>
      <w:outlineLvl w:val="2"/>
    </w:pPr>
    <w:rPr>
      <w:b/>
      <w:bCs/>
      <w:sz w:val="24"/>
      <w:szCs w:val="24"/>
    </w:rPr>
  </w:style>
  <w:style w:type="paragraph" w:styleId="Heading4">
    <w:name w:val="heading 4"/>
    <w:basedOn w:val="Normal"/>
    <w:next w:val="Normal"/>
    <w:qFormat/>
    <w:rsid w:val="0052126A"/>
    <w:pPr>
      <w:keepNext/>
      <w:spacing w:before="60" w:after="60"/>
      <w:outlineLvl w:val="3"/>
    </w:pPr>
    <w:rPr>
      <w:b/>
      <w:bCs/>
    </w:rPr>
  </w:style>
  <w:style w:type="paragraph" w:styleId="Heading5">
    <w:name w:val="heading 5"/>
    <w:basedOn w:val="Normal"/>
    <w:next w:val="Normal"/>
    <w:qFormat/>
    <w:rsid w:val="0052126A"/>
    <w:pPr>
      <w:keepNext/>
      <w:spacing w:before="60" w:after="60"/>
      <w:outlineLvl w:val="4"/>
    </w:pPr>
    <w:rPr>
      <w:b/>
      <w:bCs/>
      <w:i/>
      <w:iCs/>
    </w:rPr>
  </w:style>
  <w:style w:type="paragraph" w:styleId="Heading6">
    <w:name w:val="heading 6"/>
    <w:basedOn w:val="Normal"/>
    <w:next w:val="Normal"/>
    <w:qFormat/>
    <w:rsid w:val="0052126A"/>
    <w:pPr>
      <w:spacing w:before="240" w:after="60"/>
      <w:outlineLvl w:val="5"/>
    </w:pPr>
  </w:style>
  <w:style w:type="paragraph" w:styleId="Heading7">
    <w:name w:val="heading 7"/>
    <w:basedOn w:val="Normal"/>
    <w:next w:val="Normal"/>
    <w:qFormat/>
    <w:rsid w:val="0052126A"/>
    <w:pPr>
      <w:spacing w:before="240" w:after="60"/>
      <w:outlineLvl w:val="6"/>
    </w:pPr>
  </w:style>
  <w:style w:type="paragraph" w:styleId="Heading8">
    <w:name w:val="heading 8"/>
    <w:basedOn w:val="Normal"/>
    <w:next w:val="Normal"/>
    <w:qFormat/>
    <w:rsid w:val="0052126A"/>
    <w:pPr>
      <w:spacing w:before="240" w:after="60"/>
      <w:outlineLvl w:val="7"/>
    </w:pPr>
    <w:rPr>
      <w:i/>
      <w:iCs/>
    </w:rPr>
  </w:style>
  <w:style w:type="paragraph" w:styleId="Heading9">
    <w:name w:val="heading 9"/>
    <w:basedOn w:val="Normal"/>
    <w:next w:val="Normal"/>
    <w:qFormat/>
    <w:rsid w:val="0052126A"/>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26A"/>
    <w:pPr>
      <w:tabs>
        <w:tab w:val="center" w:pos="4153"/>
        <w:tab w:val="right" w:pos="8306"/>
      </w:tabs>
    </w:pPr>
  </w:style>
  <w:style w:type="paragraph" w:styleId="Footer">
    <w:name w:val="footer"/>
    <w:basedOn w:val="Normal"/>
    <w:rsid w:val="005479BE"/>
    <w:pPr>
      <w:pBdr>
        <w:top w:val="single" w:sz="6" w:space="1" w:color="auto"/>
      </w:pBdr>
      <w:tabs>
        <w:tab w:val="right" w:pos="9000"/>
      </w:tabs>
    </w:pPr>
  </w:style>
  <w:style w:type="character" w:styleId="PageNumber">
    <w:name w:val="page number"/>
    <w:basedOn w:val="DefaultParagraphFont"/>
    <w:rsid w:val="0052126A"/>
  </w:style>
  <w:style w:type="paragraph" w:customStyle="1" w:styleId="Bullet1">
    <w:name w:val="Bullet 1"/>
    <w:basedOn w:val="Normal"/>
    <w:rsid w:val="007A4F03"/>
    <w:pPr>
      <w:keepLines/>
      <w:numPr>
        <w:numId w:val="3"/>
      </w:numPr>
      <w:spacing w:after="60"/>
    </w:pPr>
    <w:rPr>
      <w:snapToGrid w:val="0"/>
      <w:sz w:val="22"/>
      <w:szCs w:val="22"/>
    </w:rPr>
  </w:style>
  <w:style w:type="paragraph" w:customStyle="1" w:styleId="Number1">
    <w:name w:val="Number 1"/>
    <w:basedOn w:val="Normal"/>
    <w:rsid w:val="00B02329"/>
    <w:pPr>
      <w:numPr>
        <w:numId w:val="2"/>
      </w:numPr>
      <w:spacing w:before="60" w:after="60"/>
    </w:pPr>
    <w:rPr>
      <w:sz w:val="22"/>
      <w:szCs w:val="22"/>
    </w:rPr>
  </w:style>
  <w:style w:type="paragraph" w:customStyle="1" w:styleId="Number2">
    <w:name w:val="Number 2"/>
    <w:basedOn w:val="Normal"/>
    <w:rsid w:val="00BF7F6A"/>
    <w:pPr>
      <w:keepLines/>
      <w:numPr>
        <w:ilvl w:val="1"/>
        <w:numId w:val="1"/>
      </w:numPr>
      <w:spacing w:before="60" w:after="60"/>
    </w:pPr>
    <w:rPr>
      <w:sz w:val="22"/>
    </w:rPr>
  </w:style>
  <w:style w:type="paragraph" w:customStyle="1" w:styleId="TableColumnHeadings">
    <w:name w:val="Table Column Headings"/>
    <w:basedOn w:val="Normal"/>
    <w:rsid w:val="005479BE"/>
    <w:pPr>
      <w:keepNext/>
      <w:spacing w:before="60" w:after="60"/>
    </w:pPr>
    <w:rPr>
      <w:b/>
      <w:bCs/>
      <w:smallCaps/>
      <w:sz w:val="22"/>
      <w:szCs w:val="22"/>
    </w:rPr>
  </w:style>
  <w:style w:type="paragraph" w:styleId="Caption">
    <w:name w:val="caption"/>
    <w:basedOn w:val="Normal"/>
    <w:next w:val="Normal"/>
    <w:qFormat/>
    <w:rsid w:val="0068626B"/>
    <w:pPr>
      <w:spacing w:before="120" w:after="120"/>
      <w:jc w:val="center"/>
    </w:pPr>
    <w:rPr>
      <w:b/>
      <w:bCs/>
    </w:rPr>
  </w:style>
  <w:style w:type="paragraph" w:styleId="TOC1">
    <w:name w:val="toc 1"/>
    <w:basedOn w:val="Normal"/>
    <w:next w:val="Normal"/>
    <w:autoRedefine/>
    <w:uiPriority w:val="39"/>
    <w:rsid w:val="002C7476"/>
    <w:pPr>
      <w:tabs>
        <w:tab w:val="left" w:pos="400"/>
        <w:tab w:val="right" w:leader="dot" w:pos="9027"/>
      </w:tabs>
      <w:spacing w:before="120" w:after="60"/>
    </w:pPr>
    <w:rPr>
      <w:rFonts w:ascii="Arial" w:hAnsi="Arial" w:cs="Arial"/>
      <w:b/>
      <w:bCs/>
      <w:noProof/>
      <w:sz w:val="28"/>
      <w:szCs w:val="22"/>
      <w:lang w:val="en-IE"/>
    </w:rPr>
  </w:style>
  <w:style w:type="paragraph" w:styleId="TOC2">
    <w:name w:val="toc 2"/>
    <w:basedOn w:val="Normal"/>
    <w:next w:val="Normal"/>
    <w:autoRedefine/>
    <w:uiPriority w:val="39"/>
    <w:rsid w:val="002C7476"/>
    <w:pPr>
      <w:tabs>
        <w:tab w:val="left" w:pos="720"/>
        <w:tab w:val="right" w:leader="dot" w:pos="9027"/>
      </w:tabs>
      <w:ind w:left="200"/>
    </w:pPr>
    <w:rPr>
      <w:rFonts w:ascii="Arial" w:hAnsi="Arial"/>
      <w:noProof/>
      <w:sz w:val="22"/>
    </w:rPr>
  </w:style>
  <w:style w:type="paragraph" w:customStyle="1" w:styleId="ProcedureBody1">
    <w:name w:val="Procedure Body 1"/>
    <w:basedOn w:val="Body1"/>
    <w:rsid w:val="009A42C1"/>
    <w:rPr>
      <w:sz w:val="20"/>
      <w:szCs w:val="20"/>
    </w:rPr>
  </w:style>
  <w:style w:type="paragraph" w:customStyle="1" w:styleId="Body2">
    <w:name w:val="Body 2"/>
    <w:basedOn w:val="Normal"/>
    <w:rsid w:val="00DD5202"/>
    <w:pPr>
      <w:keepLines/>
      <w:spacing w:before="60" w:after="60"/>
      <w:ind w:left="720"/>
    </w:pPr>
    <w:rPr>
      <w:sz w:val="22"/>
      <w:szCs w:val="22"/>
    </w:rPr>
  </w:style>
  <w:style w:type="paragraph" w:customStyle="1" w:styleId="Bullet2">
    <w:name w:val="Bullet 2"/>
    <w:basedOn w:val="Bullet1"/>
    <w:rsid w:val="00BF7F6A"/>
    <w:pPr>
      <w:numPr>
        <w:numId w:val="0"/>
      </w:numPr>
      <w:tabs>
        <w:tab w:val="num" w:pos="1418"/>
      </w:tabs>
      <w:ind w:left="1418" w:hanging="426"/>
    </w:pPr>
  </w:style>
  <w:style w:type="paragraph" w:styleId="TOC3">
    <w:name w:val="toc 3"/>
    <w:basedOn w:val="Normal"/>
    <w:next w:val="Normal"/>
    <w:autoRedefine/>
    <w:uiPriority w:val="39"/>
    <w:rsid w:val="00625E8F"/>
    <w:pPr>
      <w:tabs>
        <w:tab w:val="left" w:pos="1440"/>
        <w:tab w:val="right" w:leader="dot" w:pos="9017"/>
      </w:tabs>
      <w:ind w:left="1440" w:hanging="720"/>
    </w:pPr>
    <w:rPr>
      <w:rFonts w:ascii="Arial" w:hAnsi="Arial" w:cs="Arial"/>
      <w:noProof/>
      <w:sz w:val="22"/>
      <w:szCs w:val="22"/>
    </w:rPr>
  </w:style>
  <w:style w:type="paragraph" w:customStyle="1" w:styleId="H1">
    <w:name w:val="H1"/>
    <w:basedOn w:val="Normal"/>
    <w:rsid w:val="005479BE"/>
    <w:pPr>
      <w:keepNext/>
      <w:spacing w:before="120" w:after="60"/>
    </w:pPr>
    <w:rPr>
      <w:b/>
      <w:bCs/>
      <w:caps/>
      <w:kern w:val="28"/>
      <w:sz w:val="28"/>
      <w:szCs w:val="28"/>
    </w:rPr>
  </w:style>
  <w:style w:type="paragraph" w:customStyle="1" w:styleId="H3">
    <w:name w:val="H3"/>
    <w:basedOn w:val="Normal"/>
    <w:rsid w:val="0052126A"/>
    <w:pPr>
      <w:keepNext/>
      <w:spacing w:before="60" w:after="60"/>
      <w:ind w:left="567"/>
    </w:pPr>
    <w:rPr>
      <w:b/>
      <w:bCs/>
    </w:rPr>
  </w:style>
  <w:style w:type="paragraph" w:styleId="DocumentMap">
    <w:name w:val="Document Map"/>
    <w:basedOn w:val="Normal"/>
    <w:semiHidden/>
    <w:rsid w:val="0052126A"/>
    <w:pPr>
      <w:shd w:val="clear" w:color="auto" w:fill="000080"/>
    </w:pPr>
    <w:rPr>
      <w:rFonts w:ascii="Tahoma" w:hAnsi="Tahoma" w:cs="Tahoma"/>
    </w:rPr>
  </w:style>
  <w:style w:type="character" w:styleId="Hyperlink">
    <w:name w:val="Hyperlink"/>
    <w:basedOn w:val="DefaultParagraphFont"/>
    <w:uiPriority w:val="99"/>
    <w:rsid w:val="00D97C84"/>
    <w:rPr>
      <w:color w:val="0000FF"/>
      <w:u w:val="single"/>
    </w:rPr>
  </w:style>
  <w:style w:type="character" w:styleId="CommentReference">
    <w:name w:val="annotation reference"/>
    <w:basedOn w:val="DefaultParagraphFont"/>
    <w:semiHidden/>
    <w:rsid w:val="002D3DF6"/>
    <w:rPr>
      <w:sz w:val="16"/>
      <w:szCs w:val="16"/>
    </w:rPr>
  </w:style>
  <w:style w:type="paragraph" w:styleId="CommentText">
    <w:name w:val="annotation text"/>
    <w:basedOn w:val="Normal"/>
    <w:semiHidden/>
    <w:rsid w:val="002D3DF6"/>
  </w:style>
  <w:style w:type="paragraph" w:styleId="CommentSubject">
    <w:name w:val="annotation subject"/>
    <w:basedOn w:val="CommentText"/>
    <w:next w:val="CommentText"/>
    <w:semiHidden/>
    <w:rsid w:val="002D3DF6"/>
    <w:rPr>
      <w:b/>
      <w:bCs/>
    </w:rPr>
  </w:style>
  <w:style w:type="paragraph" w:styleId="BalloonText">
    <w:name w:val="Balloon Text"/>
    <w:basedOn w:val="Normal"/>
    <w:semiHidden/>
    <w:rsid w:val="002D3DF6"/>
    <w:rPr>
      <w:rFonts w:ascii="Tahoma" w:hAnsi="Tahoma" w:cs="Tahoma"/>
      <w:sz w:val="16"/>
      <w:szCs w:val="16"/>
    </w:rPr>
  </w:style>
  <w:style w:type="paragraph" w:styleId="FootnoteText">
    <w:name w:val="footnote text"/>
    <w:basedOn w:val="Normal"/>
    <w:semiHidden/>
    <w:rsid w:val="00581E04"/>
  </w:style>
  <w:style w:type="character" w:styleId="FootnoteReference">
    <w:name w:val="footnote reference"/>
    <w:basedOn w:val="DefaultParagraphFont"/>
    <w:semiHidden/>
    <w:rsid w:val="00581E04"/>
    <w:rPr>
      <w:vertAlign w:val="superscript"/>
    </w:rPr>
  </w:style>
  <w:style w:type="paragraph" w:customStyle="1" w:styleId="IntroTable">
    <w:name w:val="Intro Table"/>
    <w:basedOn w:val="Normal"/>
    <w:rsid w:val="005479BE"/>
    <w:pPr>
      <w:keepLines/>
      <w:spacing w:before="60" w:after="60"/>
    </w:pPr>
    <w:rPr>
      <w:b/>
      <w:sz w:val="24"/>
      <w:lang w:val="en-IE"/>
    </w:rPr>
  </w:style>
  <w:style w:type="paragraph" w:customStyle="1" w:styleId="Project">
    <w:name w:val="Project"/>
    <w:basedOn w:val="Normal"/>
    <w:rsid w:val="005479BE"/>
    <w:pPr>
      <w:keepLines/>
      <w:spacing w:before="60" w:after="60"/>
      <w:jc w:val="center"/>
    </w:pPr>
    <w:rPr>
      <w:b/>
      <w:sz w:val="32"/>
      <w:lang w:val="en-IE"/>
    </w:rPr>
  </w:style>
  <w:style w:type="table" w:styleId="TableGrid">
    <w:name w:val="Table Grid"/>
    <w:basedOn w:val="TableNormal"/>
    <w:rsid w:val="00BF1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link w:val="Body1Char"/>
    <w:rsid w:val="00A915D8"/>
    <w:pPr>
      <w:keepLines/>
      <w:spacing w:before="60" w:after="60"/>
    </w:pPr>
    <w:rPr>
      <w:sz w:val="22"/>
      <w:szCs w:val="22"/>
    </w:rPr>
  </w:style>
  <w:style w:type="paragraph" w:customStyle="1" w:styleId="Body1CharCharCharCharCharCharCharCharCharCharCharCharCharCharCharCharChar">
    <w:name w:val="Body 1 Char Char Char Char Char Char Char Char Char Char Char Char Char Char Char Char Char"/>
    <w:basedOn w:val="Normal"/>
    <w:link w:val="Body1CharCharCharCharCharCharCharCharCharCharCharCharCharCharCharCharCharChar"/>
    <w:rsid w:val="00AB17DE"/>
    <w:pPr>
      <w:keepLines/>
      <w:spacing w:before="60" w:after="60"/>
    </w:pPr>
    <w:rPr>
      <w:sz w:val="22"/>
      <w:szCs w:val="22"/>
    </w:rPr>
  </w:style>
  <w:style w:type="character" w:customStyle="1" w:styleId="Body1CharCharCharCharCharCharCharCharCharCharCharCharCharCharCharCharCharChar">
    <w:name w:val="Body 1 Char Char Char Char Char Char Char Char Char Char Char Char Char Char Char Char Char Char"/>
    <w:basedOn w:val="DefaultParagraphFont"/>
    <w:link w:val="Body1CharCharCharCharCharCharCharCharCharCharCharCharCharCharCharCharChar"/>
    <w:rsid w:val="00AB17DE"/>
    <w:rPr>
      <w:sz w:val="22"/>
      <w:szCs w:val="22"/>
      <w:lang w:val="en-AU" w:eastAsia="en-GB" w:bidi="ar-SA"/>
    </w:rPr>
  </w:style>
  <w:style w:type="paragraph" w:customStyle="1" w:styleId="CERBULLET">
    <w:name w:val="CER BULLET"/>
    <w:rsid w:val="00280346"/>
    <w:pPr>
      <w:numPr>
        <w:numId w:val="4"/>
      </w:numPr>
      <w:spacing w:before="120" w:after="120"/>
      <w:jc w:val="both"/>
    </w:pPr>
    <w:rPr>
      <w:rFonts w:ascii="Arial" w:hAnsi="Arial"/>
      <w:iCs/>
      <w:color w:val="000000"/>
      <w:sz w:val="22"/>
      <w:lang w:val="en-GB" w:eastAsia="en-US"/>
    </w:rPr>
  </w:style>
  <w:style w:type="paragraph" w:customStyle="1" w:styleId="CERAPPENDIXHEADING1">
    <w:name w:val="CER APPENDIX HEADING 1"/>
    <w:next w:val="Normal"/>
    <w:rsid w:val="00B36654"/>
    <w:pPr>
      <w:pageBreakBefore/>
      <w:numPr>
        <w:numId w:val="5"/>
      </w:numPr>
      <w:pBdr>
        <w:top w:val="single" w:sz="4" w:space="1" w:color="auto"/>
        <w:bottom w:val="single" w:sz="4" w:space="1" w:color="auto"/>
      </w:pBdr>
      <w:spacing w:after="360"/>
      <w:jc w:val="center"/>
      <w:outlineLvl w:val="0"/>
    </w:pPr>
    <w:rPr>
      <w:rFonts w:ascii="Arial" w:hAnsi="Arial"/>
      <w:b/>
      <w:caps/>
      <w:color w:val="000000"/>
      <w:sz w:val="28"/>
      <w:lang w:val="en-GB" w:eastAsia="en-US"/>
    </w:rPr>
  </w:style>
  <w:style w:type="paragraph" w:customStyle="1" w:styleId="CERAPPENDIXBODY">
    <w:name w:val="CER APPENDIX BODY"/>
    <w:rsid w:val="00B36654"/>
    <w:pPr>
      <w:numPr>
        <w:ilvl w:val="1"/>
        <w:numId w:val="5"/>
      </w:numPr>
      <w:tabs>
        <w:tab w:val="left" w:pos="851"/>
      </w:tabs>
      <w:spacing w:before="120" w:after="120"/>
      <w:jc w:val="both"/>
    </w:pPr>
    <w:rPr>
      <w:rFonts w:ascii="Arial" w:hAnsi="Arial"/>
      <w:color w:val="000000"/>
      <w:sz w:val="22"/>
      <w:lang w:val="en-GB" w:eastAsia="en-US"/>
    </w:rPr>
  </w:style>
  <w:style w:type="paragraph" w:customStyle="1" w:styleId="CERBODY">
    <w:name w:val="CER BODY"/>
    <w:rsid w:val="003F3E0E"/>
    <w:pPr>
      <w:numPr>
        <w:ilvl w:val="1"/>
        <w:numId w:val="6"/>
      </w:numPr>
      <w:tabs>
        <w:tab w:val="clear" w:pos="1031"/>
        <w:tab w:val="num" w:pos="851"/>
      </w:tabs>
      <w:spacing w:before="120" w:after="120"/>
      <w:ind w:left="851"/>
      <w:jc w:val="both"/>
    </w:pPr>
    <w:rPr>
      <w:rFonts w:ascii="Arial" w:hAnsi="Arial"/>
      <w:sz w:val="22"/>
      <w:szCs w:val="22"/>
      <w:lang w:val="en-GB" w:eastAsia="en-US"/>
    </w:rPr>
  </w:style>
  <w:style w:type="paragraph" w:customStyle="1" w:styleId="CERHEADING1">
    <w:name w:val="CER HEADING 1"/>
    <w:next w:val="CERBODY"/>
    <w:rsid w:val="003F3E0E"/>
    <w:pPr>
      <w:pageBreakBefore/>
      <w:numPr>
        <w:numId w:val="6"/>
      </w:numPr>
      <w:pBdr>
        <w:top w:val="single" w:sz="4" w:space="1" w:color="000000"/>
        <w:bottom w:val="single" w:sz="4" w:space="1" w:color="000000"/>
      </w:pBdr>
      <w:spacing w:after="360"/>
      <w:jc w:val="center"/>
    </w:pPr>
    <w:rPr>
      <w:rFonts w:ascii="Arial" w:hAnsi="Arial"/>
      <w:b/>
      <w:caps/>
      <w:sz w:val="28"/>
      <w:lang w:val="en-GB" w:eastAsia="en-US"/>
    </w:rPr>
  </w:style>
  <w:style w:type="paragraph" w:customStyle="1" w:styleId="CERHEADING2">
    <w:name w:val="CER HEADING 2"/>
    <w:next w:val="CERBODY"/>
    <w:autoRedefine/>
    <w:rsid w:val="003F3E0E"/>
    <w:pPr>
      <w:keepNext/>
      <w:tabs>
        <w:tab w:val="left" w:pos="936"/>
      </w:tabs>
      <w:spacing w:before="240" w:after="120"/>
      <w:ind w:left="709"/>
      <w:outlineLvl w:val="1"/>
    </w:pPr>
    <w:rPr>
      <w:rFonts w:ascii="Arial" w:hAnsi="Arial" w:cs="Arial"/>
      <w:b/>
      <w:bCs/>
      <w:caps/>
      <w:sz w:val="24"/>
      <w:szCs w:val="24"/>
      <w:lang w:val="en-GB" w:eastAsia="en-US"/>
    </w:rPr>
  </w:style>
  <w:style w:type="paragraph" w:customStyle="1" w:styleId="BodyChar">
    <w:name w:val="Body Char"/>
    <w:link w:val="BodyCharChar"/>
    <w:rsid w:val="00E11CB7"/>
    <w:pPr>
      <w:spacing w:after="120"/>
    </w:pPr>
    <w:rPr>
      <w:rFonts w:ascii="Arial" w:hAnsi="Arial"/>
      <w:lang w:val="en-US" w:eastAsia="en-US"/>
    </w:rPr>
  </w:style>
  <w:style w:type="character" w:customStyle="1" w:styleId="BodyCharChar">
    <w:name w:val="Body Char Char"/>
    <w:basedOn w:val="DefaultParagraphFont"/>
    <w:link w:val="BodyChar"/>
    <w:rsid w:val="00E11CB7"/>
    <w:rPr>
      <w:rFonts w:ascii="Arial" w:hAnsi="Arial"/>
      <w:lang w:val="en-US" w:eastAsia="en-US" w:bidi="ar-SA"/>
    </w:rPr>
  </w:style>
  <w:style w:type="paragraph" w:styleId="ListNumber">
    <w:name w:val="List Number"/>
    <w:basedOn w:val="Normal"/>
    <w:rsid w:val="00E11CB7"/>
    <w:pPr>
      <w:numPr>
        <w:numId w:val="7"/>
      </w:numPr>
      <w:overflowPunct/>
      <w:autoSpaceDE/>
      <w:autoSpaceDN/>
      <w:adjustRightInd/>
      <w:spacing w:before="60" w:after="60"/>
      <w:textAlignment w:val="auto"/>
    </w:pPr>
    <w:rPr>
      <w:rFonts w:ascii="Arial" w:hAnsi="Arial"/>
      <w:lang w:val="en-IE" w:eastAsia="en-US"/>
    </w:rPr>
  </w:style>
  <w:style w:type="paragraph" w:styleId="ListNumber2">
    <w:name w:val="List Number 2"/>
    <w:basedOn w:val="Normal"/>
    <w:rsid w:val="0015590B"/>
    <w:pPr>
      <w:numPr>
        <w:numId w:val="8"/>
      </w:numPr>
    </w:pPr>
  </w:style>
  <w:style w:type="paragraph" w:customStyle="1" w:styleId="Body">
    <w:name w:val="Body"/>
    <w:rsid w:val="00BE586B"/>
    <w:pPr>
      <w:spacing w:after="120"/>
    </w:pPr>
    <w:rPr>
      <w:rFonts w:ascii="Arial" w:hAnsi="Arial"/>
      <w:lang w:val="en-US" w:eastAsia="en-US"/>
    </w:rPr>
  </w:style>
  <w:style w:type="paragraph" w:customStyle="1" w:styleId="CERMAINFRONTTEXT">
    <w:name w:val="CER MAIN FRONT TEXT"/>
    <w:rsid w:val="00EF3036"/>
    <w:pPr>
      <w:spacing w:after="960"/>
      <w:jc w:val="center"/>
    </w:pPr>
    <w:rPr>
      <w:rFonts w:ascii="Arial" w:hAnsi="Arial"/>
      <w:b/>
      <w:bCs/>
      <w:sz w:val="52"/>
      <w:lang w:val="en-GB" w:eastAsia="en-US"/>
    </w:rPr>
  </w:style>
  <w:style w:type="paragraph" w:customStyle="1" w:styleId="CERNORMAL">
    <w:name w:val="CER NORMAL"/>
    <w:link w:val="CERNORMALChar"/>
    <w:rsid w:val="00EF3036"/>
    <w:pPr>
      <w:tabs>
        <w:tab w:val="num" w:pos="851"/>
      </w:tabs>
      <w:spacing w:before="120" w:after="120"/>
      <w:ind w:left="851"/>
    </w:pPr>
    <w:rPr>
      <w:rFonts w:ascii="Arial" w:hAnsi="Arial"/>
      <w:color w:val="000000"/>
      <w:sz w:val="22"/>
      <w:lang w:val="en-GB" w:eastAsia="en-US"/>
    </w:rPr>
  </w:style>
  <w:style w:type="character" w:customStyle="1" w:styleId="CERNORMALChar">
    <w:name w:val="CER NORMAL Char"/>
    <w:basedOn w:val="DefaultParagraphFont"/>
    <w:link w:val="CERNORMAL"/>
    <w:rsid w:val="00EF3036"/>
    <w:rPr>
      <w:rFonts w:ascii="Arial" w:hAnsi="Arial"/>
      <w:color w:val="000000"/>
      <w:sz w:val="22"/>
      <w:lang w:val="en-GB" w:eastAsia="en-US" w:bidi="ar-SA"/>
    </w:rPr>
  </w:style>
  <w:style w:type="paragraph" w:customStyle="1" w:styleId="CERNORMALHeading1">
    <w:name w:val="CER NORMAL Heading 1"/>
    <w:basedOn w:val="CERNORMAL"/>
    <w:rsid w:val="00EF3036"/>
    <w:pPr>
      <w:keepNext/>
      <w:pBdr>
        <w:top w:val="single" w:sz="4" w:space="1" w:color="auto"/>
        <w:bottom w:val="single" w:sz="4" w:space="1" w:color="auto"/>
      </w:pBdr>
      <w:jc w:val="center"/>
    </w:pPr>
    <w:rPr>
      <w:b/>
      <w:bCs/>
      <w:sz w:val="32"/>
    </w:rPr>
  </w:style>
  <w:style w:type="paragraph" w:customStyle="1" w:styleId="APNUMHEAD1">
    <w:name w:val="AP NUM HEAD 1"/>
    <w:rsid w:val="00DD5E51"/>
    <w:pPr>
      <w:keepNext/>
      <w:pageBreakBefore/>
      <w:spacing w:before="60" w:after="180"/>
    </w:pPr>
    <w:rPr>
      <w:rFonts w:ascii="Arial" w:hAnsi="Arial"/>
      <w:b/>
      <w:caps/>
      <w:sz w:val="28"/>
      <w:lang w:val="en-GB" w:eastAsia="en-US"/>
    </w:rPr>
  </w:style>
  <w:style w:type="paragraph" w:customStyle="1" w:styleId="APNUMHEAD2">
    <w:name w:val="AP NUM HEAD 2"/>
    <w:rsid w:val="00DD5E51"/>
    <w:pPr>
      <w:spacing w:before="240" w:after="120"/>
    </w:pPr>
    <w:rPr>
      <w:rFonts w:ascii="Arial" w:hAnsi="Arial"/>
      <w:b/>
      <w:caps/>
      <w:sz w:val="24"/>
      <w:lang w:val="en-GB" w:eastAsia="en-US"/>
    </w:rPr>
  </w:style>
  <w:style w:type="paragraph" w:customStyle="1" w:styleId="APNUMHEAD3">
    <w:name w:val="AP NUM HEAD 3"/>
    <w:next w:val="Normal"/>
    <w:link w:val="APNUMHEAD3Char"/>
    <w:rsid w:val="00DD5E51"/>
    <w:pPr>
      <w:keepNext/>
    </w:pPr>
    <w:rPr>
      <w:rFonts w:ascii="Arial" w:hAnsi="Arial"/>
      <w:b/>
      <w:color w:val="000000"/>
      <w:sz w:val="24"/>
      <w:lang w:val="en-GB" w:eastAsia="en-US"/>
    </w:rPr>
  </w:style>
  <w:style w:type="paragraph" w:customStyle="1" w:styleId="CERnon-indent">
    <w:name w:val="CER non-indent"/>
    <w:basedOn w:val="CERNORMAL"/>
    <w:link w:val="CERnon-indentChar"/>
    <w:rsid w:val="00E000EE"/>
    <w:pPr>
      <w:ind w:left="0"/>
    </w:pPr>
  </w:style>
  <w:style w:type="character" w:customStyle="1" w:styleId="CERnon-indentChar">
    <w:name w:val="CER non-indent Char"/>
    <w:basedOn w:val="CERNORMALChar"/>
    <w:link w:val="CERnon-indent"/>
    <w:rsid w:val="00E000EE"/>
    <w:rPr>
      <w:rFonts w:ascii="Arial" w:hAnsi="Arial"/>
      <w:color w:val="000000"/>
      <w:sz w:val="22"/>
      <w:lang w:val="en-GB" w:eastAsia="en-US" w:bidi="ar-SA"/>
    </w:rPr>
  </w:style>
  <w:style w:type="character" w:customStyle="1" w:styleId="Body1Char">
    <w:name w:val="Body 1 Char"/>
    <w:basedOn w:val="DefaultParagraphFont"/>
    <w:link w:val="Body1"/>
    <w:locked/>
    <w:rsid w:val="004E2011"/>
    <w:rPr>
      <w:sz w:val="22"/>
      <w:szCs w:val="22"/>
      <w:lang w:val="en-AU" w:eastAsia="en-GB"/>
    </w:rPr>
  </w:style>
  <w:style w:type="paragraph" w:styleId="ListParagraph">
    <w:name w:val="List Paragraph"/>
    <w:basedOn w:val="Normal"/>
    <w:uiPriority w:val="34"/>
    <w:qFormat/>
    <w:rsid w:val="00786E02"/>
    <w:pPr>
      <w:ind w:left="720"/>
      <w:contextualSpacing/>
    </w:pPr>
  </w:style>
  <w:style w:type="character" w:customStyle="1" w:styleId="APNUMHEAD3Char">
    <w:name w:val="AP NUM HEAD 3 Char"/>
    <w:basedOn w:val="DefaultParagraphFont"/>
    <w:link w:val="APNUMHEAD3"/>
    <w:rsid w:val="00C8396F"/>
    <w:rPr>
      <w:rFonts w:ascii="Arial" w:hAnsi="Arial"/>
      <w:b/>
      <w:color w:val="000000"/>
      <w:sz w:val="24"/>
      <w:lang w:val="en-GB" w:eastAsia="en-US"/>
    </w:rPr>
  </w:style>
  <w:style w:type="table" w:styleId="TableList3">
    <w:name w:val="Table List 3"/>
    <w:basedOn w:val="TableNormal"/>
    <w:rsid w:val="00B96C9D"/>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rFonts w:ascii="Arial" w:hAnsi="Arial"/>
        <w:b/>
        <w:bCs/>
        <w:color w:val="000000" w:themeColor="text1"/>
        <w:sz w:val="22"/>
      </w:rPr>
      <w:tblPr/>
      <w:tcPr>
        <w:tcBorders>
          <w:top w:val="single" w:sz="18" w:space="0" w:color="auto"/>
          <w:bottom w:val="single" w:sz="18" w:space="0" w:color="auto"/>
        </w:tcBorders>
        <w:shd w:val="clear" w:color="auto" w:fill="auto"/>
      </w:tcPr>
    </w:tblStylePr>
    <w:tblStylePr w:type="lastRow">
      <w:pPr>
        <w:jc w:val="left"/>
      </w:pPr>
      <w:rPr>
        <w:i w:val="0"/>
        <w:color w:val="000000" w:themeColor="text1"/>
      </w:rPr>
      <w:tblPr/>
      <w:tcPr>
        <w:tcBorders>
          <w:top w:val="single" w:sz="12" w:space="0" w:color="000000"/>
        </w:tcBorders>
      </w:tcPr>
    </w:tblStylePr>
    <w:tblStylePr w:type="firstCol">
      <w:rPr>
        <w:b/>
        <w:color w:val="000000" w:themeColor="text1"/>
      </w:rPr>
    </w:tblStylePr>
    <w:tblStylePr w:type="swCell">
      <w:rPr>
        <w:i/>
        <w:iCs/>
        <w:color w:val="000080"/>
      </w:rPr>
      <w:tblPr/>
      <w:tcPr>
        <w:tcBorders>
          <w:tl2br w:val="none" w:sz="0" w:space="0" w:color="auto"/>
          <w:tr2bl w:val="none" w:sz="0" w:space="0" w:color="auto"/>
        </w:tcBorders>
      </w:tcPr>
    </w:tblStylePr>
  </w:style>
  <w:style w:type="paragraph" w:customStyle="1" w:styleId="APHeading3">
    <w:name w:val="AP Heading 3"/>
    <w:basedOn w:val="Heading3"/>
    <w:link w:val="APHeading3Char"/>
    <w:qFormat/>
    <w:rsid w:val="00D116C3"/>
    <w:pPr>
      <w:numPr>
        <w:ilvl w:val="2"/>
        <w:numId w:val="9"/>
      </w:numPr>
      <w:tabs>
        <w:tab w:val="clear" w:pos="851"/>
        <w:tab w:val="left" w:pos="900"/>
      </w:tabs>
      <w:spacing w:after="240"/>
      <w:ind w:left="900" w:hanging="900"/>
    </w:pPr>
    <w:rPr>
      <w:rFonts w:ascii="Arial" w:hAnsi="Arial" w:cs="Arial"/>
      <w:b w:val="0"/>
      <w:i/>
      <w:sz w:val="22"/>
      <w:szCs w:val="22"/>
    </w:rPr>
  </w:style>
  <w:style w:type="character" w:customStyle="1" w:styleId="APHeading3Char">
    <w:name w:val="AP Heading 3 Char"/>
    <w:basedOn w:val="DefaultParagraphFont"/>
    <w:link w:val="APHeading3"/>
    <w:rsid w:val="00D116C3"/>
    <w:rPr>
      <w:rFonts w:ascii="Arial" w:hAnsi="Arial" w:cs="Arial"/>
      <w:bCs/>
      <w:i/>
      <w:sz w:val="22"/>
      <w:szCs w:val="22"/>
      <w:lang w:val="en-AU" w:eastAsia="en-GB"/>
    </w:rPr>
  </w:style>
  <w:style w:type="paragraph" w:styleId="NoSpacing">
    <w:name w:val="No Spacing"/>
    <w:link w:val="NoSpacingChar"/>
    <w:uiPriority w:val="1"/>
    <w:qFormat/>
    <w:rsid w:val="00D116C3"/>
    <w:pPr>
      <w:overflowPunct w:val="0"/>
      <w:autoSpaceDE w:val="0"/>
      <w:autoSpaceDN w:val="0"/>
      <w:adjustRightInd w:val="0"/>
      <w:textAlignment w:val="baseline"/>
    </w:pPr>
    <w:rPr>
      <w:lang w:val="en-AU" w:eastAsia="en-GB"/>
    </w:rPr>
  </w:style>
  <w:style w:type="character" w:customStyle="1" w:styleId="NoSpacingChar">
    <w:name w:val="No Spacing Char"/>
    <w:basedOn w:val="DefaultParagraphFont"/>
    <w:link w:val="NoSpacing"/>
    <w:uiPriority w:val="1"/>
    <w:rsid w:val="00D116C3"/>
    <w:rPr>
      <w:lang w:val="en-AU" w:eastAsia="en-GB"/>
    </w:rPr>
  </w:style>
  <w:style w:type="paragraph" w:styleId="Revision">
    <w:name w:val="Revision"/>
    <w:hidden/>
    <w:uiPriority w:val="99"/>
    <w:semiHidden/>
    <w:rsid w:val="003506B4"/>
    <w:rPr>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60211">
      <w:bodyDiv w:val="1"/>
      <w:marLeft w:val="0"/>
      <w:marRight w:val="0"/>
      <w:marTop w:val="0"/>
      <w:marBottom w:val="0"/>
      <w:divBdr>
        <w:top w:val="none" w:sz="0" w:space="0" w:color="auto"/>
        <w:left w:val="none" w:sz="0" w:space="0" w:color="auto"/>
        <w:bottom w:val="none" w:sz="0" w:space="0" w:color="auto"/>
        <w:right w:val="none" w:sz="0" w:space="0" w:color="auto"/>
      </w:divBdr>
    </w:div>
    <w:div w:id="171648893">
      <w:bodyDiv w:val="1"/>
      <w:marLeft w:val="0"/>
      <w:marRight w:val="0"/>
      <w:marTop w:val="0"/>
      <w:marBottom w:val="0"/>
      <w:divBdr>
        <w:top w:val="none" w:sz="0" w:space="0" w:color="auto"/>
        <w:left w:val="none" w:sz="0" w:space="0" w:color="auto"/>
        <w:bottom w:val="none" w:sz="0" w:space="0" w:color="auto"/>
        <w:right w:val="none" w:sz="0" w:space="0" w:color="auto"/>
      </w:divBdr>
    </w:div>
    <w:div w:id="172956879">
      <w:bodyDiv w:val="1"/>
      <w:marLeft w:val="0"/>
      <w:marRight w:val="0"/>
      <w:marTop w:val="0"/>
      <w:marBottom w:val="0"/>
      <w:divBdr>
        <w:top w:val="none" w:sz="0" w:space="0" w:color="auto"/>
        <w:left w:val="none" w:sz="0" w:space="0" w:color="auto"/>
        <w:bottom w:val="none" w:sz="0" w:space="0" w:color="auto"/>
        <w:right w:val="none" w:sz="0" w:space="0" w:color="auto"/>
      </w:divBdr>
    </w:div>
    <w:div w:id="201794521">
      <w:bodyDiv w:val="1"/>
      <w:marLeft w:val="0"/>
      <w:marRight w:val="0"/>
      <w:marTop w:val="0"/>
      <w:marBottom w:val="0"/>
      <w:divBdr>
        <w:top w:val="none" w:sz="0" w:space="0" w:color="auto"/>
        <w:left w:val="none" w:sz="0" w:space="0" w:color="auto"/>
        <w:bottom w:val="none" w:sz="0" w:space="0" w:color="auto"/>
        <w:right w:val="none" w:sz="0" w:space="0" w:color="auto"/>
      </w:divBdr>
    </w:div>
    <w:div w:id="279459558">
      <w:bodyDiv w:val="1"/>
      <w:marLeft w:val="0"/>
      <w:marRight w:val="0"/>
      <w:marTop w:val="0"/>
      <w:marBottom w:val="0"/>
      <w:divBdr>
        <w:top w:val="none" w:sz="0" w:space="0" w:color="auto"/>
        <w:left w:val="none" w:sz="0" w:space="0" w:color="auto"/>
        <w:bottom w:val="none" w:sz="0" w:space="0" w:color="auto"/>
        <w:right w:val="none" w:sz="0" w:space="0" w:color="auto"/>
      </w:divBdr>
    </w:div>
    <w:div w:id="305473160">
      <w:bodyDiv w:val="1"/>
      <w:marLeft w:val="0"/>
      <w:marRight w:val="0"/>
      <w:marTop w:val="0"/>
      <w:marBottom w:val="0"/>
      <w:divBdr>
        <w:top w:val="none" w:sz="0" w:space="0" w:color="auto"/>
        <w:left w:val="none" w:sz="0" w:space="0" w:color="auto"/>
        <w:bottom w:val="none" w:sz="0" w:space="0" w:color="auto"/>
        <w:right w:val="none" w:sz="0" w:space="0" w:color="auto"/>
      </w:divBdr>
    </w:div>
    <w:div w:id="586034654">
      <w:bodyDiv w:val="1"/>
      <w:marLeft w:val="0"/>
      <w:marRight w:val="0"/>
      <w:marTop w:val="0"/>
      <w:marBottom w:val="0"/>
      <w:divBdr>
        <w:top w:val="none" w:sz="0" w:space="0" w:color="auto"/>
        <w:left w:val="none" w:sz="0" w:space="0" w:color="auto"/>
        <w:bottom w:val="none" w:sz="0" w:space="0" w:color="auto"/>
        <w:right w:val="none" w:sz="0" w:space="0" w:color="auto"/>
      </w:divBdr>
    </w:div>
    <w:div w:id="676076461">
      <w:bodyDiv w:val="1"/>
      <w:marLeft w:val="0"/>
      <w:marRight w:val="0"/>
      <w:marTop w:val="0"/>
      <w:marBottom w:val="0"/>
      <w:divBdr>
        <w:top w:val="none" w:sz="0" w:space="0" w:color="auto"/>
        <w:left w:val="none" w:sz="0" w:space="0" w:color="auto"/>
        <w:bottom w:val="none" w:sz="0" w:space="0" w:color="auto"/>
        <w:right w:val="none" w:sz="0" w:space="0" w:color="auto"/>
      </w:divBdr>
    </w:div>
    <w:div w:id="771364999">
      <w:bodyDiv w:val="1"/>
      <w:marLeft w:val="0"/>
      <w:marRight w:val="0"/>
      <w:marTop w:val="0"/>
      <w:marBottom w:val="0"/>
      <w:divBdr>
        <w:top w:val="none" w:sz="0" w:space="0" w:color="auto"/>
        <w:left w:val="none" w:sz="0" w:space="0" w:color="auto"/>
        <w:bottom w:val="none" w:sz="0" w:space="0" w:color="auto"/>
        <w:right w:val="none" w:sz="0" w:space="0" w:color="auto"/>
      </w:divBdr>
    </w:div>
    <w:div w:id="822087195">
      <w:bodyDiv w:val="1"/>
      <w:marLeft w:val="0"/>
      <w:marRight w:val="0"/>
      <w:marTop w:val="0"/>
      <w:marBottom w:val="0"/>
      <w:divBdr>
        <w:top w:val="none" w:sz="0" w:space="0" w:color="auto"/>
        <w:left w:val="none" w:sz="0" w:space="0" w:color="auto"/>
        <w:bottom w:val="none" w:sz="0" w:space="0" w:color="auto"/>
        <w:right w:val="none" w:sz="0" w:space="0" w:color="auto"/>
      </w:divBdr>
    </w:div>
    <w:div w:id="822743304">
      <w:bodyDiv w:val="1"/>
      <w:marLeft w:val="0"/>
      <w:marRight w:val="0"/>
      <w:marTop w:val="0"/>
      <w:marBottom w:val="0"/>
      <w:divBdr>
        <w:top w:val="none" w:sz="0" w:space="0" w:color="auto"/>
        <w:left w:val="none" w:sz="0" w:space="0" w:color="auto"/>
        <w:bottom w:val="none" w:sz="0" w:space="0" w:color="auto"/>
        <w:right w:val="none" w:sz="0" w:space="0" w:color="auto"/>
      </w:divBdr>
    </w:div>
    <w:div w:id="876700829">
      <w:bodyDiv w:val="1"/>
      <w:marLeft w:val="0"/>
      <w:marRight w:val="0"/>
      <w:marTop w:val="0"/>
      <w:marBottom w:val="0"/>
      <w:divBdr>
        <w:top w:val="none" w:sz="0" w:space="0" w:color="auto"/>
        <w:left w:val="none" w:sz="0" w:space="0" w:color="auto"/>
        <w:bottom w:val="none" w:sz="0" w:space="0" w:color="auto"/>
        <w:right w:val="none" w:sz="0" w:space="0" w:color="auto"/>
      </w:divBdr>
    </w:div>
    <w:div w:id="942496432">
      <w:bodyDiv w:val="1"/>
      <w:marLeft w:val="0"/>
      <w:marRight w:val="0"/>
      <w:marTop w:val="0"/>
      <w:marBottom w:val="0"/>
      <w:divBdr>
        <w:top w:val="none" w:sz="0" w:space="0" w:color="auto"/>
        <w:left w:val="none" w:sz="0" w:space="0" w:color="auto"/>
        <w:bottom w:val="none" w:sz="0" w:space="0" w:color="auto"/>
        <w:right w:val="none" w:sz="0" w:space="0" w:color="auto"/>
      </w:divBdr>
    </w:div>
    <w:div w:id="1040322502">
      <w:bodyDiv w:val="1"/>
      <w:marLeft w:val="0"/>
      <w:marRight w:val="0"/>
      <w:marTop w:val="0"/>
      <w:marBottom w:val="0"/>
      <w:divBdr>
        <w:top w:val="none" w:sz="0" w:space="0" w:color="auto"/>
        <w:left w:val="none" w:sz="0" w:space="0" w:color="auto"/>
        <w:bottom w:val="none" w:sz="0" w:space="0" w:color="auto"/>
        <w:right w:val="none" w:sz="0" w:space="0" w:color="auto"/>
      </w:divBdr>
    </w:div>
    <w:div w:id="1067143345">
      <w:bodyDiv w:val="1"/>
      <w:marLeft w:val="0"/>
      <w:marRight w:val="0"/>
      <w:marTop w:val="0"/>
      <w:marBottom w:val="0"/>
      <w:divBdr>
        <w:top w:val="none" w:sz="0" w:space="0" w:color="auto"/>
        <w:left w:val="none" w:sz="0" w:space="0" w:color="auto"/>
        <w:bottom w:val="none" w:sz="0" w:space="0" w:color="auto"/>
        <w:right w:val="none" w:sz="0" w:space="0" w:color="auto"/>
      </w:divBdr>
    </w:div>
    <w:div w:id="1225068014">
      <w:bodyDiv w:val="1"/>
      <w:marLeft w:val="0"/>
      <w:marRight w:val="0"/>
      <w:marTop w:val="0"/>
      <w:marBottom w:val="0"/>
      <w:divBdr>
        <w:top w:val="none" w:sz="0" w:space="0" w:color="auto"/>
        <w:left w:val="none" w:sz="0" w:space="0" w:color="auto"/>
        <w:bottom w:val="none" w:sz="0" w:space="0" w:color="auto"/>
        <w:right w:val="none" w:sz="0" w:space="0" w:color="auto"/>
      </w:divBdr>
    </w:div>
    <w:div w:id="1276518199">
      <w:bodyDiv w:val="1"/>
      <w:marLeft w:val="0"/>
      <w:marRight w:val="0"/>
      <w:marTop w:val="0"/>
      <w:marBottom w:val="0"/>
      <w:divBdr>
        <w:top w:val="none" w:sz="0" w:space="0" w:color="auto"/>
        <w:left w:val="none" w:sz="0" w:space="0" w:color="auto"/>
        <w:bottom w:val="none" w:sz="0" w:space="0" w:color="auto"/>
        <w:right w:val="none" w:sz="0" w:space="0" w:color="auto"/>
      </w:divBdr>
    </w:div>
    <w:div w:id="1311179115">
      <w:bodyDiv w:val="1"/>
      <w:marLeft w:val="0"/>
      <w:marRight w:val="0"/>
      <w:marTop w:val="0"/>
      <w:marBottom w:val="0"/>
      <w:divBdr>
        <w:top w:val="none" w:sz="0" w:space="0" w:color="auto"/>
        <w:left w:val="none" w:sz="0" w:space="0" w:color="auto"/>
        <w:bottom w:val="none" w:sz="0" w:space="0" w:color="auto"/>
        <w:right w:val="none" w:sz="0" w:space="0" w:color="auto"/>
      </w:divBdr>
    </w:div>
    <w:div w:id="1317489242">
      <w:bodyDiv w:val="1"/>
      <w:marLeft w:val="0"/>
      <w:marRight w:val="0"/>
      <w:marTop w:val="0"/>
      <w:marBottom w:val="0"/>
      <w:divBdr>
        <w:top w:val="none" w:sz="0" w:space="0" w:color="auto"/>
        <w:left w:val="none" w:sz="0" w:space="0" w:color="auto"/>
        <w:bottom w:val="none" w:sz="0" w:space="0" w:color="auto"/>
        <w:right w:val="none" w:sz="0" w:space="0" w:color="auto"/>
      </w:divBdr>
    </w:div>
    <w:div w:id="1360736667">
      <w:bodyDiv w:val="1"/>
      <w:marLeft w:val="0"/>
      <w:marRight w:val="0"/>
      <w:marTop w:val="0"/>
      <w:marBottom w:val="0"/>
      <w:divBdr>
        <w:top w:val="none" w:sz="0" w:space="0" w:color="auto"/>
        <w:left w:val="none" w:sz="0" w:space="0" w:color="auto"/>
        <w:bottom w:val="none" w:sz="0" w:space="0" w:color="auto"/>
        <w:right w:val="none" w:sz="0" w:space="0" w:color="auto"/>
      </w:divBdr>
    </w:div>
    <w:div w:id="1437869613">
      <w:bodyDiv w:val="1"/>
      <w:marLeft w:val="0"/>
      <w:marRight w:val="0"/>
      <w:marTop w:val="0"/>
      <w:marBottom w:val="0"/>
      <w:divBdr>
        <w:top w:val="none" w:sz="0" w:space="0" w:color="auto"/>
        <w:left w:val="none" w:sz="0" w:space="0" w:color="auto"/>
        <w:bottom w:val="none" w:sz="0" w:space="0" w:color="auto"/>
        <w:right w:val="none" w:sz="0" w:space="0" w:color="auto"/>
      </w:divBdr>
    </w:div>
    <w:div w:id="1455099160">
      <w:bodyDiv w:val="1"/>
      <w:marLeft w:val="0"/>
      <w:marRight w:val="0"/>
      <w:marTop w:val="0"/>
      <w:marBottom w:val="0"/>
      <w:divBdr>
        <w:top w:val="none" w:sz="0" w:space="0" w:color="auto"/>
        <w:left w:val="none" w:sz="0" w:space="0" w:color="auto"/>
        <w:bottom w:val="none" w:sz="0" w:space="0" w:color="auto"/>
        <w:right w:val="none" w:sz="0" w:space="0" w:color="auto"/>
      </w:divBdr>
    </w:div>
    <w:div w:id="1581716637">
      <w:bodyDiv w:val="1"/>
      <w:marLeft w:val="0"/>
      <w:marRight w:val="0"/>
      <w:marTop w:val="0"/>
      <w:marBottom w:val="0"/>
      <w:divBdr>
        <w:top w:val="none" w:sz="0" w:space="0" w:color="auto"/>
        <w:left w:val="none" w:sz="0" w:space="0" w:color="auto"/>
        <w:bottom w:val="none" w:sz="0" w:space="0" w:color="auto"/>
        <w:right w:val="none" w:sz="0" w:space="0" w:color="auto"/>
      </w:divBdr>
    </w:div>
    <w:div w:id="1601989849">
      <w:bodyDiv w:val="1"/>
      <w:marLeft w:val="0"/>
      <w:marRight w:val="0"/>
      <w:marTop w:val="0"/>
      <w:marBottom w:val="0"/>
      <w:divBdr>
        <w:top w:val="none" w:sz="0" w:space="0" w:color="auto"/>
        <w:left w:val="none" w:sz="0" w:space="0" w:color="auto"/>
        <w:bottom w:val="none" w:sz="0" w:space="0" w:color="auto"/>
        <w:right w:val="none" w:sz="0" w:space="0" w:color="auto"/>
      </w:divBdr>
    </w:div>
    <w:div w:id="1696688834">
      <w:bodyDiv w:val="1"/>
      <w:marLeft w:val="0"/>
      <w:marRight w:val="0"/>
      <w:marTop w:val="0"/>
      <w:marBottom w:val="0"/>
      <w:divBdr>
        <w:top w:val="none" w:sz="0" w:space="0" w:color="auto"/>
        <w:left w:val="none" w:sz="0" w:space="0" w:color="auto"/>
        <w:bottom w:val="none" w:sz="0" w:space="0" w:color="auto"/>
        <w:right w:val="none" w:sz="0" w:space="0" w:color="auto"/>
      </w:divBdr>
    </w:div>
    <w:div w:id="1703087794">
      <w:bodyDiv w:val="1"/>
      <w:marLeft w:val="0"/>
      <w:marRight w:val="0"/>
      <w:marTop w:val="0"/>
      <w:marBottom w:val="0"/>
      <w:divBdr>
        <w:top w:val="none" w:sz="0" w:space="0" w:color="auto"/>
        <w:left w:val="none" w:sz="0" w:space="0" w:color="auto"/>
        <w:bottom w:val="none" w:sz="0" w:space="0" w:color="auto"/>
        <w:right w:val="none" w:sz="0" w:space="0" w:color="auto"/>
      </w:divBdr>
    </w:div>
    <w:div w:id="1758092563">
      <w:bodyDiv w:val="1"/>
      <w:marLeft w:val="0"/>
      <w:marRight w:val="0"/>
      <w:marTop w:val="0"/>
      <w:marBottom w:val="0"/>
      <w:divBdr>
        <w:top w:val="none" w:sz="0" w:space="0" w:color="auto"/>
        <w:left w:val="none" w:sz="0" w:space="0" w:color="auto"/>
        <w:bottom w:val="none" w:sz="0" w:space="0" w:color="auto"/>
        <w:right w:val="none" w:sz="0" w:space="0" w:color="auto"/>
      </w:divBdr>
    </w:div>
    <w:div w:id="1800144102">
      <w:bodyDiv w:val="1"/>
      <w:marLeft w:val="0"/>
      <w:marRight w:val="0"/>
      <w:marTop w:val="0"/>
      <w:marBottom w:val="0"/>
      <w:divBdr>
        <w:top w:val="none" w:sz="0" w:space="0" w:color="auto"/>
        <w:left w:val="none" w:sz="0" w:space="0" w:color="auto"/>
        <w:bottom w:val="none" w:sz="0" w:space="0" w:color="auto"/>
        <w:right w:val="none" w:sz="0" w:space="0" w:color="auto"/>
      </w:divBdr>
    </w:div>
    <w:div w:id="1879586574">
      <w:bodyDiv w:val="1"/>
      <w:marLeft w:val="0"/>
      <w:marRight w:val="0"/>
      <w:marTop w:val="0"/>
      <w:marBottom w:val="0"/>
      <w:divBdr>
        <w:top w:val="none" w:sz="0" w:space="0" w:color="auto"/>
        <w:left w:val="none" w:sz="0" w:space="0" w:color="auto"/>
        <w:bottom w:val="none" w:sz="0" w:space="0" w:color="auto"/>
        <w:right w:val="none" w:sz="0" w:space="0" w:color="auto"/>
      </w:divBdr>
    </w:div>
    <w:div w:id="2036616090">
      <w:bodyDiv w:val="1"/>
      <w:marLeft w:val="0"/>
      <w:marRight w:val="0"/>
      <w:marTop w:val="0"/>
      <w:marBottom w:val="0"/>
      <w:divBdr>
        <w:top w:val="none" w:sz="0" w:space="0" w:color="auto"/>
        <w:left w:val="none" w:sz="0" w:space="0" w:color="auto"/>
        <w:bottom w:val="none" w:sz="0" w:space="0" w:color="auto"/>
        <w:right w:val="none" w:sz="0" w:space="0" w:color="auto"/>
      </w:divBdr>
    </w:div>
    <w:div w:id="2050840701">
      <w:bodyDiv w:val="1"/>
      <w:marLeft w:val="0"/>
      <w:marRight w:val="0"/>
      <w:marTop w:val="0"/>
      <w:marBottom w:val="0"/>
      <w:divBdr>
        <w:top w:val="none" w:sz="0" w:space="0" w:color="auto"/>
        <w:left w:val="none" w:sz="0" w:space="0" w:color="auto"/>
        <w:bottom w:val="none" w:sz="0" w:space="0" w:color="auto"/>
        <w:right w:val="none" w:sz="0" w:space="0" w:color="auto"/>
      </w:divBdr>
    </w:div>
    <w:div w:id="21463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SEM%20Establishment\Process%20&amp;%20Specification\Template\Application%20Area%20Functional%20Specif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ae3147b4f57f81b79c7c899a980b5514">
  <xsd:schema xmlns:xsd="http://www.w3.org/2001/XMLSchema" xmlns:xs="http://www.w3.org/2001/XMLSchema" xmlns:p="http://schemas.microsoft.com/office/2006/metadata/properties" xmlns:ns2="d8d42377-3ec0-45f4-83ba-414ac9c65ef9" targetNamespace="http://schemas.microsoft.com/office/2006/metadata/properties" ma:root="true" ma:fieldsID="a88b5436bc93b40cba6caaced0307a74"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Year xmlns="d8d42377-3ec0-45f4-83ba-414ac9c65ef9">2025</Year>
    <Market xmlns="d8d42377-3ec0-45f4-83ba-414ac9c65ef9">Balancing Market</Market>
    <File_x0020_Type0 xmlns="d8d42377-3ec0-45f4-83ba-414ac9c65ef9">Code Version 31.0</File_x0020_Type0>
    <Name_x0020_of_x0020_Report xmlns="d8d42377-3ec0-45f4-83ba-414ac9c65ef9">Balancing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2025-10-02T13:20:00+00:00</Dat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1B8878-1EE8-4639-A8DD-74A7E5433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17591-A54A-42C2-86F4-101EE6AD6491}">
  <ds:schemaRefs>
    <ds:schemaRef ds:uri="http://schemas.microsoft.com/office/2006/metadata/longProperties"/>
  </ds:schemaRefs>
</ds:datastoreItem>
</file>

<file path=customXml/itemProps4.xml><?xml version="1.0" encoding="utf-8"?>
<ds:datastoreItem xmlns:ds="http://schemas.openxmlformats.org/officeDocument/2006/customXml" ds:itemID="{0FDF1B9F-42FD-4E2A-B790-A4627355FEAE}">
  <ds:schemaRefs>
    <ds:schemaRef ds:uri="http://schemas.microsoft.com/sharepoint/v3/contenttype/forms"/>
  </ds:schemaRefs>
</ds:datastoreItem>
</file>

<file path=customXml/itemProps5.xml><?xml version="1.0" encoding="utf-8"?>
<ds:datastoreItem xmlns:ds="http://schemas.openxmlformats.org/officeDocument/2006/customXml" ds:itemID="{E6E4334A-6BC9-41DD-8CE8-FC788F2DAB68}">
  <ds:schemaRefs>
    <ds:schemaRef ds:uri="http://schemas.openxmlformats.org/officeDocument/2006/bibliography"/>
  </ds:schemaRefs>
</ds:datastoreItem>
</file>

<file path=customXml/itemProps6.xml><?xml version="1.0" encoding="utf-8"?>
<ds:datastoreItem xmlns:ds="http://schemas.openxmlformats.org/officeDocument/2006/customXml" ds:itemID="{3882840C-28AE-4081-BAC7-FF12C8C3CA79}">
  <ds:schemaRefs>
    <ds:schemaRef ds:uri="http://schemas.microsoft.com/office/2006/metadata/properties"/>
    <ds:schemaRef ds:uri="d8d42377-3ec0-45f4-83ba-414ac9c65ef9"/>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Application Area Functional Specification.dot</Template>
  <TotalTime>0</TotalTime>
  <Pages>15</Pages>
  <Words>3290</Words>
  <Characters>19054</Characters>
  <Application>Microsoft Office Word</Application>
  <DocSecurity>0</DocSecurity>
  <Lines>158</Lines>
  <Paragraphs>44</Paragraphs>
  <ScaleCrop>false</ScaleCrop>
  <Company>ESB</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Agreed Procedure 13: Settlement Queries</dc:title>
  <dc:creator>Ahern, Rachel</dc:creator>
  <cp:lastModifiedBy>Linnane, Sandra</cp:lastModifiedBy>
  <cp:revision>2</cp:revision>
  <cp:lastPrinted>2016-11-03T17:21:00Z</cp:lastPrinted>
  <dcterms:created xsi:type="dcterms:W3CDTF">2025-11-27T10:46:00Z</dcterms:created>
  <dcterms:modified xsi:type="dcterms:W3CDTF">2025-11-27T10:46:00Z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-1613279408</vt:i4>
  </property>
  <property fmtid="{D5CDD505-2E9C-101B-9397-08002B2CF9AE}" pid="3" name="Owner">
    <vt:lpwstr/>
  </property>
  <property fmtid="{D5CDD505-2E9C-101B-9397-08002B2CF9AE}" pid="4" name="Status">
    <vt:lpwstr>Draft</vt:lpwstr>
  </property>
  <property fmtid="{D5CDD505-2E9C-101B-9397-08002B2CF9AE}" pid="5" name="ContentType">
    <vt:lpwstr>AP</vt:lpwstr>
  </property>
  <property fmtid="{D5CDD505-2E9C-101B-9397-08002B2CF9AE}" pid="6" name="ContentTypeId">
    <vt:lpwstr>0x010100E27FE5008B3B174E8015095C9179D593</vt:lpwstr>
  </property>
  <property fmtid="{D5CDD505-2E9C-101B-9397-08002B2CF9AE}" pid="7" name="Effective Date">
    <vt:lpwstr>2010-11-19T00:00:00Z</vt:lpwstr>
  </property>
  <property fmtid="{D5CDD505-2E9C-101B-9397-08002B2CF9AE}" pid="8" name="Published">
    <vt:lpwstr/>
  </property>
  <property fmtid="{D5CDD505-2E9C-101B-9397-08002B2CF9AE}" pid="9" name="Version Number">
    <vt:lpwstr>18.0</vt:lpwstr>
  </property>
  <property fmtid="{D5CDD505-2E9C-101B-9397-08002B2CF9AE}" pid="10" name="Document Type">
    <vt:lpwstr/>
  </property>
  <property fmtid="{D5CDD505-2E9C-101B-9397-08002B2CF9AE}" pid="11" name="Tracked Changes">
    <vt:lpwstr>No</vt:lpwstr>
  </property>
  <property fmtid="{D5CDD505-2E9C-101B-9397-08002B2CF9AE}" pid="12" name="Date Published">
    <vt:lpwstr/>
  </property>
  <property fmtid="{D5CDD505-2E9C-101B-9397-08002B2CF9AE}" pid="13" name="Order">
    <vt:r8>12500</vt:r8>
  </property>
  <property fmtid="{D5CDD505-2E9C-101B-9397-08002B2CF9AE}" pid="14" name="Copy to Website">
    <vt:lpwstr>true</vt:lpwstr>
  </property>
  <property fmtid="{D5CDD505-2E9C-101B-9397-08002B2CF9AE}" pid="15" name="Doc Status">
    <vt:lpwstr>Active</vt:lpwstr>
  </property>
  <property fmtid="{D5CDD505-2E9C-101B-9397-08002B2CF9AE}" pid="16" name="Current Version">
    <vt:lpwstr>Yes</vt:lpwstr>
  </property>
  <property fmtid="{D5CDD505-2E9C-101B-9397-08002B2CF9AE}" pid="17" name="Copy to Website Date">
    <vt:lpwstr>2012-11-16T15:01:00+00:00</vt:lpwstr>
  </property>
  <property fmtid="{D5CDD505-2E9C-101B-9397-08002B2CF9AE}" pid="18" name="_CopySource">
    <vt:lpwstr>AP13.docx</vt:lpwstr>
  </property>
  <property fmtid="{D5CDD505-2E9C-101B-9397-08002B2CF9AE}" pid="19" name="MMTID">
    <vt:lpwstr>180</vt:lpwstr>
  </property>
  <property fmtid="{D5CDD505-2E9C-101B-9397-08002B2CF9AE}" pid="20" name="FromMMT">
    <vt:lpwstr>true</vt:lpwstr>
  </property>
  <property fmtid="{D5CDD505-2E9C-101B-9397-08002B2CF9AE}" pid="21" name="Doc Type">
    <vt:lpwstr>TSC Post-RA Consultation </vt:lpwstr>
  </property>
  <property fmtid="{D5CDD505-2E9C-101B-9397-08002B2CF9AE}" pid="22" name="Document Status1">
    <vt:lpwstr>Draft</vt:lpwstr>
  </property>
  <property fmtid="{D5CDD505-2E9C-101B-9397-08002B2CF9AE}" pid="23" name="Process Type">
    <vt:lpwstr>RA T&amp;SC consultation  Tracked Updates</vt:lpwstr>
  </property>
  <property fmtid="{D5CDD505-2E9C-101B-9397-08002B2CF9AE}" pid="24" name="MSIP_Label_4c99bc9a-9772-4b7e-bcf5-e39ce86bfb30_Enabled">
    <vt:lpwstr>true</vt:lpwstr>
  </property>
  <property fmtid="{D5CDD505-2E9C-101B-9397-08002B2CF9AE}" pid="25" name="MSIP_Label_4c99bc9a-9772-4b7e-bcf5-e39ce86bfb30_SetDate">
    <vt:lpwstr>2023-07-24T15:02:49Z</vt:lpwstr>
  </property>
  <property fmtid="{D5CDD505-2E9C-101B-9397-08002B2CF9AE}" pid="26" name="MSIP_Label_4c99bc9a-9772-4b7e-bcf5-e39ce86bfb30_Method">
    <vt:lpwstr>Standard</vt:lpwstr>
  </property>
  <property fmtid="{D5CDD505-2E9C-101B-9397-08002B2CF9AE}" pid="27" name="MSIP_Label_4c99bc9a-9772-4b7e-bcf5-e39ce86bfb30_Name">
    <vt:lpwstr>Internal</vt:lpwstr>
  </property>
  <property fmtid="{D5CDD505-2E9C-101B-9397-08002B2CF9AE}" pid="28" name="MSIP_Label_4c99bc9a-9772-4b7e-bcf5-e39ce86bfb30_SiteId">
    <vt:lpwstr>c1528ebb-73e5-4ac2-9d93-677ac4834cc5</vt:lpwstr>
  </property>
  <property fmtid="{D5CDD505-2E9C-101B-9397-08002B2CF9AE}" pid="29" name="MSIP_Label_4c99bc9a-9772-4b7e-bcf5-e39ce86bfb30_ActionId">
    <vt:lpwstr>3d2e3381-cf1c-4f1b-8200-cbe4349a6a20</vt:lpwstr>
  </property>
  <property fmtid="{D5CDD505-2E9C-101B-9397-08002B2CF9AE}" pid="30" name="MSIP_Label_4c99bc9a-9772-4b7e-bcf5-e39ce86bfb30_ContentBits">
    <vt:lpwstr>0</vt:lpwstr>
  </property>
  <property fmtid="{D5CDD505-2E9C-101B-9397-08002B2CF9AE}" pid="31" name="Market (F)">
    <vt:lpwstr/>
  </property>
  <property fmtid="{D5CDD505-2E9C-101B-9397-08002B2CF9AE}" pid="32" name="Code Update Type">
    <vt:lpwstr/>
  </property>
  <property fmtid="{D5CDD505-2E9C-101B-9397-08002B2CF9AE}" pid="33" name="Title of Report">
    <vt:lpwstr/>
  </property>
  <property fmtid="{D5CDD505-2E9C-101B-9397-08002B2CF9AE}" pid="34" name="File Type (F)">
    <vt:lpwstr/>
  </property>
  <property fmtid="{D5CDD505-2E9C-101B-9397-08002B2CF9AE}" pid="35" name="Report Name">
    <vt:lpwstr/>
  </property>
</Properties>
</file>