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8FEE" w14:textId="00B8AE46" w:rsidR="00CD3281" w:rsidRPr="00CD3281" w:rsidRDefault="00780440" w:rsidP="00780440">
      <w:pPr>
        <w:pStyle w:val="Title"/>
        <w:tabs>
          <w:tab w:val="left" w:pos="5749"/>
        </w:tabs>
        <w:spacing w:before="120" w:after="120" w:line="276" w:lineRule="auto"/>
        <w:contextualSpacing w:val="0"/>
        <w:rPr>
          <w:rFonts w:ascii="Arial" w:hAnsi="Arial" w:cs="Arial"/>
          <w:sz w:val="72"/>
        </w:rPr>
      </w:pPr>
      <w:r>
        <w:rPr>
          <w:rFonts w:ascii="Arial" w:hAnsi="Arial" w:cs="Arial"/>
          <w:sz w:val="72"/>
        </w:rPr>
        <w:tab/>
      </w:r>
    </w:p>
    <w:p w14:paraId="141C0F28" w14:textId="2E453995" w:rsidR="00CD3281" w:rsidRDefault="00CD3281" w:rsidP="00C747E4">
      <w:pPr>
        <w:pStyle w:val="Title"/>
        <w:spacing w:before="120" w:after="120" w:line="276" w:lineRule="auto"/>
        <w:contextualSpacing w:val="0"/>
        <w:jc w:val="center"/>
        <w:rPr>
          <w:rFonts w:ascii="Arial" w:hAnsi="Arial" w:cs="Arial"/>
          <w:sz w:val="40"/>
          <w:szCs w:val="40"/>
        </w:rPr>
      </w:pPr>
      <w:r w:rsidRPr="00CD3281">
        <w:rPr>
          <w:rFonts w:ascii="Arial" w:hAnsi="Arial" w:cs="Arial"/>
          <w:sz w:val="64"/>
          <w:szCs w:val="64"/>
        </w:rPr>
        <w:t xml:space="preserve">Weekly </w:t>
      </w:r>
      <w:r w:rsidR="00216AA2">
        <w:rPr>
          <w:rFonts w:ascii="Arial" w:hAnsi="Arial" w:cs="Arial"/>
          <w:sz w:val="64"/>
          <w:szCs w:val="64"/>
        </w:rPr>
        <w:t>Operational Constraints Update</w:t>
      </w:r>
      <w:r w:rsidR="00FD01C6">
        <w:rPr>
          <w:rFonts w:ascii="Arial" w:hAnsi="Arial" w:cs="Arial"/>
          <w:sz w:val="64"/>
          <w:szCs w:val="64"/>
        </w:rPr>
        <w:t xml:space="preserve"> </w:t>
      </w:r>
    </w:p>
    <w:p w14:paraId="58C192E5" w14:textId="700578B4" w:rsidR="00262ECB" w:rsidRDefault="009065E9" w:rsidP="33918AC0">
      <w:pPr>
        <w:pStyle w:val="Title"/>
        <w:pBdr>
          <w:bottom w:val="single" w:sz="8" w:space="1" w:color="4F81BD" w:themeColor="accent1"/>
        </w:pBdr>
        <w:spacing w:before="120" w:after="120" w:line="276" w:lineRule="auto"/>
        <w:jc w:val="center"/>
        <w:rPr>
          <w:rFonts w:ascii="Arial" w:hAnsi="Arial" w:cs="Arial"/>
          <w:sz w:val="40"/>
          <w:szCs w:val="40"/>
        </w:rPr>
      </w:pPr>
      <w:r>
        <w:rPr>
          <w:rFonts w:ascii="Arial" w:hAnsi="Arial" w:cs="Arial"/>
          <w:sz w:val="40"/>
          <w:szCs w:val="40"/>
        </w:rPr>
        <w:t>22</w:t>
      </w:r>
      <w:r w:rsidR="00F02B2A">
        <w:rPr>
          <w:rFonts w:ascii="Arial" w:hAnsi="Arial" w:cs="Arial"/>
          <w:sz w:val="40"/>
          <w:szCs w:val="40"/>
        </w:rPr>
        <w:t xml:space="preserve"> December</w:t>
      </w:r>
      <w:r w:rsidR="008D6C57">
        <w:rPr>
          <w:rFonts w:ascii="Arial" w:hAnsi="Arial" w:cs="Arial"/>
          <w:sz w:val="40"/>
          <w:szCs w:val="40"/>
        </w:rPr>
        <w:t xml:space="preserve"> 2025 </w:t>
      </w:r>
      <w:r w:rsidR="00FC1277" w:rsidRPr="00175E32">
        <w:rPr>
          <w:rFonts w:ascii="Arial" w:hAnsi="Arial" w:cs="Arial"/>
          <w:sz w:val="40"/>
          <w:szCs w:val="40"/>
        </w:rPr>
        <w:t xml:space="preserve">to </w:t>
      </w:r>
      <w:r w:rsidRPr="00175E32">
        <w:rPr>
          <w:rFonts w:ascii="Arial" w:hAnsi="Arial" w:cs="Arial"/>
          <w:sz w:val="40"/>
          <w:szCs w:val="40"/>
        </w:rPr>
        <w:t>0</w:t>
      </w:r>
      <w:r w:rsidR="004A3E4B" w:rsidRPr="00175E32">
        <w:rPr>
          <w:rFonts w:ascii="Arial" w:hAnsi="Arial" w:cs="Arial"/>
          <w:sz w:val="40"/>
          <w:szCs w:val="40"/>
        </w:rPr>
        <w:t>4</w:t>
      </w:r>
      <w:r w:rsidRPr="00175E32">
        <w:rPr>
          <w:rFonts w:ascii="Arial" w:hAnsi="Arial" w:cs="Arial"/>
          <w:sz w:val="40"/>
          <w:szCs w:val="40"/>
        </w:rPr>
        <w:t xml:space="preserve"> January</w:t>
      </w:r>
      <w:r w:rsidR="002B69B4" w:rsidRPr="00175E32">
        <w:rPr>
          <w:rFonts w:ascii="Arial" w:hAnsi="Arial" w:cs="Arial"/>
          <w:sz w:val="40"/>
          <w:szCs w:val="40"/>
        </w:rPr>
        <w:t xml:space="preserve"> 202</w:t>
      </w:r>
      <w:r w:rsidRPr="00175E32">
        <w:rPr>
          <w:rFonts w:ascii="Arial" w:hAnsi="Arial" w:cs="Arial"/>
          <w:sz w:val="40"/>
          <w:szCs w:val="40"/>
        </w:rPr>
        <w:t>6</w:t>
      </w:r>
    </w:p>
    <w:p w14:paraId="30ABA62E" w14:textId="220AB454" w:rsidR="000877F8" w:rsidRDefault="00CD3281" w:rsidP="33918AC0">
      <w:pPr>
        <w:pStyle w:val="Title"/>
        <w:pBdr>
          <w:bottom w:val="single" w:sz="8" w:space="1" w:color="4F81BD" w:themeColor="accent1"/>
        </w:pBdr>
        <w:spacing w:before="120" w:after="120" w:line="276" w:lineRule="auto"/>
        <w:jc w:val="center"/>
        <w:rPr>
          <w:rFonts w:ascii="Arial" w:hAnsi="Arial" w:cs="Arial"/>
          <w:sz w:val="40"/>
          <w:szCs w:val="40"/>
        </w:rPr>
      </w:pPr>
      <w:r w:rsidRPr="33918AC0">
        <w:rPr>
          <w:rFonts w:ascii="Arial" w:hAnsi="Arial" w:cs="Arial"/>
          <w:sz w:val="40"/>
          <w:szCs w:val="40"/>
        </w:rPr>
        <w:t>(</w:t>
      </w:r>
      <w:r w:rsidR="00B76627" w:rsidRPr="33918AC0">
        <w:rPr>
          <w:rFonts w:ascii="Arial" w:hAnsi="Arial" w:cs="Arial"/>
          <w:sz w:val="40"/>
          <w:szCs w:val="40"/>
        </w:rPr>
        <w:t xml:space="preserve">Week </w:t>
      </w:r>
      <w:r w:rsidR="007D36ED">
        <w:rPr>
          <w:rFonts w:ascii="Arial" w:hAnsi="Arial" w:cs="Arial"/>
          <w:sz w:val="40"/>
          <w:szCs w:val="40"/>
        </w:rPr>
        <w:t>5</w:t>
      </w:r>
      <w:r w:rsidR="009065E9">
        <w:rPr>
          <w:rFonts w:ascii="Arial" w:hAnsi="Arial" w:cs="Arial"/>
          <w:sz w:val="40"/>
          <w:szCs w:val="40"/>
        </w:rPr>
        <w:t>2 – Week 1</w:t>
      </w:r>
      <w:r w:rsidR="1EE5D0F5" w:rsidRPr="33918AC0">
        <w:rPr>
          <w:rFonts w:ascii="Arial" w:hAnsi="Arial" w:cs="Arial"/>
          <w:sz w:val="40"/>
          <w:szCs w:val="40"/>
        </w:rPr>
        <w:t>)</w:t>
      </w:r>
      <w:r w:rsidR="00A02837">
        <w:rPr>
          <w:rFonts w:ascii="Arial" w:hAnsi="Arial" w:cs="Arial"/>
          <w:sz w:val="40"/>
          <w:szCs w:val="40"/>
        </w:rPr>
        <w:t xml:space="preserve"> </w:t>
      </w:r>
    </w:p>
    <w:p w14:paraId="68561B4B" w14:textId="2CBA4368" w:rsidR="00CD3281" w:rsidRDefault="00954755" w:rsidP="00321552">
      <w:pPr>
        <w:pStyle w:val="Title"/>
        <w:pBdr>
          <w:bottom w:val="single" w:sz="8" w:space="1" w:color="4F81BD" w:themeColor="accent1"/>
        </w:pBdr>
        <w:tabs>
          <w:tab w:val="left" w:pos="5730"/>
        </w:tabs>
        <w:spacing w:before="120" w:after="120" w:line="276" w:lineRule="auto"/>
        <w:contextualSpacing w:val="0"/>
        <w:rPr>
          <w:rFonts w:ascii="Arial" w:hAnsi="Arial" w:cs="Arial"/>
          <w:sz w:val="40"/>
          <w:szCs w:val="40"/>
        </w:rPr>
      </w:pPr>
      <w:r>
        <w:rPr>
          <w:rFonts w:ascii="Arial" w:hAnsi="Arial" w:cs="Arial"/>
          <w:noProof/>
          <w:sz w:val="72"/>
          <w:lang w:eastAsia="en-IE"/>
        </w:rPr>
        <w:drawing>
          <wp:anchor distT="0" distB="0" distL="114300" distR="114300" simplePos="0" relativeHeight="251658240" behindDoc="1" locked="0" layoutInCell="1" allowOverlap="1" wp14:anchorId="399058F9" wp14:editId="1DC87440">
            <wp:simplePos x="0" y="0"/>
            <wp:positionH relativeFrom="margin">
              <wp:posOffset>-806450</wp:posOffset>
            </wp:positionH>
            <wp:positionV relativeFrom="margin">
              <wp:posOffset>-1151890</wp:posOffset>
            </wp:positionV>
            <wp:extent cx="7556400" cy="10681200"/>
            <wp:effectExtent l="0" t="0" r="0" b="0"/>
            <wp:wrapNone/>
            <wp:docPr id="1" name="Picture 1" descr="EIRGRID_SONI_2015 Functional Document Templat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RGRID_SONI_2015 Functional Document Templat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400" cy="10681200"/>
                    </a:xfrm>
                    <a:prstGeom prst="rect">
                      <a:avLst/>
                    </a:prstGeom>
                    <a:noFill/>
                  </pic:spPr>
                </pic:pic>
              </a:graphicData>
            </a:graphic>
            <wp14:sizeRelH relativeFrom="page">
              <wp14:pctWidth>0</wp14:pctWidth>
            </wp14:sizeRelH>
            <wp14:sizeRelV relativeFrom="page">
              <wp14:pctHeight>0</wp14:pctHeight>
            </wp14:sizeRelV>
          </wp:anchor>
        </w:drawing>
      </w:r>
    </w:p>
    <w:p w14:paraId="4A620781" w14:textId="54E8BE9F" w:rsidR="00CD3281" w:rsidRPr="00CD3281" w:rsidRDefault="0002056F" w:rsidP="33918AC0">
      <w:pPr>
        <w:pStyle w:val="Title"/>
        <w:pBdr>
          <w:bottom w:val="single" w:sz="8" w:space="1" w:color="4F81BD" w:themeColor="accent1"/>
        </w:pBdr>
        <w:spacing w:before="120" w:after="120" w:line="276" w:lineRule="auto"/>
        <w:jc w:val="center"/>
        <w:rPr>
          <w:rFonts w:ascii="Arial" w:hAnsi="Arial" w:cs="Arial"/>
          <w:sz w:val="40"/>
          <w:szCs w:val="40"/>
        </w:rPr>
      </w:pPr>
      <w:r>
        <w:rPr>
          <w:rFonts w:ascii="Arial" w:hAnsi="Arial" w:cs="Arial"/>
          <w:sz w:val="40"/>
          <w:szCs w:val="40"/>
        </w:rPr>
        <w:t>1</w:t>
      </w:r>
      <w:r w:rsidR="009065E9">
        <w:rPr>
          <w:rFonts w:ascii="Arial" w:hAnsi="Arial" w:cs="Arial"/>
          <w:sz w:val="40"/>
          <w:szCs w:val="40"/>
        </w:rPr>
        <w:t>9</w:t>
      </w:r>
      <w:r w:rsidR="007D36ED" w:rsidRPr="007D36ED">
        <w:rPr>
          <w:rFonts w:ascii="Arial" w:hAnsi="Arial" w:cs="Arial"/>
          <w:sz w:val="40"/>
          <w:szCs w:val="40"/>
          <w:vertAlign w:val="superscript"/>
        </w:rPr>
        <w:t>th</w:t>
      </w:r>
      <w:r w:rsidR="007D36ED">
        <w:rPr>
          <w:rFonts w:ascii="Arial" w:hAnsi="Arial" w:cs="Arial"/>
          <w:sz w:val="40"/>
          <w:szCs w:val="40"/>
        </w:rPr>
        <w:t xml:space="preserve"> December</w:t>
      </w:r>
      <w:r w:rsidR="00772A59" w:rsidRPr="33918AC0">
        <w:rPr>
          <w:rFonts w:ascii="Arial" w:hAnsi="Arial" w:cs="Arial"/>
          <w:sz w:val="40"/>
          <w:szCs w:val="40"/>
        </w:rPr>
        <w:t xml:space="preserve"> 2025</w:t>
      </w:r>
    </w:p>
    <w:p w14:paraId="2DC6B1FC" w14:textId="77777777" w:rsidR="00CD3281" w:rsidRPr="00CD3281" w:rsidRDefault="00CD3281" w:rsidP="00FB47DE">
      <w:pPr>
        <w:spacing w:before="120" w:after="120"/>
        <w:rPr>
          <w:rFonts w:cs="Arial"/>
        </w:rPr>
      </w:pPr>
    </w:p>
    <w:p w14:paraId="3AA6ED62" w14:textId="6A2C5A28" w:rsidR="00CD3281" w:rsidRPr="00CD3281" w:rsidRDefault="00CD3281" w:rsidP="00A17C66">
      <w:pPr>
        <w:tabs>
          <w:tab w:val="center" w:pos="4680"/>
        </w:tabs>
        <w:spacing w:before="120" w:after="120"/>
        <w:rPr>
          <w:rFonts w:cs="Arial"/>
          <w:b/>
        </w:rPr>
      </w:pPr>
      <w:r w:rsidRPr="00CD3281">
        <w:rPr>
          <w:rFonts w:cs="Arial"/>
          <w:b/>
        </w:rPr>
        <w:t>Disclaimer</w:t>
      </w:r>
      <w:r w:rsidR="009622B1">
        <w:rPr>
          <w:rFonts w:cs="Arial"/>
          <w:b/>
        </w:rPr>
        <w:tab/>
      </w:r>
    </w:p>
    <w:p w14:paraId="30EDA477" w14:textId="77777777" w:rsidR="00CD3281" w:rsidRPr="00CD3281" w:rsidRDefault="00CD3281" w:rsidP="00FB47DE">
      <w:pPr>
        <w:spacing w:before="120" w:after="120"/>
        <w:rPr>
          <w:rFonts w:cs="Arial"/>
          <w:i/>
        </w:rPr>
      </w:pPr>
      <w:r w:rsidRPr="00CD3281">
        <w:rPr>
          <w:rFonts w:cs="Arial"/>
          <w:i/>
        </w:rPr>
        <w:t>EirGrid plc, the Transmission System Operator (TSO) for Ireland, and SONI Limited, the TSO for Northern Ireland, support the provision of information to the marketplace by publishing operational data, processes, methodologies and reports. This information is key to a well-functioning market and as a transparency measure, assisting understanding of our decision making processes. EirGrid plc and SONI Limited make no warranties or representations of any kind with respect of this document, including, without limitation, its quality, accuracy and completeness. EirGrid plc and SONI Limited do not accept liability for any loss or damage arising from the use of this document or any reliance on the information it contains. Use of this document and the information it contains is at the user’s sole risk.</w:t>
      </w:r>
    </w:p>
    <w:p w14:paraId="27CB373C" w14:textId="41742E23" w:rsidR="00CD3281" w:rsidRPr="00CD3281" w:rsidRDefault="00DE4C49" w:rsidP="00FB47DE">
      <w:pPr>
        <w:spacing w:before="120" w:after="120"/>
        <w:rPr>
          <w:rFonts w:cs="Arial"/>
        </w:rPr>
      </w:pPr>
      <w:r w:rsidRPr="00DE4C49">
        <w:rPr>
          <w:rFonts w:cs="Arial"/>
          <w:noProof/>
          <w:sz w:val="72"/>
          <w:lang w:eastAsia="en-IE"/>
        </w:rPr>
        <w:drawing>
          <wp:anchor distT="0" distB="0" distL="114300" distR="114300" simplePos="0" relativeHeight="251658241" behindDoc="0" locked="0" layoutInCell="1" allowOverlap="1" wp14:anchorId="11BF4F19" wp14:editId="7D01A532">
            <wp:simplePos x="0" y="0"/>
            <wp:positionH relativeFrom="column">
              <wp:posOffset>1059625</wp:posOffset>
            </wp:positionH>
            <wp:positionV relativeFrom="paragraph">
              <wp:posOffset>1597660</wp:posOffset>
            </wp:positionV>
            <wp:extent cx="2197100" cy="1086485"/>
            <wp:effectExtent l="0" t="0" r="0" b="0"/>
            <wp:wrapThrough wrapText="bothSides">
              <wp:wrapPolygon edited="0">
                <wp:start x="0" y="0"/>
                <wp:lineTo x="0" y="21209"/>
                <wp:lineTo x="21350" y="21209"/>
                <wp:lineTo x="21350" y="0"/>
                <wp:lineTo x="0" y="0"/>
              </wp:wrapPolygon>
            </wp:wrapThrough>
            <wp:docPr id="13" name="Picture 13" descr="A green logo with a grid and a white background&#10;&#10;Description automatically generated">
              <a:extLst xmlns:a="http://schemas.openxmlformats.org/drawingml/2006/main">
                <a:ext uri="{FF2B5EF4-FFF2-40B4-BE49-F238E27FC236}">
                  <a16:creationId xmlns:a16="http://schemas.microsoft.com/office/drawing/2014/main" id="{36B4039C-E098-42CB-FF97-A69B6013B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green logo with a grid and a white background&#10;&#10;Description automatically generated">
                      <a:extLst>
                        <a:ext uri="{FF2B5EF4-FFF2-40B4-BE49-F238E27FC236}">
                          <a16:creationId xmlns:a16="http://schemas.microsoft.com/office/drawing/2014/main" id="{36B4039C-E098-42CB-FF97-A69B6013B54F}"/>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21644" b="28879"/>
                    <a:stretch/>
                  </pic:blipFill>
                  <pic:spPr bwMode="auto">
                    <a:xfrm>
                      <a:off x="0" y="0"/>
                      <a:ext cx="219710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3281" w:rsidRPr="00CD3281">
        <w:rPr>
          <w:rFonts w:cs="Arial"/>
        </w:rPr>
        <w:br w:type="page"/>
      </w:r>
    </w:p>
    <w:p w14:paraId="5E3C08C6" w14:textId="77777777" w:rsidR="000E083D" w:rsidRPr="00E9141E" w:rsidRDefault="000E083D" w:rsidP="006471D6">
      <w:pPr>
        <w:pStyle w:val="EGStyleGuide-Headline"/>
      </w:pPr>
      <w:r w:rsidRPr="00124790">
        <w:lastRenderedPageBreak/>
        <w:t>Introduction</w:t>
      </w:r>
    </w:p>
    <w:p w14:paraId="40297B7B" w14:textId="77777777" w:rsidR="000E083D" w:rsidRPr="00B97D62" w:rsidRDefault="000E083D" w:rsidP="006471D6">
      <w:pPr>
        <w:rPr>
          <w:lang w:val="en-US" w:eastAsia="ja-JP"/>
        </w:rPr>
      </w:pPr>
      <w:r w:rsidRPr="00B97D62">
        <w:rPr>
          <w:lang w:val="en-US" w:eastAsia="ja-JP"/>
        </w:rPr>
        <w:t>To enable the efficient and secure operation of the power system, EirGrid and SONI schedule and dispatch units so as to adhere to their respective Operating Security Standards</w:t>
      </w:r>
      <w:r w:rsidRPr="00B97D62">
        <w:rPr>
          <w:vertAlign w:val="superscript"/>
          <w:lang w:val="en-US" w:eastAsia="ja-JP"/>
        </w:rPr>
        <w:footnoteReference w:id="2"/>
      </w:r>
      <w:r w:rsidRPr="00B97D62">
        <w:rPr>
          <w:lang w:val="en-US" w:eastAsia="ja-JP"/>
        </w:rPr>
        <w:t xml:space="preserve">. These standards ensure that the all-island transmission system is operated in a secure and reliable manner. </w:t>
      </w:r>
    </w:p>
    <w:p w14:paraId="5FB6DF8A" w14:textId="77777777" w:rsidR="000E083D" w:rsidRDefault="000E083D" w:rsidP="006471D6">
      <w:pPr>
        <w:rPr>
          <w:lang w:val="en-US" w:eastAsia="ja-JP"/>
        </w:rPr>
      </w:pPr>
      <w:r w:rsidRPr="00B97D62">
        <w:rPr>
          <w:lang w:val="en-US" w:eastAsia="ja-JP"/>
        </w:rPr>
        <w:t>The process by which the TSOs schedule and dispatch the power system is outlined in the ‘Balancing Market Principles Statement’</w:t>
      </w:r>
      <w:r w:rsidRPr="00B97D62">
        <w:rPr>
          <w:vertAlign w:val="superscript"/>
          <w:lang w:val="en-US" w:eastAsia="ja-JP"/>
        </w:rPr>
        <w:footnoteReference w:id="3"/>
      </w:r>
      <w:r w:rsidRPr="00B97D62">
        <w:rPr>
          <w:lang w:val="en-US" w:eastAsia="ja-JP"/>
        </w:rPr>
        <w:t>.  This includes a description of how the operational constraints outlined in this document are applied.</w:t>
      </w:r>
    </w:p>
    <w:p w14:paraId="11CF2357" w14:textId="77777777" w:rsidR="000E083D" w:rsidRDefault="000E083D" w:rsidP="006471D6">
      <w:pPr>
        <w:rPr>
          <w:lang w:val="en-US" w:eastAsia="ja-JP"/>
        </w:rPr>
      </w:pPr>
    </w:p>
    <w:p w14:paraId="1904E9F3" w14:textId="37E04B35" w:rsidR="000E083D" w:rsidRDefault="00535BF2" w:rsidP="006471D6">
      <w:pPr>
        <w:rPr>
          <w:lang w:val="en-US" w:eastAsia="ja-JP"/>
        </w:rPr>
      </w:pPr>
      <w:r>
        <w:rPr>
          <w:lang w:val="en-US" w:eastAsia="ja-JP"/>
        </w:rPr>
        <w:t xml:space="preserve">Weekly operational constraint document includes both long standing operational constraints </w:t>
      </w:r>
      <w:r w:rsidR="005B39D8">
        <w:rPr>
          <w:lang w:val="en-US" w:eastAsia="ja-JP"/>
        </w:rPr>
        <w:t xml:space="preserve">and </w:t>
      </w:r>
      <w:r w:rsidR="00770CC7">
        <w:rPr>
          <w:lang w:val="en-US" w:eastAsia="ja-JP"/>
        </w:rPr>
        <w:t>constraints that are updated on a wee</w:t>
      </w:r>
      <w:r w:rsidR="008D63BA">
        <w:rPr>
          <w:lang w:val="en-US" w:eastAsia="ja-JP"/>
        </w:rPr>
        <w:t>k</w:t>
      </w:r>
      <w:r w:rsidR="00770CC7">
        <w:rPr>
          <w:lang w:val="en-US" w:eastAsia="ja-JP"/>
        </w:rPr>
        <w:t>ly</w:t>
      </w:r>
      <w:r w:rsidR="00DD5295">
        <w:rPr>
          <w:lang w:val="en-US" w:eastAsia="ja-JP"/>
        </w:rPr>
        <w:t xml:space="preserve"> basis.</w:t>
      </w:r>
    </w:p>
    <w:p w14:paraId="5B99C46E" w14:textId="77777777" w:rsidR="00770CC7" w:rsidRPr="00B97D62" w:rsidRDefault="00770CC7" w:rsidP="006471D6">
      <w:pPr>
        <w:rPr>
          <w:lang w:val="en-US" w:eastAsia="ja-JP"/>
        </w:rPr>
      </w:pPr>
    </w:p>
    <w:p w14:paraId="3A12AFA5" w14:textId="194E6B5E" w:rsidR="00CD3281" w:rsidRPr="00CD3281" w:rsidRDefault="00770CC7" w:rsidP="004F6CB9">
      <w:pPr>
        <w:pStyle w:val="EGStyleGuide-Subheadline"/>
      </w:pPr>
      <w:r>
        <w:t xml:space="preserve">Weekly </w:t>
      </w:r>
      <w:r w:rsidR="0021428F">
        <w:t>Operational Constraints</w:t>
      </w:r>
      <w:r>
        <w:t xml:space="preserve"> </w:t>
      </w:r>
    </w:p>
    <w:p w14:paraId="79E92547" w14:textId="4892E6BE"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 xml:space="preserve">The purpose of this Weekly </w:t>
      </w:r>
      <w:r w:rsidR="003879CC">
        <w:rPr>
          <w:rFonts w:cs="Arial"/>
        </w:rPr>
        <w:t xml:space="preserve">Operational </w:t>
      </w:r>
      <w:r w:rsidRPr="00CD3281">
        <w:rPr>
          <w:rFonts w:cs="Arial"/>
        </w:rPr>
        <w:t xml:space="preserve">Constraints </w:t>
      </w:r>
      <w:r w:rsidR="003879CC">
        <w:rPr>
          <w:rFonts w:cs="Arial"/>
        </w:rPr>
        <w:t>Update</w:t>
      </w:r>
      <w:r w:rsidRPr="00CD3281">
        <w:rPr>
          <w:rFonts w:cs="Arial"/>
        </w:rPr>
        <w:t xml:space="preserve"> is to </w:t>
      </w:r>
      <w:r w:rsidR="00FF1FAC">
        <w:rPr>
          <w:rFonts w:cs="Arial"/>
        </w:rPr>
        <w:t>provide information on</w:t>
      </w:r>
      <w:r w:rsidRPr="00CD3281">
        <w:rPr>
          <w:rFonts w:cs="Arial"/>
        </w:rPr>
        <w:t xml:space="preserve"> any forecasted significant network congestion or other issues that could potentially restrict dispatchable generation in a particular area or to flag if dispatchable generation is required in a particular area. </w:t>
      </w:r>
    </w:p>
    <w:p w14:paraId="00481AEB" w14:textId="77777777"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 xml:space="preserve">In the analysis, a suite of N-1 contingencies are applied to the base case </w:t>
      </w:r>
      <w:proofErr w:type="spellStart"/>
      <w:r w:rsidRPr="00CD3281">
        <w:rPr>
          <w:rFonts w:cs="Arial"/>
        </w:rPr>
        <w:t>powerflow</w:t>
      </w:r>
      <w:proofErr w:type="spellEnd"/>
      <w:r w:rsidRPr="00CD3281">
        <w:rPr>
          <w:rFonts w:cs="Arial"/>
        </w:rPr>
        <w:t>, and the resulting flows and voltages are compared against the Operational Security Standards. The N-1 contingencies include the tripping of each item of transmission plant and each generator transformer. Groups of generators / demand / wind etc. can be scaled up or down to determine a secure region of operation (known as transfer analysis or transaction analysis).</w:t>
      </w:r>
    </w:p>
    <w:p w14:paraId="693D6217" w14:textId="77777777"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The cases incorporate the latest generation and transmission outage information at the time of the study. This information is published on the EirGrid and SONI websites.</w:t>
      </w:r>
    </w:p>
    <w:p w14:paraId="72E8F973" w14:textId="77777777"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Typically, from a dispatchable generation perspective the worst thermal constraints occur at peak system demand, and therefore only peak system demand scenarios are studied using transfer analysis. If required, other studies are performed, such as system demand valley where high voltages may be an issue.</w:t>
      </w:r>
    </w:p>
    <w:p w14:paraId="6EB6AAFC" w14:textId="074DBD6C"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 xml:space="preserve">The wind levels in the various scenarios assume a flat profile across Ireland or Northern Ireland. We do not test Ireland wind levels above </w:t>
      </w:r>
      <w:r w:rsidR="00E571C7" w:rsidRPr="00E571C7">
        <w:rPr>
          <w:rFonts w:cs="Arial"/>
        </w:rPr>
        <w:t>2000 </w:t>
      </w:r>
      <w:r w:rsidRPr="00E571C7">
        <w:rPr>
          <w:rFonts w:cs="Arial"/>
        </w:rPr>
        <w:t>MW</w:t>
      </w:r>
      <w:r w:rsidRPr="00A67BA0">
        <w:rPr>
          <w:rFonts w:cs="Arial"/>
        </w:rPr>
        <w:t xml:space="preserve"> as, typically above these levels, constraints on dispatchable generation are not as binding due to the availability of the wind generation.</w:t>
      </w:r>
    </w:p>
    <w:p w14:paraId="70CA6946" w14:textId="77777777"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 xml:space="preserve">The binding constraints on the flow on the North-South Tie Line from a thermal and voltage perspective tend to be due to thermal constraints on the Ireland side, save for specific </w:t>
      </w:r>
      <w:r w:rsidRPr="00CD3281">
        <w:rPr>
          <w:rFonts w:cs="Arial"/>
        </w:rPr>
        <w:lastRenderedPageBreak/>
        <w:t>Northern Ireland outages. This is why the Inter-Area Flow (North-South Tie Line Flow) Constraints Forecast below is only studied against Ireland wind generation.</w:t>
      </w:r>
    </w:p>
    <w:p w14:paraId="203599A5" w14:textId="77777777" w:rsidR="00CD3281" w:rsidRPr="00CD3281" w:rsidRDefault="00CD3281" w:rsidP="006471D6">
      <w:pPr>
        <w:pStyle w:val="ListParagraph"/>
        <w:numPr>
          <w:ilvl w:val="0"/>
          <w:numId w:val="1"/>
        </w:numPr>
        <w:spacing w:before="120" w:after="120"/>
        <w:contextualSpacing w:val="0"/>
        <w:jc w:val="both"/>
        <w:rPr>
          <w:rFonts w:cs="Arial"/>
        </w:rPr>
      </w:pPr>
      <w:r w:rsidRPr="00CD3281">
        <w:rPr>
          <w:rFonts w:cs="Arial"/>
        </w:rPr>
        <w:t>There may be other reasons, apart from voltage and thermal limits that lead to constraints, such as frequency, transient stability and adverse weather conditions. These are usually observed and dealt with close to real-time.</w:t>
      </w:r>
    </w:p>
    <w:p w14:paraId="37EFB5F1" w14:textId="1DBB3C27" w:rsidR="00FF46B8" w:rsidRDefault="00CD3281" w:rsidP="00FF46B8">
      <w:pPr>
        <w:pStyle w:val="ListParagraph"/>
        <w:numPr>
          <w:ilvl w:val="0"/>
          <w:numId w:val="1"/>
        </w:numPr>
        <w:spacing w:before="120" w:after="120"/>
        <w:contextualSpacing w:val="0"/>
        <w:jc w:val="both"/>
        <w:rPr>
          <w:rFonts w:cs="Arial"/>
        </w:rPr>
      </w:pPr>
      <w:r w:rsidRPr="00FB47DE">
        <w:rPr>
          <w:rFonts w:cs="Arial"/>
        </w:rPr>
        <w:t>Should any of the study assumptions materially change during the week, due to a forced outage for example, we will endeavour to perform new studies and publish results on the next working day.</w:t>
      </w:r>
    </w:p>
    <w:p w14:paraId="75858138" w14:textId="77777777" w:rsidR="00FF46B8" w:rsidRPr="00FF46B8" w:rsidRDefault="00FF46B8" w:rsidP="002F20C2">
      <w:pPr>
        <w:pStyle w:val="ListParagraph"/>
        <w:spacing w:before="120" w:after="120"/>
        <w:contextualSpacing w:val="0"/>
        <w:jc w:val="both"/>
        <w:rPr>
          <w:rFonts w:cs="Arial"/>
        </w:rPr>
      </w:pPr>
    </w:p>
    <w:p w14:paraId="2C18745D" w14:textId="35EA73B9" w:rsidR="00B97D62" w:rsidRPr="00B97D62" w:rsidRDefault="0021428F" w:rsidP="004F6CB9">
      <w:pPr>
        <w:pStyle w:val="EGStyleGuide-Subheadline"/>
        <w:rPr>
          <w:rFonts w:eastAsia="MS Gothic"/>
        </w:rPr>
      </w:pPr>
      <w:r>
        <w:rPr>
          <w:rFonts w:eastAsia="MS Gothic"/>
        </w:rPr>
        <w:t xml:space="preserve">Long Term Constraints </w:t>
      </w:r>
      <w:r w:rsidR="00C71542">
        <w:rPr>
          <w:rFonts w:eastAsia="MS Gothic"/>
        </w:rPr>
        <w:t xml:space="preserve"> </w:t>
      </w:r>
    </w:p>
    <w:p w14:paraId="4134D712" w14:textId="61A46A11" w:rsidR="00B97D62" w:rsidRPr="00B97D62" w:rsidRDefault="00FF46B8" w:rsidP="006471D6">
      <w:pPr>
        <w:jc w:val="both"/>
        <w:rPr>
          <w:lang w:val="en-US" w:eastAsia="ja-JP"/>
        </w:rPr>
      </w:pPr>
      <w:r>
        <w:rPr>
          <w:lang w:val="en-US" w:eastAsia="ja-JP"/>
        </w:rPr>
        <w:t xml:space="preserve">The </w:t>
      </w:r>
      <w:r w:rsidR="00772A59">
        <w:rPr>
          <w:lang w:val="en-US" w:eastAsia="ja-JP"/>
        </w:rPr>
        <w:t>Long-Term</w:t>
      </w:r>
      <w:r w:rsidR="00B97D62" w:rsidRPr="00B97D62">
        <w:rPr>
          <w:lang w:val="en-US" w:eastAsia="ja-JP"/>
        </w:rPr>
        <w:t xml:space="preserve"> Operational Constraints </w:t>
      </w:r>
      <w:r>
        <w:rPr>
          <w:lang w:val="en-US" w:eastAsia="ja-JP"/>
        </w:rPr>
        <w:t>u</w:t>
      </w:r>
      <w:r w:rsidRPr="00B97D62">
        <w:rPr>
          <w:lang w:val="en-US" w:eastAsia="ja-JP"/>
        </w:rPr>
        <w:t xml:space="preserve">pdate </w:t>
      </w:r>
      <w:r w:rsidR="00B97D62" w:rsidRPr="00B97D62">
        <w:rPr>
          <w:lang w:val="en-US" w:eastAsia="ja-JP"/>
        </w:rPr>
        <w:t>present</w:t>
      </w:r>
      <w:r>
        <w:rPr>
          <w:lang w:val="en-US" w:eastAsia="ja-JP"/>
        </w:rPr>
        <w:t>s</w:t>
      </w:r>
      <w:r w:rsidR="00B97D62" w:rsidRPr="00B97D62">
        <w:rPr>
          <w:lang w:val="en-US" w:eastAsia="ja-JP"/>
        </w:rPr>
        <w:t xml:space="preserve"> the key system and generator constraints which are included in the scheduling process. The most common operational constraints that are modelled are:</w:t>
      </w:r>
    </w:p>
    <w:p w14:paraId="232BABBA" w14:textId="77777777" w:rsidR="00B97D62" w:rsidRPr="00B97D62" w:rsidRDefault="00B97D62" w:rsidP="006471D6">
      <w:pPr>
        <w:rPr>
          <w:rFonts w:cs="Arial"/>
          <w:color w:val="000000"/>
          <w:lang w:val="en-GB" w:eastAsia="en-GB"/>
        </w:rPr>
      </w:pPr>
    </w:p>
    <w:p w14:paraId="5D67BE68" w14:textId="7972D42C" w:rsidR="00B97D62" w:rsidRPr="006471D6" w:rsidRDefault="00B97D62" w:rsidP="006471D6">
      <w:pPr>
        <w:pStyle w:val="ListParagraph"/>
        <w:numPr>
          <w:ilvl w:val="0"/>
          <w:numId w:val="13"/>
        </w:numPr>
        <w:rPr>
          <w:rFonts w:cs="Arial"/>
          <w:color w:val="000000"/>
          <w:lang w:val="en-GB" w:eastAsia="en-GB"/>
        </w:rPr>
      </w:pPr>
      <w:bookmarkStart w:id="0" w:name="_Hlk77322578"/>
      <w:r w:rsidRPr="006471D6">
        <w:rPr>
          <w:rFonts w:cs="Arial"/>
          <w:color w:val="000000"/>
          <w:lang w:val="en-GB" w:eastAsia="en-GB"/>
        </w:rPr>
        <w:t>North – South tie-line export / import constraint</w:t>
      </w:r>
    </w:p>
    <w:p w14:paraId="700092B1" w14:textId="454289AE" w:rsidR="00B97D62" w:rsidRPr="006471D6" w:rsidRDefault="00B97D62" w:rsidP="006471D6">
      <w:pPr>
        <w:pStyle w:val="ListParagraph"/>
        <w:numPr>
          <w:ilvl w:val="0"/>
          <w:numId w:val="13"/>
        </w:numPr>
        <w:rPr>
          <w:rFonts w:cs="Arial"/>
          <w:color w:val="000000"/>
          <w:lang w:val="en-GB" w:eastAsia="en-GB"/>
        </w:rPr>
      </w:pPr>
      <w:r w:rsidRPr="006471D6">
        <w:rPr>
          <w:rFonts w:cs="Arial"/>
          <w:color w:val="000000"/>
          <w:lang w:val="en-GB" w:eastAsia="en-GB"/>
        </w:rPr>
        <w:t>Moyle import / export constraint</w:t>
      </w:r>
    </w:p>
    <w:p w14:paraId="61087441" w14:textId="24A8AF0E" w:rsidR="00B97D62" w:rsidRPr="006471D6" w:rsidRDefault="00B97D62" w:rsidP="006471D6">
      <w:pPr>
        <w:pStyle w:val="ListParagraph"/>
        <w:numPr>
          <w:ilvl w:val="0"/>
          <w:numId w:val="13"/>
        </w:numPr>
        <w:rPr>
          <w:rFonts w:cs="Arial"/>
          <w:color w:val="000000"/>
          <w:lang w:val="en-GB" w:eastAsia="en-GB"/>
        </w:rPr>
      </w:pPr>
      <w:r w:rsidRPr="006471D6">
        <w:rPr>
          <w:rFonts w:cs="Arial"/>
          <w:color w:val="000000"/>
          <w:lang w:val="en-GB" w:eastAsia="en-GB"/>
        </w:rPr>
        <w:t xml:space="preserve">Requirement to keep a minimum number of units on in an area </w:t>
      </w:r>
    </w:p>
    <w:p w14:paraId="1C60C771" w14:textId="76507391" w:rsidR="00B97D62" w:rsidRPr="006471D6" w:rsidRDefault="00B97D62" w:rsidP="006471D6">
      <w:pPr>
        <w:pStyle w:val="ListParagraph"/>
        <w:numPr>
          <w:ilvl w:val="0"/>
          <w:numId w:val="13"/>
        </w:numPr>
        <w:rPr>
          <w:rFonts w:cs="Arial"/>
          <w:color w:val="000000"/>
          <w:lang w:val="en-GB" w:eastAsia="en-GB"/>
        </w:rPr>
      </w:pPr>
      <w:r w:rsidRPr="006471D6">
        <w:rPr>
          <w:rFonts w:cs="Arial"/>
          <w:color w:val="000000"/>
          <w:lang w:val="en-GB" w:eastAsia="en-GB"/>
        </w:rPr>
        <w:t xml:space="preserve">Requirement to limit the output of the generators in an area to limit short circuit levels or overloads </w:t>
      </w:r>
    </w:p>
    <w:p w14:paraId="47D00E1F" w14:textId="315D55D2" w:rsidR="00B97D62" w:rsidRPr="006471D6" w:rsidRDefault="00B97D62" w:rsidP="006471D6">
      <w:pPr>
        <w:pStyle w:val="ListParagraph"/>
        <w:numPr>
          <w:ilvl w:val="0"/>
          <w:numId w:val="13"/>
        </w:numPr>
        <w:rPr>
          <w:rFonts w:cs="Arial"/>
          <w:color w:val="000000"/>
          <w:lang w:val="en-GB" w:eastAsia="en-GB"/>
        </w:rPr>
      </w:pPr>
      <w:r w:rsidRPr="006471D6">
        <w:rPr>
          <w:rFonts w:cs="Arial"/>
          <w:color w:val="000000"/>
          <w:lang w:val="en-GB" w:eastAsia="en-GB"/>
        </w:rPr>
        <w:t>Requirement for a minimum output from the generators in an area to support the voltage or to avoid overloads</w:t>
      </w:r>
    </w:p>
    <w:p w14:paraId="13BA8D76" w14:textId="77777777" w:rsidR="00B97D62" w:rsidRPr="00B97D62" w:rsidRDefault="00B97D62" w:rsidP="006471D6">
      <w:pPr>
        <w:rPr>
          <w:rFonts w:cs="Arial"/>
          <w:color w:val="000000"/>
          <w:lang w:val="en-GB" w:eastAsia="en-GB"/>
        </w:rPr>
      </w:pPr>
    </w:p>
    <w:p w14:paraId="413DDF28" w14:textId="30938BBD" w:rsidR="001C46D8" w:rsidRDefault="001C46D8" w:rsidP="001C46D8">
      <w:pPr>
        <w:rPr>
          <w:lang w:val="en-GB" w:eastAsia="ja-JP"/>
        </w:rPr>
      </w:pPr>
      <w:r>
        <w:rPr>
          <w:lang w:val="en-GB" w:eastAsia="ja-JP"/>
        </w:rPr>
        <w:t>The Long Term Constraints update comprises of (</w:t>
      </w:r>
      <w:proofErr w:type="spellStart"/>
      <w:r>
        <w:rPr>
          <w:lang w:val="en-GB" w:eastAsia="ja-JP"/>
        </w:rPr>
        <w:t>i</w:t>
      </w:r>
      <w:proofErr w:type="spellEnd"/>
      <w:r>
        <w:rPr>
          <w:lang w:val="en-GB" w:eastAsia="ja-JP"/>
        </w:rPr>
        <w:t xml:space="preserve">) </w:t>
      </w:r>
      <w:r w:rsidRPr="001C46D8">
        <w:rPr>
          <w:lang w:val="en-GB" w:eastAsia="ja-JP"/>
        </w:rPr>
        <w:t>Active Constraints</w:t>
      </w:r>
      <w:r>
        <w:rPr>
          <w:lang w:val="en-GB" w:eastAsia="ja-JP"/>
        </w:rPr>
        <w:t>, (ii) System Constraints, and (iii) Operating Reserve Requirements.</w:t>
      </w:r>
    </w:p>
    <w:p w14:paraId="086AD552" w14:textId="5162EEC4" w:rsidR="001C46D8" w:rsidRDefault="001C46D8" w:rsidP="006471D6">
      <w:pPr>
        <w:rPr>
          <w:rFonts w:cs="Arial"/>
          <w:color w:val="000000"/>
          <w:lang w:val="en-GB" w:eastAsia="en-GB"/>
        </w:rPr>
      </w:pPr>
    </w:p>
    <w:bookmarkEnd w:id="0"/>
    <w:p w14:paraId="63BF9F70" w14:textId="77777777" w:rsidR="00B97D62" w:rsidRPr="00B97D62" w:rsidRDefault="00B97D62" w:rsidP="00B97D62">
      <w:pPr>
        <w:autoSpaceDE w:val="0"/>
        <w:autoSpaceDN w:val="0"/>
        <w:adjustRightInd w:val="0"/>
        <w:spacing w:line="240" w:lineRule="auto"/>
        <w:jc w:val="both"/>
        <w:rPr>
          <w:rFonts w:ascii="Cambria" w:eastAsia="MS Mincho" w:hAnsi="Cambria" w:cs="Arial"/>
          <w:color w:val="000000"/>
          <w:lang w:val="en-GB" w:eastAsia="en-GB"/>
        </w:rPr>
      </w:pPr>
    </w:p>
    <w:p w14:paraId="12584A09" w14:textId="77777777" w:rsidR="00B97D62" w:rsidRPr="00B97D62" w:rsidRDefault="00B97D62" w:rsidP="006F09F8">
      <w:pPr>
        <w:rPr>
          <w:lang w:val="en-US" w:eastAsia="ja-JP"/>
        </w:rPr>
      </w:pPr>
      <w:r w:rsidRPr="00B97D62">
        <w:rPr>
          <w:lang w:val="en-US" w:eastAsia="ja-JP"/>
        </w:rPr>
        <w:br w:type="page"/>
      </w:r>
    </w:p>
    <w:p w14:paraId="4158161E" w14:textId="728FEAE3" w:rsidR="00DD5295" w:rsidRDefault="0021428F" w:rsidP="006471D6">
      <w:pPr>
        <w:pStyle w:val="EGStyleGuide-Headline"/>
        <w:pageBreakBefore w:val="0"/>
      </w:pPr>
      <w:r>
        <w:lastRenderedPageBreak/>
        <w:t>Weekly Operational Constraints</w:t>
      </w:r>
    </w:p>
    <w:p w14:paraId="553FF794" w14:textId="77777777" w:rsidR="00CD3281" w:rsidRPr="00CD3281" w:rsidRDefault="00CD3281" w:rsidP="004F6CB9">
      <w:pPr>
        <w:pStyle w:val="EGStyleGuide-Subheadline"/>
      </w:pPr>
      <w:r w:rsidRPr="00CD3281">
        <w:t>Generator and Transmission Outages</w:t>
      </w:r>
    </w:p>
    <w:p w14:paraId="1209BA71" w14:textId="77777777" w:rsidR="00CD3281" w:rsidRPr="00FB47DE" w:rsidRDefault="00CD3281" w:rsidP="00FB47DE">
      <w:pPr>
        <w:spacing w:before="120" w:after="120"/>
        <w:rPr>
          <w:rFonts w:cs="Arial"/>
        </w:rPr>
      </w:pPr>
      <w:r w:rsidRPr="00FB47DE">
        <w:rPr>
          <w:rFonts w:cs="Arial"/>
        </w:rPr>
        <w:t>Generator and transmission plant outages as per published here:</w:t>
      </w:r>
    </w:p>
    <w:p w14:paraId="1A423414" w14:textId="77777777" w:rsidR="00CD3281" w:rsidRPr="00FB47DE" w:rsidRDefault="00FB47DE" w:rsidP="00FB47DE">
      <w:pPr>
        <w:spacing w:before="120" w:after="120"/>
        <w:rPr>
          <w:rFonts w:cs="Arial"/>
        </w:rPr>
      </w:pPr>
      <w:hyperlink r:id="rId13" w:history="1">
        <w:r w:rsidRPr="00FB47DE">
          <w:rPr>
            <w:rStyle w:val="Hyperlink"/>
            <w:rFonts w:cs="Arial"/>
          </w:rPr>
          <w:t>All-Island Generator Outages</w:t>
        </w:r>
      </w:hyperlink>
      <w:r w:rsidR="00CD3281" w:rsidRPr="00FB47DE">
        <w:rPr>
          <w:rFonts w:cs="Arial"/>
        </w:rPr>
        <w:t xml:space="preserve"> – Under REMIT Publications</w:t>
      </w:r>
    </w:p>
    <w:p w14:paraId="78D4B17D" w14:textId="77777777" w:rsidR="00CD3281" w:rsidRPr="00FB47DE" w:rsidRDefault="00FB47DE" w:rsidP="00FB47DE">
      <w:pPr>
        <w:spacing w:before="120" w:after="120"/>
        <w:rPr>
          <w:rFonts w:cs="Arial"/>
        </w:rPr>
      </w:pPr>
      <w:hyperlink r:id="rId14" w:history="1">
        <w:r w:rsidRPr="00FB47DE">
          <w:rPr>
            <w:rStyle w:val="Hyperlink"/>
            <w:rFonts w:cs="Arial"/>
          </w:rPr>
          <w:t>Ireland Transmission Outages</w:t>
        </w:r>
      </w:hyperlink>
    </w:p>
    <w:p w14:paraId="12A9FA87" w14:textId="77777777" w:rsidR="00CD3281" w:rsidRPr="00FB47DE" w:rsidRDefault="00FB47DE" w:rsidP="00FB47DE">
      <w:pPr>
        <w:spacing w:before="120" w:after="120"/>
        <w:rPr>
          <w:rFonts w:cs="Arial"/>
        </w:rPr>
      </w:pPr>
      <w:hyperlink r:id="rId15" w:history="1">
        <w:r w:rsidRPr="00FB47DE">
          <w:rPr>
            <w:rStyle w:val="Hyperlink"/>
            <w:rFonts w:cs="Arial"/>
          </w:rPr>
          <w:t>Northern Ireland Transmission Outages</w:t>
        </w:r>
      </w:hyperlink>
    </w:p>
    <w:p w14:paraId="1DFCD919" w14:textId="77777777" w:rsidR="00CD3281" w:rsidRPr="00FB47DE" w:rsidRDefault="00CD3281" w:rsidP="00FB47DE">
      <w:pPr>
        <w:spacing w:before="120" w:after="120"/>
        <w:rPr>
          <w:rFonts w:cs="Arial"/>
        </w:rPr>
      </w:pPr>
    </w:p>
    <w:p w14:paraId="08215593" w14:textId="77777777" w:rsidR="00CD3281" w:rsidRPr="00CD3281" w:rsidRDefault="00CD3281" w:rsidP="004F6CB9">
      <w:pPr>
        <w:pStyle w:val="EGStyleGuide-Subheadline"/>
      </w:pPr>
      <w:r w:rsidRPr="00CD3281">
        <w:t>Demand</w:t>
      </w:r>
    </w:p>
    <w:p w14:paraId="01DC9271" w14:textId="5D89E837" w:rsidR="00CD3281" w:rsidRPr="00CD3281" w:rsidRDefault="00CD3281" w:rsidP="00FB47DE">
      <w:pPr>
        <w:spacing w:before="120" w:after="120"/>
        <w:rPr>
          <w:rFonts w:cs="Arial"/>
        </w:rPr>
      </w:pPr>
      <w:r w:rsidRPr="00CD3281">
        <w:rPr>
          <w:rFonts w:cs="Arial"/>
        </w:rPr>
        <w:t>All studies are performed at Weekday Peak System Demand unless otherwise stated</w:t>
      </w:r>
    </w:p>
    <w:tbl>
      <w:tblPr>
        <w:tblStyle w:val="MediumGrid3-Accent1"/>
        <w:tblW w:w="0" w:type="auto"/>
        <w:tblLook w:val="04A0" w:firstRow="1" w:lastRow="0" w:firstColumn="1" w:lastColumn="0" w:noHBand="0" w:noVBand="1"/>
      </w:tblPr>
      <w:tblGrid>
        <w:gridCol w:w="3121"/>
        <w:gridCol w:w="3109"/>
        <w:gridCol w:w="3110"/>
      </w:tblGrid>
      <w:tr w:rsidR="00FB47DE" w14:paraId="2D0F6235" w14:textId="77777777" w:rsidTr="6606C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5EAA8B6" w14:textId="77777777" w:rsidR="00FB47DE" w:rsidRDefault="00FB47DE" w:rsidP="00FB47DE">
            <w:pPr>
              <w:spacing w:before="120" w:after="120" w:line="276" w:lineRule="auto"/>
              <w:jc w:val="center"/>
              <w:rPr>
                <w:rFonts w:cs="Arial"/>
              </w:rPr>
            </w:pPr>
            <w:r w:rsidRPr="00CD3281">
              <w:rPr>
                <w:rFonts w:cs="Arial"/>
              </w:rPr>
              <w:t>Jurisdiction</w:t>
            </w:r>
          </w:p>
        </w:tc>
        <w:tc>
          <w:tcPr>
            <w:tcW w:w="3192" w:type="dxa"/>
          </w:tcPr>
          <w:p w14:paraId="1656EF51" w14:textId="77777777" w:rsidR="00FB47DE" w:rsidRDefault="00FB47DE" w:rsidP="00FB47D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Weekday Peak System Demand (MW)</w:t>
            </w:r>
          </w:p>
        </w:tc>
        <w:tc>
          <w:tcPr>
            <w:tcW w:w="3192" w:type="dxa"/>
          </w:tcPr>
          <w:p w14:paraId="2027AC72" w14:textId="77777777" w:rsidR="00FB47DE" w:rsidRDefault="00FB47DE" w:rsidP="00FB47D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Weekend Peak System Demand (MW)</w:t>
            </w:r>
          </w:p>
        </w:tc>
      </w:tr>
      <w:tr w:rsidR="00FB47DE" w14:paraId="7F28F3F1" w14:textId="77777777" w:rsidTr="6606C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23755EC" w14:textId="77777777" w:rsidR="00FB47DE" w:rsidRDefault="00FB47DE" w:rsidP="00FB47DE">
            <w:pPr>
              <w:spacing w:before="120" w:after="120" w:line="276" w:lineRule="auto"/>
              <w:jc w:val="center"/>
              <w:rPr>
                <w:rFonts w:cs="Arial"/>
              </w:rPr>
            </w:pPr>
            <w:r w:rsidRPr="00CD3281">
              <w:rPr>
                <w:rFonts w:cs="Arial"/>
              </w:rPr>
              <w:t>Ireland</w:t>
            </w:r>
          </w:p>
        </w:tc>
        <w:tc>
          <w:tcPr>
            <w:tcW w:w="3192" w:type="dxa"/>
          </w:tcPr>
          <w:p w14:paraId="5FE80594" w14:textId="0ACEFC3C" w:rsidR="00892F9F" w:rsidRDefault="056E6AB7" w:rsidP="6606CCB8">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pPr>
            <w:r w:rsidRPr="6606CCB8">
              <w:rPr>
                <w:rFonts w:cs="Arial"/>
              </w:rPr>
              <w:t>6100</w:t>
            </w:r>
          </w:p>
        </w:tc>
        <w:tc>
          <w:tcPr>
            <w:tcW w:w="3192" w:type="dxa"/>
            <w:vAlign w:val="center"/>
          </w:tcPr>
          <w:p w14:paraId="632AE1E5" w14:textId="18D75709" w:rsidR="006B7AEC" w:rsidRDefault="00C07EEC" w:rsidP="00AB2360">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3</w:t>
            </w:r>
            <w:r w:rsidR="004D7217">
              <w:rPr>
                <w:rFonts w:cs="Arial"/>
              </w:rPr>
              <w:t>7</w:t>
            </w:r>
            <w:r w:rsidR="003D1CD9">
              <w:rPr>
                <w:rFonts w:cs="Arial"/>
              </w:rPr>
              <w:t>00</w:t>
            </w:r>
          </w:p>
        </w:tc>
      </w:tr>
      <w:tr w:rsidR="00FB47DE" w14:paraId="374122CA" w14:textId="77777777" w:rsidTr="6606CCB8">
        <w:tc>
          <w:tcPr>
            <w:cnfStyle w:val="001000000000" w:firstRow="0" w:lastRow="0" w:firstColumn="1" w:lastColumn="0" w:oddVBand="0" w:evenVBand="0" w:oddHBand="0" w:evenHBand="0" w:firstRowFirstColumn="0" w:firstRowLastColumn="0" w:lastRowFirstColumn="0" w:lastRowLastColumn="0"/>
            <w:tcW w:w="3192" w:type="dxa"/>
          </w:tcPr>
          <w:p w14:paraId="61235803" w14:textId="77777777" w:rsidR="00FB47DE" w:rsidRDefault="00FB47DE" w:rsidP="00FB47DE">
            <w:pPr>
              <w:spacing w:before="120" w:after="120" w:line="276" w:lineRule="auto"/>
              <w:jc w:val="center"/>
              <w:rPr>
                <w:rFonts w:cs="Arial"/>
              </w:rPr>
            </w:pPr>
            <w:r w:rsidRPr="00CD3281">
              <w:rPr>
                <w:rFonts w:cs="Arial"/>
              </w:rPr>
              <w:t>Northern Ireland</w:t>
            </w:r>
          </w:p>
        </w:tc>
        <w:tc>
          <w:tcPr>
            <w:tcW w:w="3192" w:type="dxa"/>
          </w:tcPr>
          <w:p w14:paraId="23F467D9" w14:textId="76E2DAA4" w:rsidR="00FB47DE" w:rsidRDefault="4988B344" w:rsidP="632DF7D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6FAB8211">
              <w:rPr>
                <w:rFonts w:cs="Arial"/>
              </w:rPr>
              <w:t>1</w:t>
            </w:r>
            <w:r w:rsidR="00FE4701">
              <w:rPr>
                <w:rFonts w:cs="Arial"/>
              </w:rPr>
              <w:t>4</w:t>
            </w:r>
            <w:r w:rsidR="00453155">
              <w:rPr>
                <w:rFonts w:cs="Arial"/>
              </w:rPr>
              <w:t>5</w:t>
            </w:r>
            <w:r w:rsidR="00FE4701">
              <w:rPr>
                <w:rFonts w:cs="Arial"/>
              </w:rPr>
              <w:t>0</w:t>
            </w:r>
          </w:p>
        </w:tc>
        <w:tc>
          <w:tcPr>
            <w:tcW w:w="3192" w:type="dxa"/>
          </w:tcPr>
          <w:p w14:paraId="7240B3DD" w14:textId="2384308B" w:rsidR="00FB47DE" w:rsidRDefault="00946A0C" w:rsidP="28A0D5C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1250</w:t>
            </w:r>
          </w:p>
        </w:tc>
      </w:tr>
    </w:tbl>
    <w:p w14:paraId="58E082D0" w14:textId="77777777" w:rsidR="00CD3281" w:rsidRPr="00CD3281" w:rsidRDefault="00CD3281" w:rsidP="00FB47DE">
      <w:pPr>
        <w:spacing w:before="120" w:after="120"/>
        <w:rPr>
          <w:rFonts w:cs="Arial"/>
        </w:rPr>
      </w:pPr>
    </w:p>
    <w:p w14:paraId="380740D3" w14:textId="77777777" w:rsidR="00CD3281" w:rsidRPr="00CD3281" w:rsidRDefault="00CD3281" w:rsidP="004F6CB9">
      <w:pPr>
        <w:pStyle w:val="EGStyleGuide-Subheadline"/>
      </w:pPr>
      <w:r w:rsidRPr="00CD3281">
        <w:t>Initial Interconnector and Tie Line Flows</w:t>
      </w:r>
    </w:p>
    <w:tbl>
      <w:tblPr>
        <w:tblStyle w:val="MediumGrid3-Accent1"/>
        <w:tblW w:w="0" w:type="auto"/>
        <w:tblLook w:val="04A0" w:firstRow="1" w:lastRow="0" w:firstColumn="1" w:lastColumn="0" w:noHBand="0" w:noVBand="1"/>
      </w:tblPr>
      <w:tblGrid>
        <w:gridCol w:w="4673"/>
        <w:gridCol w:w="4667"/>
      </w:tblGrid>
      <w:tr w:rsidR="00FB47DE" w14:paraId="6C68E476" w14:textId="77777777" w:rsidTr="0076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94EC1A3" w14:textId="77777777" w:rsidR="00FB47DE" w:rsidRDefault="00FB47DE" w:rsidP="00FB47DE">
            <w:pPr>
              <w:spacing w:before="120" w:after="120" w:line="276" w:lineRule="auto"/>
              <w:jc w:val="center"/>
              <w:rPr>
                <w:rFonts w:cs="Arial"/>
              </w:rPr>
            </w:pPr>
          </w:p>
        </w:tc>
        <w:tc>
          <w:tcPr>
            <w:tcW w:w="4788" w:type="dxa"/>
          </w:tcPr>
          <w:p w14:paraId="2D673BAB" w14:textId="77777777" w:rsidR="00FB47DE" w:rsidRDefault="00FB47DE" w:rsidP="00FB47D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Flow (MW)</w:t>
            </w:r>
          </w:p>
        </w:tc>
      </w:tr>
      <w:tr w:rsidR="00FB47DE" w14:paraId="2F192C3D" w14:textId="77777777"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vAlign w:val="center"/>
          </w:tcPr>
          <w:p w14:paraId="0F117ECD" w14:textId="77777777" w:rsidR="00FB47DE" w:rsidRDefault="00FB47DE" w:rsidP="00FB47DE">
            <w:pPr>
              <w:spacing w:before="120" w:after="120" w:line="276" w:lineRule="auto"/>
              <w:jc w:val="center"/>
              <w:rPr>
                <w:rFonts w:cs="Arial"/>
              </w:rPr>
            </w:pPr>
            <w:r w:rsidRPr="00CD3281">
              <w:rPr>
                <w:rFonts w:cs="Arial"/>
              </w:rPr>
              <w:t>EWIC</w:t>
            </w:r>
          </w:p>
        </w:tc>
        <w:tc>
          <w:tcPr>
            <w:tcW w:w="4788" w:type="dxa"/>
          </w:tcPr>
          <w:p w14:paraId="6526F5F0" w14:textId="5B44633E" w:rsidR="00DF079D" w:rsidRDefault="00DF079D" w:rsidP="00DF079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At zero wind </w:t>
            </w:r>
            <w:r w:rsidR="00DB6766">
              <w:rPr>
                <w:rFonts w:cs="Arial"/>
              </w:rPr>
              <w:t>0</w:t>
            </w:r>
            <w:r w:rsidR="00BE5843">
              <w:rPr>
                <w:rFonts w:cs="Arial"/>
              </w:rPr>
              <w:t xml:space="preserve"> </w:t>
            </w:r>
            <w:r>
              <w:rPr>
                <w:rFonts w:cs="Arial"/>
              </w:rPr>
              <w:t>MW</w:t>
            </w:r>
            <w:r w:rsidRPr="00CD3281">
              <w:rPr>
                <w:rFonts w:cs="Arial"/>
              </w:rPr>
              <w:t xml:space="preserve"> Impo</w:t>
            </w:r>
            <w:r>
              <w:rPr>
                <w:rFonts w:cs="Arial"/>
              </w:rPr>
              <w:t>rt (GB to IE)</w:t>
            </w:r>
          </w:p>
          <w:p w14:paraId="2D3A4295" w14:textId="2DEF9147" w:rsidR="00FB47DE" w:rsidRDefault="00DF079D" w:rsidP="003E6C2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At 2000 MW wind </w:t>
            </w:r>
            <w:r w:rsidR="00E83A67">
              <w:rPr>
                <w:rFonts w:cs="Arial"/>
              </w:rPr>
              <w:t>0</w:t>
            </w:r>
            <w:r w:rsidR="00BE5843">
              <w:rPr>
                <w:rFonts w:cs="Arial"/>
              </w:rPr>
              <w:t xml:space="preserve"> </w:t>
            </w:r>
            <w:r>
              <w:rPr>
                <w:rFonts w:cs="Arial"/>
              </w:rPr>
              <w:t>MW Export (IE to GB</w:t>
            </w:r>
            <w:r w:rsidR="00D45287">
              <w:rPr>
                <w:rFonts w:cs="Arial"/>
              </w:rPr>
              <w:t>)</w:t>
            </w:r>
          </w:p>
        </w:tc>
      </w:tr>
      <w:tr w:rsidR="00DB6766" w14:paraId="66DE5E23" w14:textId="77777777" w:rsidTr="00760D0D">
        <w:tc>
          <w:tcPr>
            <w:cnfStyle w:val="001000000000" w:firstRow="0" w:lastRow="0" w:firstColumn="1" w:lastColumn="0" w:oddVBand="0" w:evenVBand="0" w:oddHBand="0" w:evenHBand="0" w:firstRowFirstColumn="0" w:firstRowLastColumn="0" w:lastRowFirstColumn="0" w:lastRowLastColumn="0"/>
            <w:tcW w:w="4788" w:type="dxa"/>
            <w:vAlign w:val="center"/>
          </w:tcPr>
          <w:p w14:paraId="374BFE71" w14:textId="418B0720" w:rsidR="00DB6766" w:rsidRPr="00CD3281" w:rsidRDefault="00DB6766" w:rsidP="00FB47DE">
            <w:pPr>
              <w:spacing w:before="120" w:after="120"/>
              <w:jc w:val="center"/>
              <w:rPr>
                <w:rFonts w:cs="Arial"/>
              </w:rPr>
            </w:pPr>
            <w:r>
              <w:rPr>
                <w:rFonts w:cs="Arial"/>
              </w:rPr>
              <w:t>Greenlink</w:t>
            </w:r>
          </w:p>
        </w:tc>
        <w:tc>
          <w:tcPr>
            <w:tcW w:w="4788" w:type="dxa"/>
          </w:tcPr>
          <w:p w14:paraId="0A3A8B84" w14:textId="77777777" w:rsidR="00DB6766" w:rsidRDefault="00DB6766" w:rsidP="00DB6766">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At zero wind 250 MW</w:t>
            </w:r>
            <w:r w:rsidRPr="00CD3281">
              <w:rPr>
                <w:rFonts w:cs="Arial"/>
              </w:rPr>
              <w:t xml:space="preserve"> Impo</w:t>
            </w:r>
            <w:r>
              <w:rPr>
                <w:rFonts w:cs="Arial"/>
              </w:rPr>
              <w:t>rt (GB to IE)</w:t>
            </w:r>
          </w:p>
          <w:p w14:paraId="796D0825" w14:textId="0306FA6F" w:rsidR="00DB6766" w:rsidRDefault="00DB6766" w:rsidP="00DB6766">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At 2000 MW wind 250 MW Export (IE to GB)</w:t>
            </w:r>
          </w:p>
        </w:tc>
      </w:tr>
      <w:tr w:rsidR="00FB47DE" w14:paraId="364A9F01" w14:textId="77777777"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3C2FF64" w14:textId="77777777" w:rsidR="00FB47DE" w:rsidRDefault="00FB47DE" w:rsidP="00FB47DE">
            <w:pPr>
              <w:spacing w:before="120" w:after="120" w:line="276" w:lineRule="auto"/>
              <w:jc w:val="center"/>
              <w:rPr>
                <w:rFonts w:cs="Arial"/>
              </w:rPr>
            </w:pPr>
            <w:r w:rsidRPr="00CD3281">
              <w:rPr>
                <w:rFonts w:cs="Arial"/>
              </w:rPr>
              <w:t>Moyle</w:t>
            </w:r>
          </w:p>
        </w:tc>
        <w:tc>
          <w:tcPr>
            <w:tcW w:w="4788" w:type="dxa"/>
          </w:tcPr>
          <w:p w14:paraId="1ACC9A5D" w14:textId="2EDB3BDB" w:rsidR="00FB47DE" w:rsidRDefault="005F3546"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N/A</w:t>
            </w:r>
          </w:p>
        </w:tc>
      </w:tr>
      <w:tr w:rsidR="00FB47DE" w14:paraId="01383846" w14:textId="77777777" w:rsidTr="00760D0D">
        <w:tc>
          <w:tcPr>
            <w:cnfStyle w:val="001000000000" w:firstRow="0" w:lastRow="0" w:firstColumn="1" w:lastColumn="0" w:oddVBand="0" w:evenVBand="0" w:oddHBand="0" w:evenHBand="0" w:firstRowFirstColumn="0" w:firstRowLastColumn="0" w:lastRowFirstColumn="0" w:lastRowLastColumn="0"/>
            <w:tcW w:w="4788" w:type="dxa"/>
            <w:vAlign w:val="center"/>
          </w:tcPr>
          <w:p w14:paraId="67C2AC32" w14:textId="77777777" w:rsidR="00FB47DE" w:rsidRDefault="00FB47DE" w:rsidP="00FB47DE">
            <w:pPr>
              <w:spacing w:before="120" w:after="120" w:line="276" w:lineRule="auto"/>
              <w:jc w:val="center"/>
              <w:rPr>
                <w:rFonts w:cs="Arial"/>
              </w:rPr>
            </w:pPr>
            <w:r w:rsidRPr="00CD3281">
              <w:rPr>
                <w:rFonts w:cs="Arial"/>
              </w:rPr>
              <w:t>North–South Tie Line Flow</w:t>
            </w:r>
          </w:p>
        </w:tc>
        <w:tc>
          <w:tcPr>
            <w:tcW w:w="4788" w:type="dxa"/>
          </w:tcPr>
          <w:p w14:paraId="3254FB44" w14:textId="77613F1E" w:rsidR="001D0483" w:rsidRDefault="005F20E5" w:rsidP="00FB47D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0 MW</w:t>
            </w:r>
            <w:r w:rsidR="00FB47DE" w:rsidRPr="00CD3281">
              <w:rPr>
                <w:rFonts w:cs="Arial"/>
              </w:rPr>
              <w:t xml:space="preserve"> Northern Ireland to Ireland / Ireland to Northern Ireland</w:t>
            </w:r>
          </w:p>
        </w:tc>
      </w:tr>
    </w:tbl>
    <w:p w14:paraId="207D51DF" w14:textId="77777777" w:rsidR="00CD3281" w:rsidRPr="00CD3281" w:rsidRDefault="00CD3281" w:rsidP="00FB47DE">
      <w:pPr>
        <w:spacing w:before="120" w:after="120"/>
        <w:rPr>
          <w:rFonts w:cs="Arial"/>
        </w:rPr>
      </w:pPr>
      <w:r w:rsidRPr="00CD3281">
        <w:rPr>
          <w:rFonts w:cs="Arial"/>
        </w:rPr>
        <w:t>The forecast constraints below are at Weekday Peak System Demand.</w:t>
      </w:r>
    </w:p>
    <w:p w14:paraId="6860E7E0" w14:textId="77777777" w:rsidR="004F544B" w:rsidRDefault="004F544B" w:rsidP="004F6CB9">
      <w:pPr>
        <w:pStyle w:val="EGStyleGuide-Subheadline"/>
      </w:pPr>
    </w:p>
    <w:p w14:paraId="58F17E22" w14:textId="77777777" w:rsidR="004F544B" w:rsidRDefault="004F544B">
      <w:pPr>
        <w:spacing w:after="200"/>
        <w:rPr>
          <w:rFonts w:eastAsiaTheme="minorEastAsia" w:cs="Arial"/>
          <w:b/>
          <w:bCs/>
          <w:color w:val="157C85"/>
          <w:sz w:val="24"/>
          <w:szCs w:val="24"/>
          <w:lang w:val="en-GB" w:eastAsia="ja-JP"/>
        </w:rPr>
      </w:pPr>
      <w:r>
        <w:br w:type="page"/>
      </w:r>
    </w:p>
    <w:p w14:paraId="4E4BB51E" w14:textId="1C112628" w:rsidR="00CD3281" w:rsidRDefault="00CD3281" w:rsidP="004F6CB9">
      <w:pPr>
        <w:pStyle w:val="EGStyleGuide-Subheadline"/>
      </w:pPr>
      <w:r w:rsidRPr="00CD3281">
        <w:lastRenderedPageBreak/>
        <w:t>South Generation Constraints Forecast (TCG Type: MW; Limit Type B) as per Operational Constraints Update</w:t>
      </w:r>
    </w:p>
    <w:tbl>
      <w:tblPr>
        <w:tblStyle w:val="GridTable5Dark-Accent1"/>
        <w:tblW w:w="9342" w:type="dxa"/>
        <w:tblInd w:w="5" w:type="dxa"/>
        <w:tblLook w:val="04A0" w:firstRow="1" w:lastRow="0" w:firstColumn="1" w:lastColumn="0" w:noHBand="0" w:noVBand="1"/>
      </w:tblPr>
      <w:tblGrid>
        <w:gridCol w:w="3114"/>
        <w:gridCol w:w="3114"/>
        <w:gridCol w:w="3114"/>
      </w:tblGrid>
      <w:tr w:rsidR="00B6694F" w14:paraId="45F5FBD0" w14:textId="77777777" w:rsidTr="6606CCB8">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04CFA64C" w14:textId="77777777" w:rsidR="00B6694F" w:rsidRPr="000F46AF" w:rsidRDefault="00B6694F" w:rsidP="0037413D">
            <w:pPr>
              <w:spacing w:before="120" w:after="120" w:line="276" w:lineRule="auto"/>
              <w:jc w:val="center"/>
              <w:rPr>
                <w:rFonts w:cs="Arial"/>
                <w:b w:val="0"/>
                <w:bCs w:val="0"/>
              </w:rPr>
            </w:pPr>
            <w:r w:rsidRPr="00B6694F">
              <w:rPr>
                <w:rFonts w:cs="Arial"/>
              </w:rPr>
              <w:t>Ireland Wind Generation (MW)</w:t>
            </w:r>
          </w:p>
        </w:tc>
        <w:tc>
          <w:tcPr>
            <w:tcW w:w="3114" w:type="dxa"/>
          </w:tcPr>
          <w:p w14:paraId="2D2B56ED" w14:textId="2D2210E2" w:rsidR="00B6694F" w:rsidRPr="000F46AF" w:rsidRDefault="00B6694F" w:rsidP="0037413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0F46AF">
              <w:rPr>
                <w:rFonts w:cs="Arial"/>
              </w:rPr>
              <w:t xml:space="preserve">Minimum </w:t>
            </w:r>
            <w:r w:rsidR="0024649E">
              <w:rPr>
                <w:rFonts w:cs="Arial"/>
              </w:rPr>
              <w:t>South</w:t>
            </w:r>
            <w:r w:rsidRPr="000F46AF">
              <w:rPr>
                <w:rFonts w:cs="Arial"/>
              </w:rPr>
              <w:t xml:space="preserve"> Generation (MW)</w:t>
            </w:r>
          </w:p>
        </w:tc>
        <w:tc>
          <w:tcPr>
            <w:tcW w:w="3114" w:type="dxa"/>
          </w:tcPr>
          <w:p w14:paraId="72B2871B" w14:textId="52D912D5" w:rsidR="00B6694F" w:rsidRPr="000F46AF" w:rsidRDefault="00B6694F" w:rsidP="0037413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0F46AF">
              <w:rPr>
                <w:rFonts w:cs="Arial"/>
              </w:rPr>
              <w:t xml:space="preserve">Maximum </w:t>
            </w:r>
            <w:r w:rsidR="0024649E">
              <w:rPr>
                <w:rFonts w:cs="Arial"/>
              </w:rPr>
              <w:t>South</w:t>
            </w:r>
            <w:r w:rsidRPr="000F46AF">
              <w:rPr>
                <w:rFonts w:cs="Arial"/>
              </w:rPr>
              <w:t xml:space="preserve"> Generation (MW)</w:t>
            </w:r>
          </w:p>
        </w:tc>
      </w:tr>
      <w:tr w:rsidR="00A01665" w14:paraId="5B908F2E" w14:textId="77777777" w:rsidTr="6606CCB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114" w:type="dxa"/>
            <w:vMerge w:val="restart"/>
            <w:vAlign w:val="center"/>
          </w:tcPr>
          <w:p w14:paraId="2724EE64" w14:textId="482143C3" w:rsidR="00A01665" w:rsidRPr="00156C41" w:rsidRDefault="00A01665" w:rsidP="00A01665">
            <w:pPr>
              <w:spacing w:before="120" w:after="120"/>
              <w:jc w:val="center"/>
              <w:rPr>
                <w:rFonts w:cs="Arial"/>
              </w:rPr>
            </w:pPr>
            <w:r w:rsidRPr="00393B20">
              <w:rPr>
                <w:rFonts w:ascii="Calibri" w:hAnsi="Calibri" w:cs="Calibri"/>
              </w:rPr>
              <w:t>0</w:t>
            </w:r>
          </w:p>
        </w:tc>
        <w:tc>
          <w:tcPr>
            <w:tcW w:w="3114" w:type="dxa"/>
            <w:vAlign w:val="center"/>
          </w:tcPr>
          <w:p w14:paraId="4EDA46FF" w14:textId="4AECD972" w:rsidR="00A01665" w:rsidRDefault="1D9D6F7A" w:rsidP="00A0166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w:t>
            </w:r>
            <w:r w:rsidR="514DA2FC" w:rsidRPr="6606CCB8">
              <w:rPr>
                <w:rFonts w:cs="Arial"/>
              </w:rPr>
              <w:t>-</w:t>
            </w:r>
            <w:r w:rsidR="77CF73A7" w:rsidRPr="6606CCB8">
              <w:rPr>
                <w:rFonts w:cs="Arial"/>
              </w:rPr>
              <w:t>Tue (week 52)</w:t>
            </w:r>
            <w:r w:rsidRPr="6606CCB8">
              <w:rPr>
                <w:rFonts w:cs="Arial"/>
              </w:rPr>
              <w:t>: 0</w:t>
            </w:r>
          </w:p>
        </w:tc>
        <w:tc>
          <w:tcPr>
            <w:tcW w:w="3114" w:type="dxa"/>
            <w:vAlign w:val="center"/>
          </w:tcPr>
          <w:p w14:paraId="66C7F910" w14:textId="312FD14C" w:rsidR="6606CCB8" w:rsidRDefault="6606CCB8"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 xml:space="preserve">Mon-Tue (week 52): </w:t>
            </w:r>
            <w:r w:rsidR="6499C371" w:rsidRPr="6606CCB8">
              <w:rPr>
                <w:rFonts w:cs="Arial"/>
              </w:rPr>
              <w:t>1835</w:t>
            </w:r>
          </w:p>
        </w:tc>
      </w:tr>
      <w:tr w:rsidR="6606CCB8" w14:paraId="5310D524" w14:textId="77777777" w:rsidTr="6606CCB8">
        <w:trPr>
          <w:trHeight w:val="465"/>
        </w:trPr>
        <w:tc>
          <w:tcPr>
            <w:cnfStyle w:val="001000000000" w:firstRow="0" w:lastRow="0" w:firstColumn="1" w:lastColumn="0" w:oddVBand="0" w:evenVBand="0" w:oddHBand="0" w:evenHBand="0" w:firstRowFirstColumn="0" w:firstRowLastColumn="0" w:lastRowFirstColumn="0" w:lastRowLastColumn="0"/>
            <w:tcW w:w="3114" w:type="dxa"/>
            <w:vMerge/>
            <w:vAlign w:val="center"/>
          </w:tcPr>
          <w:p w14:paraId="7B1706A8" w14:textId="77777777" w:rsidR="00D334AD" w:rsidRDefault="00D334AD"/>
        </w:tc>
        <w:tc>
          <w:tcPr>
            <w:tcW w:w="3114" w:type="dxa"/>
            <w:vAlign w:val="center"/>
          </w:tcPr>
          <w:p w14:paraId="1806A8D8" w14:textId="779A1D24" w:rsidR="6033BA04" w:rsidRDefault="6033BA04" w:rsidP="6606CCB8">
            <w:pPr>
              <w:jc w:val="center"/>
              <w:cnfStyle w:val="000000000000" w:firstRow="0" w:lastRow="0" w:firstColumn="0" w:lastColumn="0" w:oddVBand="0" w:evenVBand="0" w:oddHBand="0" w:evenHBand="0" w:firstRowFirstColumn="0" w:firstRowLastColumn="0" w:lastRowFirstColumn="0" w:lastRowLastColumn="0"/>
            </w:pPr>
            <w:r w:rsidRPr="6606CCB8">
              <w:rPr>
                <w:rFonts w:cs="Arial"/>
              </w:rPr>
              <w:t>Wed-Fri (week 52) &amp; Mon-Fri (week 1):</w:t>
            </w:r>
            <w:r w:rsidR="7C6D5691" w:rsidRPr="6606CCB8">
              <w:rPr>
                <w:rFonts w:cs="Arial"/>
              </w:rPr>
              <w:t xml:space="preserve"> 0</w:t>
            </w:r>
          </w:p>
        </w:tc>
        <w:tc>
          <w:tcPr>
            <w:tcW w:w="3114" w:type="dxa"/>
            <w:vAlign w:val="center"/>
          </w:tcPr>
          <w:p w14:paraId="362B85B7" w14:textId="2181BF06" w:rsidR="6606CCB8" w:rsidRDefault="6606CCB8" w:rsidP="6606CCB8">
            <w:pPr>
              <w:jc w:val="center"/>
              <w:cnfStyle w:val="000000000000" w:firstRow="0" w:lastRow="0" w:firstColumn="0" w:lastColumn="0" w:oddVBand="0" w:evenVBand="0" w:oddHBand="0" w:evenHBand="0" w:firstRowFirstColumn="0" w:firstRowLastColumn="0" w:lastRowFirstColumn="0" w:lastRowLastColumn="0"/>
            </w:pPr>
            <w:r w:rsidRPr="6606CCB8">
              <w:rPr>
                <w:rFonts w:cs="Arial"/>
              </w:rPr>
              <w:t>Wed-Fri (week 52) &amp; Mon-Fri (week 1):</w:t>
            </w:r>
            <w:r w:rsidR="57FC62B6" w:rsidRPr="6606CCB8">
              <w:rPr>
                <w:rFonts w:cs="Arial"/>
              </w:rPr>
              <w:t xml:space="preserve"> 2290</w:t>
            </w:r>
          </w:p>
        </w:tc>
      </w:tr>
      <w:tr w:rsidR="00D46206" w14:paraId="48F3F4E3" w14:textId="77777777" w:rsidTr="6606CCB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114" w:type="dxa"/>
            <w:vMerge w:val="restart"/>
            <w:vAlign w:val="center"/>
          </w:tcPr>
          <w:p w14:paraId="419A2B3C" w14:textId="494B46F3" w:rsidR="00D46206" w:rsidRPr="00156C41" w:rsidRDefault="00D46206" w:rsidP="00D46206">
            <w:pPr>
              <w:spacing w:before="120" w:after="120"/>
              <w:jc w:val="center"/>
              <w:rPr>
                <w:rFonts w:cs="Arial"/>
              </w:rPr>
            </w:pPr>
            <w:r w:rsidRPr="00393B20">
              <w:rPr>
                <w:rFonts w:ascii="Calibri" w:hAnsi="Calibri" w:cs="Calibri"/>
              </w:rPr>
              <w:t>2000</w:t>
            </w:r>
          </w:p>
        </w:tc>
        <w:tc>
          <w:tcPr>
            <w:tcW w:w="3114" w:type="dxa"/>
            <w:vAlign w:val="center"/>
          </w:tcPr>
          <w:p w14:paraId="63FD4CCA" w14:textId="4AECD972" w:rsidR="6606CCB8" w:rsidRDefault="6606CCB8"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Mon-Tue (week 52): 0</w:t>
            </w:r>
          </w:p>
        </w:tc>
        <w:tc>
          <w:tcPr>
            <w:tcW w:w="3114" w:type="dxa"/>
            <w:vAlign w:val="center"/>
          </w:tcPr>
          <w:p w14:paraId="41AF7FB7" w14:textId="71AB4452" w:rsidR="6606CCB8" w:rsidRDefault="6606CCB8"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 xml:space="preserve">Mon-Tue (week 52): </w:t>
            </w:r>
            <w:r w:rsidR="7C21AA05" w:rsidRPr="6606CCB8">
              <w:rPr>
                <w:rFonts w:cs="Arial"/>
              </w:rPr>
              <w:t>2100</w:t>
            </w:r>
          </w:p>
        </w:tc>
      </w:tr>
      <w:tr w:rsidR="6606CCB8" w14:paraId="01AB8178" w14:textId="77777777" w:rsidTr="6606CCB8">
        <w:trPr>
          <w:trHeight w:val="585"/>
        </w:trPr>
        <w:tc>
          <w:tcPr>
            <w:cnfStyle w:val="001000000000" w:firstRow="0" w:lastRow="0" w:firstColumn="1" w:lastColumn="0" w:oddVBand="0" w:evenVBand="0" w:oddHBand="0" w:evenHBand="0" w:firstRowFirstColumn="0" w:firstRowLastColumn="0" w:lastRowFirstColumn="0" w:lastRowLastColumn="0"/>
            <w:tcW w:w="3114" w:type="dxa"/>
            <w:vMerge/>
            <w:vAlign w:val="center"/>
          </w:tcPr>
          <w:p w14:paraId="6BCFD849" w14:textId="77777777" w:rsidR="00D334AD" w:rsidRDefault="00D334AD"/>
        </w:tc>
        <w:tc>
          <w:tcPr>
            <w:tcW w:w="3114" w:type="dxa"/>
            <w:vAlign w:val="center"/>
          </w:tcPr>
          <w:p w14:paraId="2F8372F8" w14:textId="432CDA5A" w:rsidR="6606CCB8" w:rsidRDefault="6606CCB8" w:rsidP="6606CCB8">
            <w:pPr>
              <w:jc w:val="center"/>
              <w:cnfStyle w:val="000000000000" w:firstRow="0" w:lastRow="0" w:firstColumn="0" w:lastColumn="0" w:oddVBand="0" w:evenVBand="0" w:oddHBand="0" w:evenHBand="0" w:firstRowFirstColumn="0" w:firstRowLastColumn="0" w:lastRowFirstColumn="0" w:lastRowLastColumn="0"/>
              <w:rPr>
                <w:rFonts w:cs="Arial"/>
              </w:rPr>
            </w:pPr>
            <w:r w:rsidRPr="6606CCB8">
              <w:rPr>
                <w:rFonts w:cs="Arial"/>
              </w:rPr>
              <w:t>Wed-Fri (week 52) &amp; Mon-Fri (week 1):</w:t>
            </w:r>
            <w:r w:rsidR="41E8D2D1" w:rsidRPr="6606CCB8">
              <w:rPr>
                <w:rFonts w:cs="Arial"/>
              </w:rPr>
              <w:t xml:space="preserve"> 0</w:t>
            </w:r>
          </w:p>
        </w:tc>
        <w:tc>
          <w:tcPr>
            <w:tcW w:w="3114" w:type="dxa"/>
            <w:vAlign w:val="center"/>
          </w:tcPr>
          <w:p w14:paraId="5B95AE49" w14:textId="7A3E1FB3" w:rsidR="6606CCB8" w:rsidRDefault="6606CCB8" w:rsidP="6606CCB8">
            <w:pPr>
              <w:jc w:val="center"/>
              <w:cnfStyle w:val="000000000000" w:firstRow="0" w:lastRow="0" w:firstColumn="0" w:lastColumn="0" w:oddVBand="0" w:evenVBand="0" w:oddHBand="0" w:evenHBand="0" w:firstRowFirstColumn="0" w:firstRowLastColumn="0" w:lastRowFirstColumn="0" w:lastRowLastColumn="0"/>
            </w:pPr>
            <w:r w:rsidRPr="6606CCB8">
              <w:rPr>
                <w:rFonts w:cs="Arial"/>
              </w:rPr>
              <w:t>Wed-Fri (week 52) &amp; Mon-Fri (week 1):</w:t>
            </w:r>
            <w:r w:rsidR="04759E53" w:rsidRPr="6606CCB8">
              <w:rPr>
                <w:rFonts w:cs="Arial"/>
              </w:rPr>
              <w:t xml:space="preserve"> 2220</w:t>
            </w:r>
          </w:p>
        </w:tc>
      </w:tr>
    </w:tbl>
    <w:p w14:paraId="036A7CC7" w14:textId="452C59C9" w:rsidR="74370C15" w:rsidRDefault="74370C15"/>
    <w:p w14:paraId="6562B569" w14:textId="5241D746" w:rsidR="2B23E9FB" w:rsidRDefault="2B23E9FB"/>
    <w:p w14:paraId="59BAD8D8" w14:textId="054CA0CB" w:rsidR="300F6A4B" w:rsidRDefault="300F6A4B"/>
    <w:p w14:paraId="12398734" w14:textId="77777777" w:rsidR="00E44877" w:rsidRDefault="00E44877" w:rsidP="004F6CB9">
      <w:pPr>
        <w:pStyle w:val="EGStyleGuide-Subheadline"/>
      </w:pPr>
    </w:p>
    <w:p w14:paraId="35559AFE" w14:textId="77777777" w:rsidR="00E44877" w:rsidRDefault="00E44877" w:rsidP="004F6CB9">
      <w:pPr>
        <w:pStyle w:val="EGStyleGuide-Subheadline"/>
      </w:pPr>
    </w:p>
    <w:p w14:paraId="7268D499" w14:textId="01344676" w:rsidR="00040CE4" w:rsidRDefault="00040CE4">
      <w:pPr>
        <w:spacing w:after="200"/>
        <w:rPr>
          <w:rFonts w:eastAsiaTheme="minorEastAsia" w:cs="Arial"/>
          <w:b/>
          <w:bCs/>
          <w:color w:val="157C85"/>
          <w:sz w:val="24"/>
          <w:szCs w:val="24"/>
          <w:lang w:val="en-GB" w:eastAsia="ja-JP"/>
        </w:rPr>
      </w:pPr>
      <w:r>
        <w:br w:type="page"/>
      </w:r>
    </w:p>
    <w:p w14:paraId="7FB75A52" w14:textId="30A53B6D" w:rsidR="00CD3281" w:rsidRPr="00CD3281" w:rsidRDefault="00CD3281" w:rsidP="004F6CB9">
      <w:pPr>
        <w:pStyle w:val="EGStyleGuide-Subheadline"/>
      </w:pPr>
      <w:r w:rsidRPr="00CD3281">
        <w:lastRenderedPageBreak/>
        <w:t>Cork Generation Constraints Forecast (TCG Type: MW; Limit Type B) as per Operational Constraints Update</w:t>
      </w:r>
    </w:p>
    <w:p w14:paraId="3E87DF8F" w14:textId="62AC659D" w:rsidR="006A5F43" w:rsidRDefault="006A5F43" w:rsidP="004F6CB9">
      <w:pPr>
        <w:pStyle w:val="EGStyleGuide-Subheadline"/>
      </w:pPr>
    </w:p>
    <w:tbl>
      <w:tblPr>
        <w:tblStyle w:val="GridTable5Dark-Accent1"/>
        <w:tblW w:w="9321" w:type="dxa"/>
        <w:tblInd w:w="5" w:type="dxa"/>
        <w:tblLook w:val="04A0" w:firstRow="1" w:lastRow="0" w:firstColumn="1" w:lastColumn="0" w:noHBand="0" w:noVBand="1"/>
      </w:tblPr>
      <w:tblGrid>
        <w:gridCol w:w="2054"/>
        <w:gridCol w:w="23"/>
        <w:gridCol w:w="3750"/>
        <w:gridCol w:w="1127"/>
        <w:gridCol w:w="2367"/>
      </w:tblGrid>
      <w:tr w:rsidR="00D51AB3" w14:paraId="65DBDE39" w14:textId="77777777" w:rsidTr="6606CCB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054" w:type="dxa"/>
          </w:tcPr>
          <w:p w14:paraId="5781FEC8" w14:textId="77777777" w:rsidR="00D51AB3" w:rsidRPr="000F46AF" w:rsidRDefault="00D51AB3" w:rsidP="0037413D">
            <w:pPr>
              <w:spacing w:before="120" w:after="120" w:line="276" w:lineRule="auto"/>
              <w:jc w:val="center"/>
              <w:rPr>
                <w:rFonts w:cs="Arial"/>
                <w:b w:val="0"/>
                <w:bCs w:val="0"/>
              </w:rPr>
            </w:pPr>
            <w:r w:rsidRPr="00B6694F">
              <w:rPr>
                <w:rFonts w:cs="Arial"/>
              </w:rPr>
              <w:t>Ireland Wind Generation (MW)</w:t>
            </w:r>
          </w:p>
        </w:tc>
        <w:tc>
          <w:tcPr>
            <w:tcW w:w="4900" w:type="dxa"/>
            <w:gridSpan w:val="3"/>
          </w:tcPr>
          <w:p w14:paraId="31181294" w14:textId="13501E64" w:rsidR="00D51AB3" w:rsidRPr="000F46AF" w:rsidRDefault="00D51AB3" w:rsidP="0037413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0F46AF">
              <w:rPr>
                <w:rFonts w:cs="Arial"/>
              </w:rPr>
              <w:t xml:space="preserve">Minimum </w:t>
            </w:r>
            <w:r>
              <w:rPr>
                <w:rFonts w:cs="Arial"/>
              </w:rPr>
              <w:t>Cork</w:t>
            </w:r>
            <w:r w:rsidRPr="000F46AF">
              <w:rPr>
                <w:rFonts w:cs="Arial"/>
              </w:rPr>
              <w:t xml:space="preserve"> Generation (MW)</w:t>
            </w:r>
          </w:p>
        </w:tc>
        <w:tc>
          <w:tcPr>
            <w:tcW w:w="2367" w:type="dxa"/>
          </w:tcPr>
          <w:p w14:paraId="038D7C08" w14:textId="1456BB64" w:rsidR="00D51AB3" w:rsidRPr="000F46AF" w:rsidRDefault="00D51AB3" w:rsidP="0037413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0F46AF">
              <w:rPr>
                <w:rFonts w:cs="Arial"/>
              </w:rPr>
              <w:t xml:space="preserve">Maximum </w:t>
            </w:r>
            <w:r>
              <w:rPr>
                <w:rFonts w:cs="Arial"/>
              </w:rPr>
              <w:t>Cork</w:t>
            </w:r>
            <w:r w:rsidRPr="000F46AF">
              <w:rPr>
                <w:rFonts w:cs="Arial"/>
              </w:rPr>
              <w:t xml:space="preserve"> Generation (MW)</w:t>
            </w:r>
          </w:p>
        </w:tc>
      </w:tr>
      <w:tr w:rsidR="00CB57AE" w14:paraId="7DA85071" w14:textId="77777777" w:rsidTr="6606CCB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077" w:type="dxa"/>
            <w:gridSpan w:val="2"/>
            <w:vMerge w:val="restart"/>
            <w:vAlign w:val="center"/>
          </w:tcPr>
          <w:p w14:paraId="65A2C0FB" w14:textId="482143C3" w:rsidR="6CC03032" w:rsidRDefault="6CC03032" w:rsidP="6CC03032">
            <w:pPr>
              <w:spacing w:before="120" w:after="120"/>
              <w:jc w:val="center"/>
              <w:rPr>
                <w:rFonts w:cs="Arial"/>
              </w:rPr>
            </w:pPr>
            <w:r w:rsidRPr="6CC03032">
              <w:rPr>
                <w:rFonts w:ascii="Calibri" w:hAnsi="Calibri" w:cs="Calibri"/>
              </w:rPr>
              <w:t>0</w:t>
            </w:r>
          </w:p>
        </w:tc>
        <w:tc>
          <w:tcPr>
            <w:tcW w:w="3750" w:type="dxa"/>
            <w:vAlign w:val="center"/>
          </w:tcPr>
          <w:p w14:paraId="6F9F1D91" w14:textId="4AECD972" w:rsidR="6606CCB8" w:rsidRDefault="6606CCB8"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Mon-Tue (week 52): 0</w:t>
            </w:r>
          </w:p>
        </w:tc>
        <w:tc>
          <w:tcPr>
            <w:tcW w:w="3494" w:type="dxa"/>
            <w:gridSpan w:val="2"/>
            <w:vAlign w:val="center"/>
          </w:tcPr>
          <w:p w14:paraId="7CB3C572" w14:textId="4F2E82E0" w:rsidR="6606CCB8" w:rsidRDefault="6606CCB8"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Mon-Tue (week 52): 1</w:t>
            </w:r>
            <w:r w:rsidR="73DCA0AD" w:rsidRPr="6606CCB8">
              <w:rPr>
                <w:rFonts w:cs="Arial"/>
              </w:rPr>
              <w:t>355</w:t>
            </w:r>
          </w:p>
        </w:tc>
      </w:tr>
      <w:tr w:rsidR="6606CCB8" w14:paraId="55395947" w14:textId="77777777" w:rsidTr="6606CCB8">
        <w:trPr>
          <w:trHeight w:val="675"/>
        </w:trPr>
        <w:tc>
          <w:tcPr>
            <w:cnfStyle w:val="001000000000" w:firstRow="0" w:lastRow="0" w:firstColumn="1" w:lastColumn="0" w:oddVBand="0" w:evenVBand="0" w:oddHBand="0" w:evenHBand="0" w:firstRowFirstColumn="0" w:firstRowLastColumn="0" w:lastRowFirstColumn="0" w:lastRowLastColumn="0"/>
            <w:tcW w:w="2077" w:type="dxa"/>
            <w:gridSpan w:val="2"/>
            <w:vMerge/>
            <w:vAlign w:val="center"/>
          </w:tcPr>
          <w:p w14:paraId="5DA8D1DB" w14:textId="77777777" w:rsidR="00D334AD" w:rsidRDefault="00D334AD"/>
        </w:tc>
        <w:tc>
          <w:tcPr>
            <w:tcW w:w="3750" w:type="dxa"/>
            <w:vAlign w:val="center"/>
          </w:tcPr>
          <w:p w14:paraId="162A91A3" w14:textId="779A1D24" w:rsidR="6606CCB8" w:rsidRDefault="6606CCB8" w:rsidP="6606CCB8">
            <w:pPr>
              <w:jc w:val="center"/>
              <w:cnfStyle w:val="000000000000" w:firstRow="0" w:lastRow="0" w:firstColumn="0" w:lastColumn="0" w:oddVBand="0" w:evenVBand="0" w:oddHBand="0" w:evenHBand="0" w:firstRowFirstColumn="0" w:firstRowLastColumn="0" w:lastRowFirstColumn="0" w:lastRowLastColumn="0"/>
            </w:pPr>
            <w:r w:rsidRPr="6606CCB8">
              <w:rPr>
                <w:rFonts w:cs="Arial"/>
              </w:rPr>
              <w:t>Wed-Fri (week 52) &amp; Mon-Fri (week 1): 0</w:t>
            </w:r>
          </w:p>
        </w:tc>
        <w:tc>
          <w:tcPr>
            <w:tcW w:w="3494" w:type="dxa"/>
            <w:gridSpan w:val="2"/>
            <w:vAlign w:val="center"/>
          </w:tcPr>
          <w:p w14:paraId="30DA86D1" w14:textId="7BB36446" w:rsidR="6606CCB8" w:rsidRDefault="6606CCB8" w:rsidP="6606CCB8">
            <w:pPr>
              <w:jc w:val="center"/>
              <w:cnfStyle w:val="000000000000" w:firstRow="0" w:lastRow="0" w:firstColumn="0" w:lastColumn="0" w:oddVBand="0" w:evenVBand="0" w:oddHBand="0" w:evenHBand="0" w:firstRowFirstColumn="0" w:firstRowLastColumn="0" w:lastRowFirstColumn="0" w:lastRowLastColumn="0"/>
              <w:rPr>
                <w:rFonts w:cs="Arial"/>
              </w:rPr>
            </w:pPr>
            <w:r w:rsidRPr="6606CCB8">
              <w:rPr>
                <w:rFonts w:cs="Arial"/>
              </w:rPr>
              <w:t xml:space="preserve">Wed-Fri (week 52) &amp; Mon-Fri (week 1): </w:t>
            </w:r>
            <w:r w:rsidR="03AC7174" w:rsidRPr="6606CCB8">
              <w:rPr>
                <w:rFonts w:cs="Arial"/>
              </w:rPr>
              <w:t>1385</w:t>
            </w:r>
          </w:p>
        </w:tc>
      </w:tr>
      <w:tr w:rsidR="00CB57AE" w14:paraId="66C989A7" w14:textId="77777777" w:rsidTr="6606CCB8">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054" w:type="dxa"/>
            <w:vAlign w:val="center"/>
          </w:tcPr>
          <w:p w14:paraId="724AD904" w14:textId="10457D82" w:rsidR="79C58099" w:rsidRDefault="5C46F642" w:rsidP="79C58099">
            <w:pPr>
              <w:spacing w:before="120" w:after="120"/>
              <w:jc w:val="center"/>
              <w:rPr>
                <w:rFonts w:ascii="Calibri" w:hAnsi="Calibri" w:cs="Calibri"/>
              </w:rPr>
            </w:pPr>
            <w:r w:rsidRPr="27535585">
              <w:rPr>
                <w:rFonts w:ascii="Calibri" w:hAnsi="Calibri" w:cs="Calibri"/>
              </w:rPr>
              <w:t>2000</w:t>
            </w:r>
          </w:p>
        </w:tc>
        <w:tc>
          <w:tcPr>
            <w:tcW w:w="3773" w:type="dxa"/>
            <w:gridSpan w:val="2"/>
            <w:vAlign w:val="center"/>
          </w:tcPr>
          <w:p w14:paraId="4E477357" w14:textId="447B7B2F" w:rsidR="6CC03032" w:rsidRDefault="13C9BFAD" w:rsidP="6606CCB8">
            <w:pPr>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w:t>
            </w:r>
            <w:r w:rsidR="123A84E8" w:rsidRPr="6606CCB8">
              <w:rPr>
                <w:rFonts w:cs="Arial"/>
              </w:rPr>
              <w:t>Fri</w:t>
            </w:r>
            <w:r w:rsidRPr="6606CCB8">
              <w:rPr>
                <w:rFonts w:cs="Arial"/>
              </w:rPr>
              <w:t xml:space="preserve"> (week 52</w:t>
            </w:r>
            <w:r w:rsidR="3018859D" w:rsidRPr="6606CCB8">
              <w:rPr>
                <w:rFonts w:cs="Arial"/>
              </w:rPr>
              <w:t xml:space="preserve"> &amp; week 1</w:t>
            </w:r>
            <w:r w:rsidRPr="6606CCB8">
              <w:rPr>
                <w:rFonts w:cs="Arial"/>
              </w:rPr>
              <w:t>): 0</w:t>
            </w:r>
          </w:p>
        </w:tc>
        <w:tc>
          <w:tcPr>
            <w:tcW w:w="3494" w:type="dxa"/>
            <w:gridSpan w:val="2"/>
            <w:vAlign w:val="center"/>
          </w:tcPr>
          <w:p w14:paraId="525A4246" w14:textId="0741C4AA" w:rsidR="795710F7" w:rsidRDefault="795710F7" w:rsidP="6606CCB8">
            <w:pPr>
              <w:jc w:val="center"/>
              <w:cnfStyle w:val="000000100000" w:firstRow="0" w:lastRow="0" w:firstColumn="0" w:lastColumn="0" w:oddVBand="0" w:evenVBand="0" w:oddHBand="1" w:evenHBand="0" w:firstRowFirstColumn="0" w:firstRowLastColumn="0" w:lastRowFirstColumn="0" w:lastRowLastColumn="0"/>
              <w:rPr>
                <w:rFonts w:cs="Arial"/>
              </w:rPr>
            </w:pPr>
            <w:r w:rsidRPr="6606CCB8">
              <w:rPr>
                <w:rFonts w:cs="Arial"/>
              </w:rPr>
              <w:t>Mon-Fri (week 52 &amp; week 1): 1385</w:t>
            </w:r>
          </w:p>
        </w:tc>
      </w:tr>
    </w:tbl>
    <w:p w14:paraId="43FABDC0" w14:textId="1561C093" w:rsidR="6606CCB8" w:rsidRDefault="6606CCB8"/>
    <w:p w14:paraId="5B176A9C" w14:textId="4F043728" w:rsidR="1B9B914C" w:rsidRDefault="1B9B914C"/>
    <w:p w14:paraId="48862500" w14:textId="0CD855E1" w:rsidR="2B23E9FB" w:rsidRDefault="2B23E9FB"/>
    <w:p w14:paraId="416F3996" w14:textId="6F74FB44" w:rsidR="300F6A4B" w:rsidRDefault="300F6A4B"/>
    <w:p w14:paraId="7400EDB6" w14:textId="7CBB19EA" w:rsidR="004D7217" w:rsidRPr="006A5F43" w:rsidRDefault="006A5F43" w:rsidP="006A5F43">
      <w:pPr>
        <w:spacing w:after="200"/>
        <w:rPr>
          <w:rFonts w:eastAsiaTheme="minorEastAsia" w:cs="Arial"/>
          <w:b/>
          <w:bCs/>
          <w:color w:val="157C85"/>
          <w:sz w:val="24"/>
          <w:szCs w:val="24"/>
          <w:lang w:val="en-GB" w:eastAsia="ja-JP"/>
        </w:rPr>
      </w:pPr>
      <w:r>
        <w:br w:type="page"/>
      </w:r>
    </w:p>
    <w:p w14:paraId="621EABA4" w14:textId="5ABDA84A" w:rsidR="00195609" w:rsidRDefault="00CD3281" w:rsidP="004F6CB9">
      <w:pPr>
        <w:pStyle w:val="EGStyleGuide-Subheadline"/>
      </w:pPr>
      <w:r w:rsidRPr="00CD3281">
        <w:lastRenderedPageBreak/>
        <w:t>Inter-Area Flow (North-South Tie Line Flow) Constraints Forecast</w:t>
      </w:r>
    </w:p>
    <w:tbl>
      <w:tblPr>
        <w:tblStyle w:val="MediumGrid3-Accent1"/>
        <w:tblW w:w="9468" w:type="dxa"/>
        <w:tblLook w:val="04A0" w:firstRow="1" w:lastRow="0" w:firstColumn="1" w:lastColumn="0" w:noHBand="0" w:noVBand="1"/>
      </w:tblPr>
      <w:tblGrid>
        <w:gridCol w:w="1890"/>
        <w:gridCol w:w="3825"/>
        <w:gridCol w:w="3753"/>
      </w:tblGrid>
      <w:tr w:rsidR="00FB47DE" w14:paraId="4C2D558F" w14:textId="77777777" w:rsidTr="6606CC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tcPr>
          <w:p w14:paraId="28D7CA9A" w14:textId="77777777" w:rsidR="00FB47DE" w:rsidRDefault="00FB47DE" w:rsidP="00FB47DE">
            <w:pPr>
              <w:spacing w:before="120" w:after="120" w:line="276" w:lineRule="auto"/>
              <w:jc w:val="center"/>
              <w:rPr>
                <w:rFonts w:cs="Arial"/>
              </w:rPr>
            </w:pPr>
            <w:r w:rsidRPr="00CD3281">
              <w:rPr>
                <w:rFonts w:cs="Arial"/>
              </w:rPr>
              <w:t>Ireland Wind Generation (MW)</w:t>
            </w:r>
          </w:p>
        </w:tc>
        <w:tc>
          <w:tcPr>
            <w:tcW w:w="3825" w:type="dxa"/>
          </w:tcPr>
          <w:p w14:paraId="79844597" w14:textId="0154773C" w:rsidR="00FB47DE" w:rsidRDefault="007F2006" w:rsidP="00FB47D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Maximum Northe</w:t>
            </w:r>
            <w:r>
              <w:rPr>
                <w:rFonts w:cs="Arial"/>
              </w:rPr>
              <w:t>rn Ireland to Ireland flow</w:t>
            </w:r>
            <w:r w:rsidR="001E52F8">
              <w:rPr>
                <w:rFonts w:cs="Arial"/>
              </w:rPr>
              <w:t>*</w:t>
            </w:r>
            <w:r>
              <w:rPr>
                <w:rFonts w:cs="Arial"/>
              </w:rPr>
              <w:t xml:space="preserve"> (MW)</w:t>
            </w:r>
          </w:p>
        </w:tc>
        <w:tc>
          <w:tcPr>
            <w:tcW w:w="3753" w:type="dxa"/>
          </w:tcPr>
          <w:p w14:paraId="626EB547" w14:textId="43D6320E" w:rsidR="00FB47DE" w:rsidRDefault="007F2006" w:rsidP="007F2006">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Maximum Ireland to Northern Ireland flow</w:t>
            </w:r>
            <w:r w:rsidR="001E52F8">
              <w:rPr>
                <w:rFonts w:cs="Arial"/>
              </w:rPr>
              <w:t>*</w:t>
            </w:r>
            <w:r w:rsidRPr="00CD3281">
              <w:rPr>
                <w:rFonts w:cs="Arial"/>
              </w:rPr>
              <w:t xml:space="preserve"> (MW)</w:t>
            </w:r>
          </w:p>
        </w:tc>
      </w:tr>
      <w:tr w:rsidR="008048EE" w14:paraId="3CBBA036" w14:textId="77777777" w:rsidTr="6606CCB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FFFFFF" w:themeColor="background1"/>
            </w:tcBorders>
            <w:vAlign w:val="center"/>
          </w:tcPr>
          <w:p w14:paraId="7CDAE618" w14:textId="0220892F" w:rsidR="008048EE" w:rsidRDefault="008048EE" w:rsidP="008048EE">
            <w:pPr>
              <w:spacing w:before="120" w:after="120"/>
              <w:jc w:val="center"/>
              <w:rPr>
                <w:rFonts w:cs="Arial"/>
              </w:rPr>
            </w:pPr>
            <w:r>
              <w:rPr>
                <w:rFonts w:cs="Arial"/>
              </w:rPr>
              <w:t>0</w:t>
            </w:r>
          </w:p>
        </w:tc>
        <w:tc>
          <w:tcPr>
            <w:tcW w:w="3825" w:type="dxa"/>
            <w:vAlign w:val="center"/>
          </w:tcPr>
          <w:p w14:paraId="02300387" w14:textId="0A224EA1" w:rsidR="008048EE" w:rsidRDefault="62B0EFFC" w:rsidP="008048EE">
            <w:pPr>
              <w:spacing w:before="120" w:after="12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6606CCB8">
              <w:rPr>
                <w:rFonts w:eastAsia="Arial" w:cs="Arial"/>
                <w:color w:val="000000" w:themeColor="text1"/>
              </w:rPr>
              <w:t>Mon-</w:t>
            </w:r>
            <w:r w:rsidR="5A3AF19E" w:rsidRPr="6606CCB8">
              <w:rPr>
                <w:rFonts w:eastAsia="Arial" w:cs="Arial"/>
                <w:color w:val="000000" w:themeColor="text1"/>
              </w:rPr>
              <w:t>Fri</w:t>
            </w:r>
            <w:r w:rsidR="6A46174D" w:rsidRPr="6606CCB8">
              <w:rPr>
                <w:rFonts w:eastAsia="Arial" w:cs="Arial"/>
                <w:color w:val="000000" w:themeColor="text1"/>
              </w:rPr>
              <w:t xml:space="preserve"> </w:t>
            </w:r>
            <w:r w:rsidR="007201E3" w:rsidRPr="6606CCB8">
              <w:rPr>
                <w:rFonts w:eastAsia="Arial" w:cs="Arial"/>
                <w:color w:val="000000" w:themeColor="text1"/>
              </w:rPr>
              <w:t>(week 52 &amp; week 1)</w:t>
            </w:r>
            <w:r w:rsidRPr="6606CCB8">
              <w:rPr>
                <w:rFonts w:eastAsia="Arial" w:cs="Arial"/>
                <w:color w:val="000000" w:themeColor="text1"/>
              </w:rPr>
              <w:t>: 450</w:t>
            </w:r>
          </w:p>
        </w:tc>
        <w:tc>
          <w:tcPr>
            <w:tcW w:w="3753" w:type="dxa"/>
            <w:vAlign w:val="center"/>
          </w:tcPr>
          <w:p w14:paraId="1D81DBD9" w14:textId="41EED3F0" w:rsidR="008048EE" w:rsidRDefault="4F2AE9B1" w:rsidP="6606CCB8">
            <w:pPr>
              <w:spacing w:before="120" w:after="120"/>
              <w:jc w:val="cente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6606CCB8">
              <w:rPr>
                <w:rFonts w:eastAsia="Arial" w:cs="Arial"/>
                <w:color w:val="000000" w:themeColor="text1"/>
              </w:rPr>
              <w:t>Mon-Fri</w:t>
            </w:r>
            <w:r w:rsidR="321CC7E2" w:rsidRPr="6606CCB8">
              <w:rPr>
                <w:rFonts w:eastAsia="Arial" w:cs="Arial"/>
                <w:color w:val="000000" w:themeColor="text1"/>
              </w:rPr>
              <w:t xml:space="preserve"> </w:t>
            </w:r>
            <w:r w:rsidRPr="6606CCB8">
              <w:rPr>
                <w:rFonts w:eastAsia="Arial" w:cs="Arial"/>
                <w:color w:val="000000" w:themeColor="text1"/>
              </w:rPr>
              <w:t>(week 52 &amp; week 1):</w:t>
            </w:r>
            <w:r w:rsidR="6AF91C91" w:rsidRPr="6606CCB8">
              <w:rPr>
                <w:rFonts w:eastAsia="Arial" w:cs="Arial"/>
                <w:color w:val="000000" w:themeColor="text1"/>
              </w:rPr>
              <w:t xml:space="preserve"> </w:t>
            </w:r>
            <w:r w:rsidR="6AFB5DA6" w:rsidRPr="6606CCB8">
              <w:rPr>
                <w:rFonts w:eastAsia="Arial" w:cs="Arial"/>
                <w:color w:val="000000" w:themeColor="text1"/>
              </w:rPr>
              <w:t>325</w:t>
            </w:r>
          </w:p>
        </w:tc>
      </w:tr>
      <w:tr w:rsidR="008048EE" w14:paraId="041A00F8" w14:textId="77777777" w:rsidTr="6606CCB8">
        <w:trPr>
          <w:trHeight w:val="675"/>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FFFFFF" w:themeColor="background1"/>
            </w:tcBorders>
            <w:vAlign w:val="center"/>
          </w:tcPr>
          <w:p w14:paraId="3D18FF3D" w14:textId="632F4371" w:rsidR="008048EE" w:rsidRDefault="008048EE" w:rsidP="008048EE">
            <w:pPr>
              <w:jc w:val="center"/>
              <w:rPr>
                <w:rFonts w:cs="Arial"/>
              </w:rPr>
            </w:pPr>
            <w:r w:rsidRPr="0BD8A8CA">
              <w:rPr>
                <w:rFonts w:cs="Arial"/>
              </w:rPr>
              <w:t>2000</w:t>
            </w:r>
          </w:p>
        </w:tc>
        <w:tc>
          <w:tcPr>
            <w:tcW w:w="3825" w:type="dxa"/>
            <w:vAlign w:val="center"/>
          </w:tcPr>
          <w:p w14:paraId="78927F4C" w14:textId="0B532827" w:rsidR="55C84FE8" w:rsidRPr="55C84FE8" w:rsidRDefault="32D6774A" w:rsidP="6606CCB8">
            <w:pPr>
              <w:spacing w:before="120" w:after="12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6606CCB8">
              <w:rPr>
                <w:rFonts w:eastAsia="Arial" w:cs="Arial"/>
                <w:color w:val="000000" w:themeColor="text1"/>
              </w:rPr>
              <w:t>Mon-Fri</w:t>
            </w:r>
            <w:r w:rsidR="60792D12" w:rsidRPr="6606CCB8">
              <w:rPr>
                <w:rFonts w:eastAsia="Arial" w:cs="Arial"/>
                <w:color w:val="000000" w:themeColor="text1"/>
              </w:rPr>
              <w:t xml:space="preserve"> </w:t>
            </w:r>
            <w:r w:rsidRPr="6606CCB8">
              <w:rPr>
                <w:rFonts w:eastAsia="Arial" w:cs="Arial"/>
                <w:color w:val="000000" w:themeColor="text1"/>
              </w:rPr>
              <w:t>(week 52 &amp; week 1):</w:t>
            </w:r>
            <w:r w:rsidR="1470076E" w:rsidRPr="6606CCB8">
              <w:rPr>
                <w:rFonts w:eastAsia="Arial" w:cs="Arial"/>
                <w:color w:val="000000" w:themeColor="text1"/>
              </w:rPr>
              <w:t xml:space="preserve"> 450</w:t>
            </w:r>
          </w:p>
        </w:tc>
        <w:tc>
          <w:tcPr>
            <w:tcW w:w="3753" w:type="dxa"/>
            <w:vAlign w:val="center"/>
          </w:tcPr>
          <w:p w14:paraId="17FBC7E2" w14:textId="717B1948" w:rsidR="55C84FE8" w:rsidRPr="55C84FE8" w:rsidRDefault="69693235" w:rsidP="6606CCB8">
            <w:pPr>
              <w:spacing w:before="120" w:after="120"/>
              <w:jc w:val="center"/>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6606CCB8">
              <w:rPr>
                <w:rFonts w:eastAsia="Arial" w:cs="Arial"/>
                <w:color w:val="000000" w:themeColor="text1"/>
              </w:rPr>
              <w:t>Mon-Fri</w:t>
            </w:r>
            <w:r w:rsidR="1EC2EB1F" w:rsidRPr="6606CCB8">
              <w:rPr>
                <w:rFonts w:eastAsia="Arial" w:cs="Arial"/>
                <w:color w:val="000000" w:themeColor="text1"/>
              </w:rPr>
              <w:t xml:space="preserve"> </w:t>
            </w:r>
            <w:r w:rsidRPr="6606CCB8">
              <w:rPr>
                <w:rFonts w:eastAsia="Arial" w:cs="Arial"/>
                <w:color w:val="000000" w:themeColor="text1"/>
              </w:rPr>
              <w:t xml:space="preserve">(week 52 &amp; week 1): </w:t>
            </w:r>
            <w:r w:rsidR="3AB84019" w:rsidRPr="6606CCB8">
              <w:rPr>
                <w:rFonts w:eastAsia="Arial" w:cs="Arial"/>
                <w:color w:val="000000" w:themeColor="text1"/>
              </w:rPr>
              <w:t>400</w:t>
            </w:r>
          </w:p>
        </w:tc>
      </w:tr>
    </w:tbl>
    <w:p w14:paraId="74E44C65" w14:textId="074EAA0E" w:rsidR="55C84FE8" w:rsidRDefault="55C84FE8"/>
    <w:p w14:paraId="3779B1CA" w14:textId="7425F1F2" w:rsidR="00B77D30" w:rsidRDefault="001E52F8" w:rsidP="00B573F5">
      <w:pPr>
        <w:spacing w:before="120" w:after="120"/>
        <w:rPr>
          <w:rFonts w:cs="Arial"/>
        </w:rPr>
      </w:pPr>
      <w:r w:rsidRPr="00CD3281">
        <w:rPr>
          <w:rFonts w:cs="Arial"/>
        </w:rPr>
        <w:t xml:space="preserve">* </w:t>
      </w:r>
      <w:r>
        <w:rPr>
          <w:rFonts w:cs="Arial"/>
        </w:rPr>
        <w:t xml:space="preserve">These figures </w:t>
      </w:r>
      <w:r w:rsidR="002A4498">
        <w:rPr>
          <w:rFonts w:cs="Arial"/>
        </w:rPr>
        <w:t xml:space="preserve">relate to MMS scheduled flows </w:t>
      </w:r>
      <w:r w:rsidR="00C65C76">
        <w:rPr>
          <w:rFonts w:cs="Arial"/>
        </w:rPr>
        <w:t>only;</w:t>
      </w:r>
      <w:r w:rsidR="002A4498">
        <w:rPr>
          <w:rFonts w:cs="Arial"/>
        </w:rPr>
        <w:t xml:space="preserve"> </w:t>
      </w:r>
      <w:r w:rsidR="00931EEF">
        <w:rPr>
          <w:rFonts w:cs="Arial"/>
        </w:rPr>
        <w:t>the dispatch limits of</w:t>
      </w:r>
      <w:r w:rsidR="002A4498">
        <w:rPr>
          <w:rFonts w:cs="Arial"/>
        </w:rPr>
        <w:t xml:space="preserve"> </w:t>
      </w:r>
      <w:r w:rsidR="00CA123D">
        <w:rPr>
          <w:rFonts w:cs="Arial"/>
        </w:rPr>
        <w:t xml:space="preserve">Tie Line </w:t>
      </w:r>
      <w:r w:rsidR="00931EEF">
        <w:rPr>
          <w:rFonts w:cs="Arial"/>
        </w:rPr>
        <w:t>flows</w:t>
      </w:r>
      <w:r w:rsidR="002A4498">
        <w:rPr>
          <w:rFonts w:cs="Arial"/>
        </w:rPr>
        <w:t xml:space="preserve"> </w:t>
      </w:r>
      <w:r w:rsidR="00931EEF">
        <w:rPr>
          <w:rFonts w:cs="Arial"/>
        </w:rPr>
        <w:t>are</w:t>
      </w:r>
      <w:r w:rsidR="00CA123D">
        <w:rPr>
          <w:rFonts w:cs="Arial"/>
        </w:rPr>
        <w:t xml:space="preserve"> </w:t>
      </w:r>
      <w:r w:rsidR="00931EEF">
        <w:rPr>
          <w:rFonts w:cs="Arial"/>
        </w:rPr>
        <w:t xml:space="preserve">determined by </w:t>
      </w:r>
      <w:r w:rsidR="002A4498">
        <w:rPr>
          <w:rFonts w:cs="Arial"/>
        </w:rPr>
        <w:t xml:space="preserve">real-time </w:t>
      </w:r>
      <w:r w:rsidR="00CA123D">
        <w:rPr>
          <w:rFonts w:cs="Arial"/>
        </w:rPr>
        <w:t xml:space="preserve">system </w:t>
      </w:r>
      <w:r w:rsidR="002A4498">
        <w:rPr>
          <w:rFonts w:cs="Arial"/>
        </w:rPr>
        <w:t>security analysis.</w:t>
      </w:r>
    </w:p>
    <w:p w14:paraId="7C8DBA9D" w14:textId="77777777" w:rsidR="006A5F43" w:rsidRPr="006A5F43" w:rsidRDefault="006A5F43" w:rsidP="00B573F5">
      <w:pPr>
        <w:spacing w:before="120" w:after="120"/>
        <w:rPr>
          <w:rFonts w:cs="Arial"/>
        </w:rPr>
      </w:pPr>
    </w:p>
    <w:tbl>
      <w:tblPr>
        <w:tblStyle w:val="MediumGrid3-Accent1"/>
        <w:tblW w:w="0" w:type="auto"/>
        <w:tblLook w:val="04A0" w:firstRow="1" w:lastRow="0" w:firstColumn="1" w:lastColumn="0" w:noHBand="0" w:noVBand="1"/>
      </w:tblPr>
      <w:tblGrid>
        <w:gridCol w:w="1959"/>
        <w:gridCol w:w="1836"/>
        <w:gridCol w:w="1840"/>
        <w:gridCol w:w="1851"/>
        <w:gridCol w:w="1854"/>
      </w:tblGrid>
      <w:tr w:rsidR="00EC7BE4" w14:paraId="2A3A1DD5" w14:textId="78993306" w:rsidTr="0076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2CDBAF" w14:textId="77777777" w:rsidR="00EC7BE4" w:rsidRPr="00EC7BE4" w:rsidRDefault="00EC7BE4" w:rsidP="00C07915">
            <w:pPr>
              <w:spacing w:before="120" w:after="120" w:line="276" w:lineRule="auto"/>
              <w:jc w:val="center"/>
              <w:rPr>
                <w:rFonts w:cs="Arial"/>
              </w:rPr>
            </w:pPr>
            <w:r w:rsidRPr="00EC7BE4">
              <w:rPr>
                <w:rFonts w:cs="Arial"/>
              </w:rPr>
              <w:t>Ireland Wind Generation (MW)</w:t>
            </w:r>
          </w:p>
        </w:tc>
        <w:tc>
          <w:tcPr>
            <w:tcW w:w="0" w:type="auto"/>
          </w:tcPr>
          <w:p w14:paraId="72F4820B" w14:textId="77777777" w:rsidR="00EC7BE4" w:rsidRPr="00EC7BE4" w:rsidRDefault="00EC7BE4" w:rsidP="00C07915">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EC7BE4">
              <w:rPr>
                <w:rFonts w:cs="Arial"/>
              </w:rPr>
              <w:t>Maximum EWIC Import (MW)*</w:t>
            </w:r>
          </w:p>
        </w:tc>
        <w:tc>
          <w:tcPr>
            <w:tcW w:w="0" w:type="auto"/>
          </w:tcPr>
          <w:p w14:paraId="23F7C877" w14:textId="778DE934" w:rsidR="00EC7BE4" w:rsidRPr="00EC7BE4" w:rsidRDefault="00EC7BE4" w:rsidP="00C07915">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EC7BE4">
              <w:rPr>
                <w:rFonts w:cs="Arial"/>
              </w:rPr>
              <w:t>Maximum EWIC Export (MW)*</w:t>
            </w:r>
          </w:p>
        </w:tc>
        <w:tc>
          <w:tcPr>
            <w:tcW w:w="0" w:type="auto"/>
          </w:tcPr>
          <w:p w14:paraId="31D916AE" w14:textId="113471A0" w:rsidR="00EC7BE4" w:rsidRPr="00EC7BE4" w:rsidRDefault="00EC7BE4" w:rsidP="00C07915">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EC7BE4">
              <w:rPr>
                <w:rFonts w:cs="Arial"/>
              </w:rPr>
              <w:t>Maximum Moyle Import (MW)*</w:t>
            </w:r>
          </w:p>
        </w:tc>
        <w:tc>
          <w:tcPr>
            <w:tcW w:w="0" w:type="auto"/>
          </w:tcPr>
          <w:p w14:paraId="7047E32E" w14:textId="1366C1B6" w:rsidR="00EC7BE4" w:rsidRPr="00EC7BE4" w:rsidRDefault="00EC7BE4" w:rsidP="00C07915">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EC7BE4">
              <w:rPr>
                <w:rFonts w:cs="Arial"/>
              </w:rPr>
              <w:t>Maximum Moyle Export (MW)*</w:t>
            </w:r>
          </w:p>
        </w:tc>
      </w:tr>
      <w:tr w:rsidR="00EC7BE4" w14:paraId="0FD49692" w14:textId="684005A2"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FFFFFF" w:themeColor="background1"/>
            </w:tcBorders>
            <w:vAlign w:val="center"/>
          </w:tcPr>
          <w:p w14:paraId="129741A2" w14:textId="1FF518EC" w:rsidR="00EC7BE4" w:rsidRPr="00EC7BE4" w:rsidRDefault="00EC7BE4" w:rsidP="00C07915">
            <w:pPr>
              <w:spacing w:before="120" w:after="120" w:line="276" w:lineRule="auto"/>
              <w:jc w:val="center"/>
              <w:rPr>
                <w:rFonts w:cs="Arial"/>
              </w:rPr>
            </w:pPr>
            <w:r w:rsidRPr="00EC7BE4">
              <w:rPr>
                <w:rFonts w:cs="Arial"/>
              </w:rPr>
              <w:t>0</w:t>
            </w:r>
          </w:p>
        </w:tc>
        <w:tc>
          <w:tcPr>
            <w:tcW w:w="0" w:type="auto"/>
            <w:vAlign w:val="center"/>
          </w:tcPr>
          <w:p w14:paraId="4FBDA1BE" w14:textId="083698AA" w:rsidR="00EC7BE4" w:rsidRPr="00EC7BE4" w:rsidRDefault="00EC7BE4" w:rsidP="00C079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504</w:t>
            </w:r>
          </w:p>
        </w:tc>
        <w:tc>
          <w:tcPr>
            <w:tcW w:w="0" w:type="auto"/>
            <w:vAlign w:val="center"/>
          </w:tcPr>
          <w:p w14:paraId="63E2478F" w14:textId="7FB5C21C" w:rsidR="00EC7BE4" w:rsidRPr="00EC7BE4" w:rsidRDefault="00E20F97" w:rsidP="00C079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526</w:t>
            </w:r>
          </w:p>
        </w:tc>
        <w:tc>
          <w:tcPr>
            <w:tcW w:w="0" w:type="auto"/>
            <w:vAlign w:val="center"/>
          </w:tcPr>
          <w:p w14:paraId="7BA644A2" w14:textId="422A8B2E" w:rsidR="00EC7BE4" w:rsidRPr="00EC7BE4" w:rsidRDefault="00EC7BE4" w:rsidP="00C0791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441</w:t>
            </w:r>
          </w:p>
        </w:tc>
        <w:tc>
          <w:tcPr>
            <w:tcW w:w="0" w:type="auto"/>
            <w:vAlign w:val="center"/>
          </w:tcPr>
          <w:p w14:paraId="34A3F56F" w14:textId="46DE3E24" w:rsidR="00EC7BE4" w:rsidRPr="00EC7BE4" w:rsidRDefault="00EC7BE4" w:rsidP="00C0791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410</w:t>
            </w:r>
          </w:p>
        </w:tc>
      </w:tr>
      <w:tr w:rsidR="00EC7BE4" w14:paraId="36CC6C25" w14:textId="27B582A6" w:rsidTr="00760D0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tcBorders>
            <w:vAlign w:val="center"/>
          </w:tcPr>
          <w:p w14:paraId="69A111C3" w14:textId="0EF3E065" w:rsidR="00EC7BE4" w:rsidRPr="00EC7BE4" w:rsidRDefault="00EC7BE4" w:rsidP="00C07915">
            <w:pPr>
              <w:spacing w:before="120" w:after="120" w:line="276" w:lineRule="auto"/>
              <w:jc w:val="center"/>
              <w:rPr>
                <w:rFonts w:cs="Arial"/>
              </w:rPr>
            </w:pPr>
            <w:r w:rsidRPr="00EC7BE4">
              <w:rPr>
                <w:rFonts w:cs="Arial"/>
              </w:rPr>
              <w:t>1000</w:t>
            </w:r>
          </w:p>
        </w:tc>
        <w:tc>
          <w:tcPr>
            <w:tcW w:w="0" w:type="auto"/>
            <w:vAlign w:val="center"/>
          </w:tcPr>
          <w:p w14:paraId="633364EB" w14:textId="5FB28330" w:rsidR="00EC7BE4" w:rsidRPr="00EC7BE4" w:rsidRDefault="00EC7BE4" w:rsidP="00C079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EC7BE4">
              <w:rPr>
                <w:rFonts w:cs="Arial"/>
              </w:rPr>
              <w:t>504</w:t>
            </w:r>
          </w:p>
        </w:tc>
        <w:tc>
          <w:tcPr>
            <w:tcW w:w="0" w:type="auto"/>
            <w:vAlign w:val="center"/>
          </w:tcPr>
          <w:p w14:paraId="0428FF6F" w14:textId="4D0279E9" w:rsidR="00EC7BE4" w:rsidRPr="00EC7BE4" w:rsidRDefault="00E20F97" w:rsidP="00C07915">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526</w:t>
            </w:r>
          </w:p>
        </w:tc>
        <w:tc>
          <w:tcPr>
            <w:tcW w:w="0" w:type="auto"/>
            <w:vAlign w:val="center"/>
          </w:tcPr>
          <w:p w14:paraId="01BEFB12" w14:textId="6E129837" w:rsidR="00EC7BE4" w:rsidRPr="00EC7BE4" w:rsidRDefault="00EC7BE4" w:rsidP="00C07915">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EC7BE4">
              <w:rPr>
                <w:rFonts w:cs="Arial"/>
              </w:rPr>
              <w:t>441</w:t>
            </w:r>
          </w:p>
        </w:tc>
        <w:tc>
          <w:tcPr>
            <w:tcW w:w="0" w:type="auto"/>
            <w:vAlign w:val="center"/>
          </w:tcPr>
          <w:p w14:paraId="16B293AB" w14:textId="5A666399" w:rsidR="00EC7BE4" w:rsidRPr="00EC7BE4" w:rsidRDefault="00EC7BE4" w:rsidP="00C07915">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sidRPr="00EC7BE4">
              <w:rPr>
                <w:rFonts w:cs="Arial"/>
              </w:rPr>
              <w:t>410</w:t>
            </w:r>
          </w:p>
        </w:tc>
      </w:tr>
      <w:tr w:rsidR="00EC7BE4" w14:paraId="7E1A5F41" w14:textId="38FAF432"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5D9597" w14:textId="3CF442C1" w:rsidR="00EC7BE4" w:rsidRPr="00EC7BE4" w:rsidRDefault="00EC7BE4" w:rsidP="00C07915">
            <w:pPr>
              <w:spacing w:before="120" w:after="120" w:line="276" w:lineRule="auto"/>
              <w:jc w:val="center"/>
              <w:rPr>
                <w:rFonts w:cs="Arial"/>
              </w:rPr>
            </w:pPr>
            <w:r w:rsidRPr="00EC7BE4">
              <w:rPr>
                <w:rFonts w:cs="Arial"/>
              </w:rPr>
              <w:t>2000</w:t>
            </w:r>
          </w:p>
        </w:tc>
        <w:tc>
          <w:tcPr>
            <w:tcW w:w="0" w:type="auto"/>
            <w:vAlign w:val="center"/>
          </w:tcPr>
          <w:p w14:paraId="3040AD01" w14:textId="4162C299" w:rsidR="00EC7BE4" w:rsidRPr="00EC7BE4" w:rsidRDefault="00EC7BE4" w:rsidP="00C079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504</w:t>
            </w:r>
          </w:p>
        </w:tc>
        <w:tc>
          <w:tcPr>
            <w:tcW w:w="0" w:type="auto"/>
            <w:vAlign w:val="center"/>
          </w:tcPr>
          <w:p w14:paraId="19409E02" w14:textId="5693A19F" w:rsidR="00EC7BE4" w:rsidRPr="00EC7BE4" w:rsidRDefault="00E20F97" w:rsidP="00C07915">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526</w:t>
            </w:r>
          </w:p>
        </w:tc>
        <w:tc>
          <w:tcPr>
            <w:tcW w:w="0" w:type="auto"/>
            <w:vAlign w:val="center"/>
          </w:tcPr>
          <w:p w14:paraId="011825FD" w14:textId="2507DAE5" w:rsidR="00EC7BE4" w:rsidRPr="00EC7BE4" w:rsidRDefault="00EC7BE4" w:rsidP="00C0791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441</w:t>
            </w:r>
          </w:p>
        </w:tc>
        <w:tc>
          <w:tcPr>
            <w:tcW w:w="0" w:type="auto"/>
            <w:vAlign w:val="center"/>
          </w:tcPr>
          <w:p w14:paraId="16761954" w14:textId="396555C3" w:rsidR="00EC7BE4" w:rsidRPr="00EC7BE4" w:rsidRDefault="00EC7BE4" w:rsidP="00C07915">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EC7BE4">
              <w:rPr>
                <w:rFonts w:cs="Arial"/>
              </w:rPr>
              <w:t>410</w:t>
            </w:r>
          </w:p>
        </w:tc>
      </w:tr>
    </w:tbl>
    <w:p w14:paraId="5628ED4E" w14:textId="664CC9F4" w:rsidR="000A73F0" w:rsidRDefault="00C57F25" w:rsidP="00C57F25">
      <w:pPr>
        <w:spacing w:before="120" w:after="120"/>
        <w:rPr>
          <w:rFonts w:cs="Arial"/>
        </w:rPr>
      </w:pPr>
      <w:r w:rsidRPr="00CD3281">
        <w:rPr>
          <w:rFonts w:cs="Arial"/>
        </w:rPr>
        <w:t>* Values pertain to the Ireland/Northern Ireland side of the interconnectors only</w:t>
      </w:r>
      <w:r w:rsidR="00820CCC">
        <w:rPr>
          <w:rFonts w:cs="Arial"/>
        </w:rPr>
        <w:t xml:space="preserve"> when available.</w:t>
      </w:r>
    </w:p>
    <w:p w14:paraId="172C08D7" w14:textId="76D73A9A" w:rsidR="00F955EA" w:rsidRPr="00C57F25" w:rsidRDefault="006A5F43" w:rsidP="006A5F43">
      <w:pPr>
        <w:spacing w:after="200"/>
        <w:rPr>
          <w:rFonts w:cs="Arial"/>
        </w:rPr>
      </w:pPr>
      <w:r>
        <w:rPr>
          <w:rFonts w:cs="Arial"/>
        </w:rPr>
        <w:br w:type="page"/>
      </w:r>
    </w:p>
    <w:p w14:paraId="5570CA1D" w14:textId="77777777" w:rsidR="00CD3281" w:rsidRPr="00CD3281" w:rsidRDefault="00CD3281" w:rsidP="004F6CB9">
      <w:pPr>
        <w:pStyle w:val="EGStyleGuide-Subheadline"/>
      </w:pPr>
      <w:r w:rsidRPr="00CD3281">
        <w:lastRenderedPageBreak/>
        <w:t>Coolkeeragh C30 Running</w:t>
      </w:r>
    </w:p>
    <w:tbl>
      <w:tblPr>
        <w:tblStyle w:val="MediumGrid3-Accent1"/>
        <w:tblW w:w="0" w:type="auto"/>
        <w:tblLook w:val="04A0" w:firstRow="1" w:lastRow="0" w:firstColumn="1" w:lastColumn="0" w:noHBand="0" w:noVBand="1"/>
      </w:tblPr>
      <w:tblGrid>
        <w:gridCol w:w="2337"/>
        <w:gridCol w:w="2324"/>
        <w:gridCol w:w="2350"/>
        <w:gridCol w:w="2329"/>
      </w:tblGrid>
      <w:tr w:rsidR="009D337A" w14:paraId="721BC8C6" w14:textId="77777777" w:rsidTr="0076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306A48F" w14:textId="77777777" w:rsidR="009D337A" w:rsidRDefault="009D337A" w:rsidP="00FB47DE">
            <w:pPr>
              <w:spacing w:before="120" w:after="120" w:line="276" w:lineRule="auto"/>
              <w:jc w:val="center"/>
              <w:rPr>
                <w:rFonts w:cs="Arial"/>
              </w:rPr>
            </w:pPr>
            <w:r w:rsidRPr="00CD3281">
              <w:rPr>
                <w:rFonts w:cs="Arial"/>
              </w:rPr>
              <w:t>Northern Ireland Wind Generation (MW)</w:t>
            </w:r>
          </w:p>
        </w:tc>
        <w:tc>
          <w:tcPr>
            <w:tcW w:w="2394" w:type="dxa"/>
          </w:tcPr>
          <w:p w14:paraId="10E3DC9E" w14:textId="77777777" w:rsidR="009D337A" w:rsidRDefault="009D337A" w:rsidP="009D337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Northern Ireland Demand (MW) above which C30 must be running with </w:t>
            </w:r>
            <w:r w:rsidRPr="00CD3281">
              <w:rPr>
                <w:rFonts w:cs="Arial"/>
              </w:rPr>
              <w:t>GT8 off</w:t>
            </w:r>
          </w:p>
        </w:tc>
        <w:tc>
          <w:tcPr>
            <w:tcW w:w="2394" w:type="dxa"/>
          </w:tcPr>
          <w:p w14:paraId="109344A3" w14:textId="77777777" w:rsidR="009D337A" w:rsidRDefault="009D337A" w:rsidP="009D337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Northern Ireland Demand (MW) above which C30 must be running with </w:t>
            </w:r>
            <w:r w:rsidRPr="00CD3281">
              <w:rPr>
                <w:rFonts w:cs="Arial"/>
              </w:rPr>
              <w:t xml:space="preserve">GT8 </w:t>
            </w:r>
            <w:r>
              <w:rPr>
                <w:rFonts w:cs="Arial"/>
              </w:rPr>
              <w:t>operating as a synchronous compensator</w:t>
            </w:r>
          </w:p>
        </w:tc>
        <w:tc>
          <w:tcPr>
            <w:tcW w:w="2394" w:type="dxa"/>
          </w:tcPr>
          <w:p w14:paraId="7CBCCD45" w14:textId="77777777" w:rsidR="009D337A" w:rsidRDefault="009D337A" w:rsidP="009D337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Northern Ireland Demand (MW) above which C30 must be running with </w:t>
            </w:r>
            <w:r w:rsidRPr="00CD3281">
              <w:rPr>
                <w:rFonts w:cs="Arial"/>
              </w:rPr>
              <w:t xml:space="preserve">GT8 </w:t>
            </w:r>
            <w:r>
              <w:rPr>
                <w:rFonts w:cs="Arial"/>
              </w:rPr>
              <w:t>operating as a generator</w:t>
            </w:r>
          </w:p>
        </w:tc>
      </w:tr>
      <w:tr w:rsidR="009D337A" w14:paraId="43EF75D0" w14:textId="77777777"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EF245BF" w14:textId="77777777" w:rsidR="009D337A" w:rsidRDefault="009D337A" w:rsidP="00FB47DE">
            <w:pPr>
              <w:spacing w:before="120" w:after="120" w:line="276" w:lineRule="auto"/>
              <w:jc w:val="center"/>
              <w:rPr>
                <w:rFonts w:cs="Arial"/>
              </w:rPr>
            </w:pPr>
            <w:r w:rsidRPr="00CD3281">
              <w:rPr>
                <w:rFonts w:cs="Arial"/>
              </w:rPr>
              <w:t>0</w:t>
            </w:r>
          </w:p>
        </w:tc>
        <w:tc>
          <w:tcPr>
            <w:tcW w:w="2394" w:type="dxa"/>
          </w:tcPr>
          <w:p w14:paraId="1F6A86EE" w14:textId="0DE26787" w:rsidR="009D337A" w:rsidRDefault="007F0B88"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1550</w:t>
            </w:r>
          </w:p>
        </w:tc>
        <w:tc>
          <w:tcPr>
            <w:tcW w:w="2394" w:type="dxa"/>
          </w:tcPr>
          <w:p w14:paraId="54C72A6E" w14:textId="2B2F56E5" w:rsidR="009D337A" w:rsidRDefault="007F0B88"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1608</w:t>
            </w:r>
          </w:p>
        </w:tc>
        <w:tc>
          <w:tcPr>
            <w:tcW w:w="2394" w:type="dxa"/>
          </w:tcPr>
          <w:p w14:paraId="77B3B338" w14:textId="1BA21E07" w:rsidR="009D337A" w:rsidRDefault="007F0B88"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Not required</w:t>
            </w:r>
          </w:p>
        </w:tc>
      </w:tr>
      <w:tr w:rsidR="009D337A" w14:paraId="78E203AA" w14:textId="77777777" w:rsidTr="00760D0D">
        <w:tc>
          <w:tcPr>
            <w:cnfStyle w:val="001000000000" w:firstRow="0" w:lastRow="0" w:firstColumn="1" w:lastColumn="0" w:oddVBand="0" w:evenVBand="0" w:oddHBand="0" w:evenHBand="0" w:firstRowFirstColumn="0" w:firstRowLastColumn="0" w:lastRowFirstColumn="0" w:lastRowLastColumn="0"/>
            <w:tcW w:w="2394" w:type="dxa"/>
          </w:tcPr>
          <w:p w14:paraId="548779D0" w14:textId="77777777" w:rsidR="009D337A" w:rsidRDefault="009D337A" w:rsidP="00FB47DE">
            <w:pPr>
              <w:spacing w:before="120" w:after="120" w:line="276" w:lineRule="auto"/>
              <w:jc w:val="center"/>
              <w:rPr>
                <w:rFonts w:cs="Arial"/>
              </w:rPr>
            </w:pPr>
            <w:r w:rsidRPr="00CD3281">
              <w:rPr>
                <w:rFonts w:cs="Arial"/>
              </w:rPr>
              <w:t>450</w:t>
            </w:r>
          </w:p>
        </w:tc>
        <w:tc>
          <w:tcPr>
            <w:tcW w:w="2394" w:type="dxa"/>
          </w:tcPr>
          <w:p w14:paraId="6C5904D0" w14:textId="60B6CD21" w:rsidR="009D337A" w:rsidRDefault="007F0B88" w:rsidP="00FB47D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Not required</w:t>
            </w:r>
          </w:p>
        </w:tc>
        <w:tc>
          <w:tcPr>
            <w:tcW w:w="2394" w:type="dxa"/>
          </w:tcPr>
          <w:p w14:paraId="2E1AA11D" w14:textId="2EEE37E4" w:rsidR="009D337A" w:rsidRDefault="007F0B88" w:rsidP="00FB47D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Not required</w:t>
            </w:r>
          </w:p>
        </w:tc>
        <w:tc>
          <w:tcPr>
            <w:tcW w:w="2394" w:type="dxa"/>
          </w:tcPr>
          <w:p w14:paraId="4EA3B19F" w14:textId="71A491E2" w:rsidR="009D337A" w:rsidRDefault="007F0B88" w:rsidP="00FB47D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Not required</w:t>
            </w:r>
          </w:p>
        </w:tc>
      </w:tr>
      <w:tr w:rsidR="009D337A" w14:paraId="64E7FD75" w14:textId="77777777" w:rsidTr="0076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1B387F9" w14:textId="77777777" w:rsidR="009D337A" w:rsidRDefault="009D337A" w:rsidP="00FB47DE">
            <w:pPr>
              <w:spacing w:before="120" w:after="120" w:line="276" w:lineRule="auto"/>
              <w:jc w:val="center"/>
              <w:rPr>
                <w:rFonts w:cs="Arial"/>
              </w:rPr>
            </w:pPr>
            <w:r w:rsidRPr="00CD3281">
              <w:rPr>
                <w:rFonts w:cs="Arial"/>
              </w:rPr>
              <w:t>900</w:t>
            </w:r>
          </w:p>
        </w:tc>
        <w:tc>
          <w:tcPr>
            <w:tcW w:w="2394" w:type="dxa"/>
          </w:tcPr>
          <w:p w14:paraId="2F740EA2" w14:textId="65048EC0" w:rsidR="009D337A" w:rsidRDefault="007F0B88"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Not required</w:t>
            </w:r>
          </w:p>
        </w:tc>
        <w:tc>
          <w:tcPr>
            <w:tcW w:w="2394" w:type="dxa"/>
          </w:tcPr>
          <w:p w14:paraId="12623904" w14:textId="6C368CD2" w:rsidR="009D337A" w:rsidRDefault="007F0B88" w:rsidP="00FB47D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Not required</w:t>
            </w:r>
          </w:p>
        </w:tc>
        <w:tc>
          <w:tcPr>
            <w:tcW w:w="2394" w:type="dxa"/>
          </w:tcPr>
          <w:p w14:paraId="5D3211F6" w14:textId="65ED6AD8" w:rsidR="009D337A" w:rsidRDefault="007F0B88" w:rsidP="00027F3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Not required</w:t>
            </w:r>
          </w:p>
        </w:tc>
      </w:tr>
    </w:tbl>
    <w:p w14:paraId="47F0F75C" w14:textId="77777777" w:rsidR="001F38C3" w:rsidRDefault="001F38C3">
      <w:pPr>
        <w:spacing w:after="200"/>
        <w:rPr>
          <w:rFonts w:eastAsiaTheme="minorEastAsia" w:cs="Arial"/>
          <w:b/>
          <w:bCs/>
          <w:color w:val="157C85"/>
          <w:sz w:val="24"/>
          <w:szCs w:val="24"/>
          <w:lang w:val="en-GB" w:eastAsia="ja-JP"/>
        </w:rPr>
      </w:pPr>
      <w:r>
        <w:br w:type="page"/>
      </w:r>
    </w:p>
    <w:p w14:paraId="1F6F79D0" w14:textId="4A8A213D" w:rsidR="006A5F43" w:rsidRPr="00EC2FB8" w:rsidRDefault="00A2152C" w:rsidP="004F6CB9">
      <w:pPr>
        <w:pStyle w:val="EGStyleGuide-Subheadline"/>
      </w:pPr>
      <w:bookmarkStart w:id="1" w:name="_Hlk175299327"/>
      <w:r w:rsidRPr="00CD3281">
        <w:lastRenderedPageBreak/>
        <w:t>Other Constraints/Notes/Risks</w:t>
      </w:r>
    </w:p>
    <w:tbl>
      <w:tblPr>
        <w:tblStyle w:val="MediumGrid3-Accent1"/>
        <w:tblW w:w="9638" w:type="dxa"/>
        <w:tblLook w:val="04A0" w:firstRow="1" w:lastRow="0" w:firstColumn="1" w:lastColumn="0" w:noHBand="0" w:noVBand="1"/>
      </w:tblPr>
      <w:tblGrid>
        <w:gridCol w:w="3184"/>
        <w:gridCol w:w="3780"/>
        <w:gridCol w:w="2674"/>
      </w:tblGrid>
      <w:tr w:rsidR="00501896" w14:paraId="7E52D129" w14:textId="77777777" w:rsidTr="36FF0B9B">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31EE2CAB" w14:textId="77777777" w:rsidR="00E120FA" w:rsidRDefault="00E120FA" w:rsidP="00096392">
            <w:pPr>
              <w:spacing w:before="120" w:after="120" w:line="276" w:lineRule="auto"/>
              <w:jc w:val="center"/>
              <w:rPr>
                <w:rFonts w:cs="Arial"/>
              </w:rPr>
            </w:pPr>
            <w:bookmarkStart w:id="2" w:name="_Hlk102723245"/>
            <w:r w:rsidRPr="00CD3281">
              <w:rPr>
                <w:rFonts w:cs="Arial"/>
              </w:rPr>
              <w:t>Jurisdiction</w:t>
            </w:r>
          </w:p>
        </w:tc>
        <w:tc>
          <w:tcPr>
            <w:tcW w:w="3780" w:type="dxa"/>
          </w:tcPr>
          <w:p w14:paraId="1934773D" w14:textId="77777777" w:rsidR="00E120FA" w:rsidRDefault="00E120FA" w:rsidP="00096392">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Constraint/Note</w:t>
            </w:r>
          </w:p>
        </w:tc>
        <w:tc>
          <w:tcPr>
            <w:tcW w:w="2674" w:type="dxa"/>
          </w:tcPr>
          <w:p w14:paraId="0CCF0DD8" w14:textId="77777777" w:rsidR="00E120FA" w:rsidRDefault="00E120FA" w:rsidP="00096392">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CD3281">
              <w:rPr>
                <w:rFonts w:cs="Arial"/>
              </w:rPr>
              <w:t>Reason</w:t>
            </w:r>
          </w:p>
        </w:tc>
      </w:tr>
      <w:tr w:rsidR="00501896" w:rsidRPr="00F67A59" w14:paraId="2D3F99C9" w14:textId="77777777" w:rsidTr="36FF0B9B">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184" w:type="dxa"/>
          </w:tcPr>
          <w:p w14:paraId="4A2F0CDA" w14:textId="77777777" w:rsidR="00E120FA" w:rsidRPr="00CD3281" w:rsidRDefault="00E120FA" w:rsidP="00096392">
            <w:pPr>
              <w:spacing w:before="120" w:after="120"/>
              <w:jc w:val="center"/>
              <w:rPr>
                <w:rFonts w:cs="Arial"/>
              </w:rPr>
            </w:pPr>
            <w:r>
              <w:rPr>
                <w:rFonts w:cs="Arial"/>
              </w:rPr>
              <w:t>Ireland</w:t>
            </w:r>
          </w:p>
        </w:tc>
        <w:tc>
          <w:tcPr>
            <w:tcW w:w="3780" w:type="dxa"/>
          </w:tcPr>
          <w:p w14:paraId="0A0CE3E3" w14:textId="4D1AF280" w:rsidR="0083123C" w:rsidRPr="00CD3281" w:rsidRDefault="00F02B2A" w:rsidP="28FABAEE">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Winter </w:t>
            </w:r>
            <w:r w:rsidR="7345C9F2" w:rsidRPr="176A5FD1">
              <w:rPr>
                <w:rFonts w:cs="Arial"/>
              </w:rPr>
              <w:t>transmission ratings are in place</w:t>
            </w:r>
            <w:r w:rsidR="57FBC8CF" w:rsidRPr="176A5FD1">
              <w:rPr>
                <w:rFonts w:cs="Arial"/>
              </w:rPr>
              <w:t>.</w:t>
            </w:r>
          </w:p>
        </w:tc>
        <w:tc>
          <w:tcPr>
            <w:tcW w:w="2674" w:type="dxa"/>
          </w:tcPr>
          <w:p w14:paraId="2B8F2307" w14:textId="77777777" w:rsidR="00E120FA" w:rsidRPr="00F67A59" w:rsidRDefault="7345C9F2" w:rsidP="28FABAEE">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28FABAEE">
              <w:rPr>
                <w:rFonts w:cs="Arial"/>
              </w:rPr>
              <w:t>Seasonal.</w:t>
            </w:r>
          </w:p>
        </w:tc>
      </w:tr>
      <w:tr w:rsidR="00501896" w14:paraId="78B0B7F0" w14:textId="77777777" w:rsidTr="36FF0B9B">
        <w:trPr>
          <w:trHeight w:val="837"/>
        </w:trPr>
        <w:tc>
          <w:tcPr>
            <w:cnfStyle w:val="001000000000" w:firstRow="0" w:lastRow="0" w:firstColumn="1" w:lastColumn="0" w:oddVBand="0" w:evenVBand="0" w:oddHBand="0" w:evenHBand="0" w:firstRowFirstColumn="0" w:firstRowLastColumn="0" w:lastRowFirstColumn="0" w:lastRowLastColumn="0"/>
            <w:tcW w:w="3184" w:type="dxa"/>
          </w:tcPr>
          <w:p w14:paraId="7BFB907A" w14:textId="77777777" w:rsidR="00E120FA" w:rsidRDefault="00E120FA" w:rsidP="00096392">
            <w:pPr>
              <w:spacing w:before="120" w:after="120"/>
              <w:jc w:val="center"/>
              <w:rPr>
                <w:rFonts w:cs="Arial"/>
              </w:rPr>
            </w:pPr>
            <w:r>
              <w:rPr>
                <w:rFonts w:cs="Arial"/>
              </w:rPr>
              <w:t>Northern Ireland</w:t>
            </w:r>
          </w:p>
        </w:tc>
        <w:tc>
          <w:tcPr>
            <w:tcW w:w="3780" w:type="dxa"/>
          </w:tcPr>
          <w:p w14:paraId="7CE29E10" w14:textId="771063CB" w:rsidR="00E120FA" w:rsidRDefault="00F02B2A" w:rsidP="00003862">
            <w:pPr>
              <w:spacing w:before="120"/>
              <w:cnfStyle w:val="000000000000" w:firstRow="0" w:lastRow="0" w:firstColumn="0" w:lastColumn="0" w:oddVBand="0" w:evenVBand="0" w:oddHBand="0" w:evenHBand="0" w:firstRowFirstColumn="0" w:firstRowLastColumn="0" w:lastRowFirstColumn="0" w:lastRowLastColumn="0"/>
              <w:rPr>
                <w:rFonts w:cs="Arial"/>
              </w:rPr>
            </w:pPr>
            <w:r>
              <w:rPr>
                <w:rFonts w:cs="Arial"/>
              </w:rPr>
              <w:t>Winter</w:t>
            </w:r>
            <w:r w:rsidR="7A789FF4" w:rsidRPr="176A5FD1">
              <w:rPr>
                <w:rFonts w:cs="Arial"/>
              </w:rPr>
              <w:t xml:space="preserve"> </w:t>
            </w:r>
            <w:r w:rsidR="7345C9F2" w:rsidRPr="176A5FD1">
              <w:rPr>
                <w:rFonts w:cs="Arial"/>
              </w:rPr>
              <w:t>transmission ratings are in place.</w:t>
            </w:r>
          </w:p>
        </w:tc>
        <w:tc>
          <w:tcPr>
            <w:tcW w:w="2674" w:type="dxa"/>
          </w:tcPr>
          <w:p w14:paraId="1CD6D4DC" w14:textId="77777777" w:rsidR="00E120FA" w:rsidRDefault="7345C9F2" w:rsidP="28FABAEE">
            <w:pPr>
              <w:spacing w:before="120"/>
              <w:cnfStyle w:val="000000000000" w:firstRow="0" w:lastRow="0" w:firstColumn="0" w:lastColumn="0" w:oddVBand="0" w:evenVBand="0" w:oddHBand="0" w:evenHBand="0" w:firstRowFirstColumn="0" w:firstRowLastColumn="0" w:lastRowFirstColumn="0" w:lastRowLastColumn="0"/>
              <w:rPr>
                <w:rFonts w:cs="Arial"/>
              </w:rPr>
            </w:pPr>
            <w:r w:rsidRPr="28FABAEE">
              <w:rPr>
                <w:rFonts w:cs="Arial"/>
              </w:rPr>
              <w:t>Seasonal.</w:t>
            </w:r>
          </w:p>
        </w:tc>
      </w:tr>
      <w:tr w:rsidR="00501896" w14:paraId="218437FE" w14:textId="77777777" w:rsidTr="36FF0B9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6365DAEE" w14:textId="75537539" w:rsidR="00D506B5" w:rsidRDefault="00D506B5" w:rsidP="00D506B5">
            <w:pPr>
              <w:spacing w:before="120" w:after="120"/>
              <w:jc w:val="center"/>
              <w:rPr>
                <w:rFonts w:cs="Arial"/>
                <w:b w:val="0"/>
                <w:bCs w:val="0"/>
              </w:rPr>
            </w:pPr>
            <w:r>
              <w:rPr>
                <w:rFonts w:cs="Arial"/>
              </w:rPr>
              <w:t xml:space="preserve">Ireland </w:t>
            </w:r>
          </w:p>
          <w:p w14:paraId="558CBE04" w14:textId="77777777" w:rsidR="00D506B5" w:rsidRPr="00C717BF" w:rsidRDefault="00D506B5" w:rsidP="28FABAEE">
            <w:pPr>
              <w:jc w:val="center"/>
              <w:rPr>
                <w:rFonts w:cs="Arial"/>
              </w:rPr>
            </w:pPr>
          </w:p>
        </w:tc>
        <w:tc>
          <w:tcPr>
            <w:tcW w:w="3780" w:type="dxa"/>
          </w:tcPr>
          <w:p w14:paraId="13628C54" w14:textId="7537DE63" w:rsidR="00D506B5" w:rsidRDefault="570DF38C" w:rsidP="28FABAEE">
            <w:pPr>
              <w:cnfStyle w:val="000000100000" w:firstRow="0" w:lastRow="0" w:firstColumn="0" w:lastColumn="0" w:oddVBand="0" w:evenVBand="0" w:oddHBand="1" w:evenHBand="0" w:firstRowFirstColumn="0" w:firstRowLastColumn="0" w:lastRowFirstColumn="0" w:lastRowLastColumn="0"/>
              <w:rPr>
                <w:rFonts w:cs="Arial"/>
              </w:rPr>
            </w:pPr>
            <w:r w:rsidRPr="28FABAEE">
              <w:rPr>
                <w:rFonts w:cs="Arial"/>
              </w:rPr>
              <w:t>Synchronous condenser MP5 is must run when available and unit MP2 is not online</w:t>
            </w:r>
          </w:p>
        </w:tc>
        <w:tc>
          <w:tcPr>
            <w:tcW w:w="2674" w:type="dxa"/>
          </w:tcPr>
          <w:p w14:paraId="46AE2312" w14:textId="1EC5FD42" w:rsidR="00D506B5" w:rsidRDefault="518BB27D" w:rsidP="28FABAEE">
            <w:pPr>
              <w:cnfStyle w:val="000000100000" w:firstRow="0" w:lastRow="0" w:firstColumn="0" w:lastColumn="0" w:oddVBand="0" w:evenVBand="0" w:oddHBand="1" w:evenHBand="0" w:firstRowFirstColumn="0" w:firstRowLastColumn="0" w:lastRowFirstColumn="0" w:lastRowLastColumn="0"/>
              <w:rPr>
                <w:rFonts w:cs="Arial"/>
              </w:rPr>
            </w:pPr>
            <w:r>
              <w:t>System Stability</w:t>
            </w:r>
          </w:p>
        </w:tc>
      </w:tr>
      <w:tr w:rsidR="0007005A" w14:paraId="54888AFC" w14:textId="77777777" w:rsidTr="36FF0B9B">
        <w:trPr>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1515D644" w14:textId="07132CE2" w:rsidR="0007005A" w:rsidRDefault="0007005A" w:rsidP="00D506B5">
            <w:pPr>
              <w:spacing w:before="120" w:after="120"/>
              <w:jc w:val="center"/>
              <w:rPr>
                <w:rFonts w:cs="Arial"/>
              </w:rPr>
            </w:pPr>
            <w:r>
              <w:rPr>
                <w:rFonts w:cs="Arial"/>
              </w:rPr>
              <w:t>Northern Ireland</w:t>
            </w:r>
          </w:p>
        </w:tc>
        <w:tc>
          <w:tcPr>
            <w:tcW w:w="3780" w:type="dxa"/>
          </w:tcPr>
          <w:p w14:paraId="366F444B" w14:textId="45CB6784" w:rsidR="00086F5C" w:rsidRDefault="731DD852" w:rsidP="28FABAEE">
            <w:pPr>
              <w:cnfStyle w:val="000000000000" w:firstRow="0" w:lastRow="0" w:firstColumn="0" w:lastColumn="0" w:oddVBand="0" w:evenVBand="0" w:oddHBand="0" w:evenHBand="0" w:firstRowFirstColumn="0" w:firstRowLastColumn="0" w:lastRowFirstColumn="0" w:lastRowLastColumn="0"/>
              <w:rPr>
                <w:rFonts w:cs="Arial"/>
              </w:rPr>
            </w:pPr>
            <w:r w:rsidRPr="28FABAEE">
              <w:rPr>
                <w:rFonts w:cs="Arial"/>
              </w:rPr>
              <w:t>KGT6 or KGT7 are must not run for Security of Supply reasons, except when close to, or in, System Alert</w:t>
            </w:r>
            <w:r w:rsidR="00946A0C">
              <w:rPr>
                <w:rFonts w:cs="Arial"/>
              </w:rPr>
              <w:t>.</w:t>
            </w:r>
          </w:p>
          <w:p w14:paraId="01C9AFE5" w14:textId="638ECB6F" w:rsidR="0007005A" w:rsidRPr="009971BA" w:rsidRDefault="00086F5C" w:rsidP="28FABAEE">
            <w:pPr>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Th</w:t>
            </w:r>
            <w:r w:rsidR="00946A0C" w:rsidRPr="00946A0C">
              <w:rPr>
                <w:rFonts w:cs="Arial"/>
                <w:color w:val="FF0000"/>
              </w:rPr>
              <w:t>is will be removed from 01/01/2026</w:t>
            </w:r>
            <w:r>
              <w:rPr>
                <w:rFonts w:cs="Arial"/>
                <w:color w:val="FF0000"/>
              </w:rPr>
              <w:t>.</w:t>
            </w:r>
          </w:p>
        </w:tc>
        <w:tc>
          <w:tcPr>
            <w:tcW w:w="2674" w:type="dxa"/>
          </w:tcPr>
          <w:p w14:paraId="316D98B8" w14:textId="26DA6516" w:rsidR="0007005A" w:rsidRPr="004C2191" w:rsidRDefault="731DD852" w:rsidP="28FABAEE">
            <w:pPr>
              <w:cnfStyle w:val="000000000000" w:firstRow="0" w:lastRow="0" w:firstColumn="0" w:lastColumn="0" w:oddVBand="0" w:evenVBand="0" w:oddHBand="0" w:evenHBand="0" w:firstRowFirstColumn="0" w:firstRowLastColumn="0" w:lastRowFirstColumn="0" w:lastRowLastColumn="0"/>
            </w:pPr>
            <w:r>
              <w:t>Security of Supply</w:t>
            </w:r>
          </w:p>
        </w:tc>
      </w:tr>
      <w:tr w:rsidR="007C73A9" w14:paraId="250E27EC" w14:textId="77777777" w:rsidTr="36FF0B9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77440198" w14:textId="2C0F1A65" w:rsidR="007C73A9" w:rsidRDefault="007C73A9" w:rsidP="007C73A9">
            <w:pPr>
              <w:spacing w:before="120" w:after="120"/>
              <w:jc w:val="center"/>
              <w:rPr>
                <w:rFonts w:cs="Arial"/>
              </w:rPr>
            </w:pPr>
            <w:r>
              <w:rPr>
                <w:rFonts w:cs="Arial"/>
              </w:rPr>
              <w:t>Northern Ireland</w:t>
            </w:r>
          </w:p>
        </w:tc>
        <w:tc>
          <w:tcPr>
            <w:tcW w:w="3780" w:type="dxa"/>
          </w:tcPr>
          <w:p w14:paraId="3CFCA21A" w14:textId="77777777" w:rsidR="007C73A9" w:rsidRDefault="007C73A9" w:rsidP="007C73A9">
            <w:pPr>
              <w:cnfStyle w:val="000000100000" w:firstRow="0" w:lastRow="0" w:firstColumn="0" w:lastColumn="0" w:oddVBand="0" w:evenVBand="0" w:oddHBand="1" w:evenHBand="0" w:firstRowFirstColumn="0" w:firstRowLastColumn="0" w:lastRowFirstColumn="0" w:lastRowLastColumn="0"/>
              <w:rPr>
                <w:rFonts w:cs="Arial"/>
              </w:rPr>
            </w:pPr>
            <w:r>
              <w:rPr>
                <w:rFonts w:cs="Arial"/>
              </w:rPr>
              <w:t>KGT1, KGT2, KGT3 and KGT4</w:t>
            </w:r>
            <w:r w:rsidRPr="28FABAEE">
              <w:rPr>
                <w:rFonts w:cs="Arial"/>
              </w:rPr>
              <w:t xml:space="preserve"> are must not run for Security of Supply reasons, except when close to, or in, System Alert.</w:t>
            </w:r>
          </w:p>
          <w:p w14:paraId="06FE2B05" w14:textId="781F5084" w:rsidR="00946A0C" w:rsidRPr="28FABAEE" w:rsidRDefault="00946A0C" w:rsidP="007C73A9">
            <w:pPr>
              <w:cnfStyle w:val="000000100000" w:firstRow="0" w:lastRow="0" w:firstColumn="0" w:lastColumn="0" w:oddVBand="0" w:evenVBand="0" w:oddHBand="1" w:evenHBand="0" w:firstRowFirstColumn="0" w:firstRowLastColumn="0" w:lastRowFirstColumn="0" w:lastRowLastColumn="0"/>
              <w:rPr>
                <w:rFonts w:cs="Arial"/>
              </w:rPr>
            </w:pPr>
            <w:r w:rsidRPr="00946A0C">
              <w:rPr>
                <w:rFonts w:cs="Arial"/>
                <w:color w:val="FF0000"/>
              </w:rPr>
              <w:t>This will be removed from 01/01/2026</w:t>
            </w:r>
            <w:r w:rsidR="00086F5C">
              <w:rPr>
                <w:rFonts w:cs="Arial"/>
                <w:color w:val="FF0000"/>
              </w:rPr>
              <w:t>.</w:t>
            </w:r>
          </w:p>
        </w:tc>
        <w:tc>
          <w:tcPr>
            <w:tcW w:w="2674" w:type="dxa"/>
          </w:tcPr>
          <w:p w14:paraId="5FC50999" w14:textId="4056A25A" w:rsidR="007C73A9" w:rsidRDefault="007C73A9" w:rsidP="007C73A9">
            <w:pPr>
              <w:cnfStyle w:val="000000100000" w:firstRow="0" w:lastRow="0" w:firstColumn="0" w:lastColumn="0" w:oddVBand="0" w:evenVBand="0" w:oddHBand="1" w:evenHBand="0" w:firstRowFirstColumn="0" w:firstRowLastColumn="0" w:lastRowFirstColumn="0" w:lastRowLastColumn="0"/>
            </w:pPr>
            <w:r>
              <w:t>Security of Supply</w:t>
            </w:r>
          </w:p>
        </w:tc>
      </w:tr>
      <w:tr w:rsidR="00566B4D" w14:paraId="09B1D1EB" w14:textId="77777777" w:rsidTr="36FF0B9B">
        <w:trPr>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36F2C2A1" w14:textId="5FAE7193" w:rsidR="00566B4D" w:rsidRDefault="00F75BF5" w:rsidP="007C73A9">
            <w:pPr>
              <w:spacing w:before="120" w:after="120"/>
              <w:jc w:val="center"/>
              <w:rPr>
                <w:rFonts w:cs="Arial"/>
              </w:rPr>
            </w:pPr>
            <w:r>
              <w:rPr>
                <w:rFonts w:cs="Arial"/>
              </w:rPr>
              <w:t>Ireland</w:t>
            </w:r>
            <w:r w:rsidR="00126629">
              <w:rPr>
                <w:rFonts w:cs="Arial"/>
              </w:rPr>
              <w:t xml:space="preserve"> &amp; Northern Ireland</w:t>
            </w:r>
          </w:p>
        </w:tc>
        <w:tc>
          <w:tcPr>
            <w:tcW w:w="3780" w:type="dxa"/>
          </w:tcPr>
          <w:p w14:paraId="1A2169FD" w14:textId="35846B4E" w:rsidR="00566B4D" w:rsidRDefault="00E8482C" w:rsidP="007C73A9">
            <w:pPr>
              <w:cnfStyle w:val="000000000000" w:firstRow="0" w:lastRow="0" w:firstColumn="0" w:lastColumn="0" w:oddVBand="0" w:evenVBand="0" w:oddHBand="0" w:evenHBand="0" w:firstRowFirstColumn="0" w:firstRowLastColumn="0" w:lastRowFirstColumn="0" w:lastRowLastColumn="0"/>
              <w:rPr>
                <w:rFonts w:cs="Arial"/>
              </w:rPr>
            </w:pPr>
            <w:r>
              <w:rPr>
                <w:rFonts w:cs="Arial"/>
              </w:rPr>
              <w:t>SO</w:t>
            </w:r>
            <w:r w:rsidR="00566B4D">
              <w:rPr>
                <w:rFonts w:cs="Arial"/>
              </w:rPr>
              <w:t>-SO trades to be performed</w:t>
            </w:r>
            <w:r w:rsidR="000158C3">
              <w:rPr>
                <w:rFonts w:cs="Arial"/>
              </w:rPr>
              <w:t xml:space="preserve"> on EWIC, Greenlink, and Moyle</w:t>
            </w:r>
            <w:r w:rsidR="00566B4D">
              <w:rPr>
                <w:rFonts w:cs="Arial"/>
              </w:rPr>
              <w:t xml:space="preserve"> to </w:t>
            </w:r>
            <w:r w:rsidR="00126629">
              <w:rPr>
                <w:rFonts w:cs="Arial"/>
              </w:rPr>
              <w:t xml:space="preserve">limit </w:t>
            </w:r>
            <w:r w:rsidR="00566B4D">
              <w:rPr>
                <w:rFonts w:cs="Arial"/>
              </w:rPr>
              <w:t xml:space="preserve">exports </w:t>
            </w:r>
            <w:r>
              <w:rPr>
                <w:rFonts w:cs="Arial"/>
              </w:rPr>
              <w:t>where</w:t>
            </w:r>
            <w:r w:rsidR="00566B4D">
              <w:rPr>
                <w:rFonts w:cs="Arial"/>
              </w:rPr>
              <w:t xml:space="preserve"> </w:t>
            </w:r>
            <w:r>
              <w:rPr>
                <w:rFonts w:cs="Arial"/>
              </w:rPr>
              <w:t>necessary</w:t>
            </w:r>
            <w:r w:rsidR="00566B4D">
              <w:rPr>
                <w:rFonts w:cs="Arial"/>
              </w:rPr>
              <w:t>.</w:t>
            </w:r>
          </w:p>
        </w:tc>
        <w:tc>
          <w:tcPr>
            <w:tcW w:w="2674" w:type="dxa"/>
          </w:tcPr>
          <w:p w14:paraId="0EEBDE0A" w14:textId="1E89E435" w:rsidR="00566B4D" w:rsidRDefault="00566B4D" w:rsidP="007C73A9">
            <w:pPr>
              <w:cnfStyle w:val="000000000000" w:firstRow="0" w:lastRow="0" w:firstColumn="0" w:lastColumn="0" w:oddVBand="0" w:evenVBand="0" w:oddHBand="0" w:evenHBand="0" w:firstRowFirstColumn="0" w:firstRowLastColumn="0" w:lastRowFirstColumn="0" w:lastRowLastColumn="0"/>
            </w:pPr>
            <w:r>
              <w:t>System Stability</w:t>
            </w:r>
          </w:p>
        </w:tc>
      </w:tr>
      <w:tr w:rsidR="00E8482C" w14:paraId="535806BB" w14:textId="77777777" w:rsidTr="36FF0B9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84" w:type="dxa"/>
          </w:tcPr>
          <w:p w14:paraId="7E315C25" w14:textId="7B338019" w:rsidR="00E8482C" w:rsidRDefault="00E8482C" w:rsidP="007C73A9">
            <w:pPr>
              <w:spacing w:before="120" w:after="120"/>
              <w:jc w:val="center"/>
              <w:rPr>
                <w:rFonts w:cs="Arial"/>
              </w:rPr>
            </w:pPr>
            <w:r w:rsidRPr="28FABAEE">
              <w:rPr>
                <w:rFonts w:cs="Arial"/>
              </w:rPr>
              <w:t>Ireland &amp; Northern Ireland</w:t>
            </w:r>
          </w:p>
        </w:tc>
        <w:tc>
          <w:tcPr>
            <w:tcW w:w="3780" w:type="dxa"/>
          </w:tcPr>
          <w:p w14:paraId="0C9DDE4E" w14:textId="404A263E" w:rsidR="00E8482C" w:rsidRDefault="001463FC" w:rsidP="00E8482C">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System wide Battery ESPS** charging not to exceed 200 MW (managed through </w:t>
            </w:r>
            <w:r w:rsidR="001C25AE">
              <w:rPr>
                <w:rFonts w:cs="Arial"/>
              </w:rPr>
              <w:t>D</w:t>
            </w:r>
            <w:r>
              <w:rPr>
                <w:rFonts w:cs="Arial"/>
              </w:rPr>
              <w:t>ispatch)</w:t>
            </w:r>
          </w:p>
          <w:p w14:paraId="1F66144E" w14:textId="77777777" w:rsidR="00E8482C" w:rsidRDefault="00E8482C" w:rsidP="00E8482C">
            <w:pPr>
              <w:cnfStyle w:val="000000100000" w:firstRow="0" w:lastRow="0" w:firstColumn="0" w:lastColumn="0" w:oddVBand="0" w:evenVBand="0" w:oddHBand="1" w:evenHBand="0" w:firstRowFirstColumn="0" w:firstRowLastColumn="0" w:lastRowFirstColumn="0" w:lastRowLastColumn="0"/>
              <w:rPr>
                <w:rFonts w:cs="Arial"/>
              </w:rPr>
            </w:pPr>
          </w:p>
          <w:p w14:paraId="46A8F758" w14:textId="4D3DC0F3" w:rsidR="00E8482C" w:rsidRDefault="00E8482C" w:rsidP="001C25AE">
            <w:pPr>
              <w:cnfStyle w:val="000000100000" w:firstRow="0" w:lastRow="0" w:firstColumn="0" w:lastColumn="0" w:oddVBand="0" w:evenVBand="0" w:oddHBand="1" w:evenHBand="0" w:firstRowFirstColumn="0" w:firstRowLastColumn="0" w:lastRowFirstColumn="0" w:lastRowLastColumn="0"/>
              <w:rPr>
                <w:rFonts w:cs="Arial"/>
              </w:rPr>
            </w:pPr>
            <w:r w:rsidRPr="28FABAEE">
              <w:rPr>
                <w:rFonts w:cs="Arial"/>
              </w:rPr>
              <w:t xml:space="preserve">State of Charge of </w:t>
            </w:r>
            <w:r>
              <w:rPr>
                <w:rFonts w:cs="Arial"/>
              </w:rPr>
              <w:t>B</w:t>
            </w:r>
            <w:r w:rsidRPr="28FABAEE">
              <w:rPr>
                <w:rFonts w:cs="Arial"/>
              </w:rPr>
              <w:t>attery ESPS</w:t>
            </w:r>
            <w:r>
              <w:rPr>
                <w:rFonts w:cs="Arial"/>
              </w:rPr>
              <w:t xml:space="preserve"> </w:t>
            </w:r>
            <w:r w:rsidRPr="28FABAEE">
              <w:rPr>
                <w:rFonts w:cs="Arial"/>
              </w:rPr>
              <w:t>units not to exceed 85% of storage capacit</w:t>
            </w:r>
            <w:r>
              <w:rPr>
                <w:rFonts w:cs="Arial"/>
              </w:rPr>
              <w:t>y</w:t>
            </w:r>
            <w:r w:rsidR="001C25AE">
              <w:rPr>
                <w:rFonts w:cs="Arial"/>
              </w:rPr>
              <w:t xml:space="preserve"> (managed through Dispatch)</w:t>
            </w:r>
            <w:r>
              <w:rPr>
                <w:rFonts w:cs="Arial"/>
              </w:rPr>
              <w:t>.</w:t>
            </w:r>
          </w:p>
        </w:tc>
        <w:tc>
          <w:tcPr>
            <w:tcW w:w="2674" w:type="dxa"/>
          </w:tcPr>
          <w:p w14:paraId="68D004CF" w14:textId="77777777" w:rsidR="00E8482C" w:rsidRDefault="00E8482C" w:rsidP="00E8482C">
            <w:pPr>
              <w:cnfStyle w:val="000000100000" w:firstRow="0" w:lastRow="0" w:firstColumn="0" w:lastColumn="0" w:oddVBand="0" w:evenVBand="0" w:oddHBand="1" w:evenHBand="0" w:firstRowFirstColumn="0" w:firstRowLastColumn="0" w:lastRowFirstColumn="0" w:lastRowLastColumn="0"/>
              <w:rPr>
                <w:rFonts w:cs="Arial"/>
              </w:rPr>
            </w:pPr>
            <w:r>
              <w:t>System Stability</w:t>
            </w:r>
          </w:p>
          <w:p w14:paraId="5B25C734" w14:textId="77777777" w:rsidR="00E8482C" w:rsidRDefault="00E8482C" w:rsidP="007C73A9">
            <w:pPr>
              <w:cnfStyle w:val="000000100000" w:firstRow="0" w:lastRow="0" w:firstColumn="0" w:lastColumn="0" w:oddVBand="0" w:evenVBand="0" w:oddHBand="1" w:evenHBand="0" w:firstRowFirstColumn="0" w:firstRowLastColumn="0" w:lastRowFirstColumn="0" w:lastRowLastColumn="0"/>
            </w:pPr>
          </w:p>
        </w:tc>
      </w:tr>
      <w:tr w:rsidR="00F1532F" w14:paraId="2B81FADA" w14:textId="77777777" w:rsidTr="36FF0B9B">
        <w:trPr>
          <w:trHeight w:val="1134"/>
        </w:trPr>
        <w:tc>
          <w:tcPr>
            <w:cnfStyle w:val="001000000000" w:firstRow="0" w:lastRow="0" w:firstColumn="1" w:lastColumn="0" w:oddVBand="0" w:evenVBand="0" w:oddHBand="0" w:evenHBand="0" w:firstRowFirstColumn="0" w:firstRowLastColumn="0" w:lastRowFirstColumn="0" w:lastRowLastColumn="0"/>
            <w:tcW w:w="9638" w:type="dxa"/>
            <w:gridSpan w:val="3"/>
            <w:shd w:val="clear" w:color="auto" w:fill="auto"/>
          </w:tcPr>
          <w:p w14:paraId="45CC7BC7" w14:textId="77777777" w:rsidR="00326271" w:rsidRDefault="00326271" w:rsidP="00F1532F">
            <w:pPr>
              <w:rPr>
                <w:rFonts w:cs="Arial"/>
              </w:rPr>
            </w:pPr>
          </w:p>
          <w:p w14:paraId="056495B5" w14:textId="32AEC9C4" w:rsidR="00F1532F" w:rsidRDefault="00F1532F" w:rsidP="6A389A11">
            <w:pPr>
              <w:rPr>
                <w:rFonts w:cs="Arial"/>
                <w:b w:val="0"/>
                <w:bCs w:val="0"/>
                <w:color w:val="auto"/>
              </w:rPr>
            </w:pPr>
          </w:p>
          <w:p w14:paraId="4096C2BC" w14:textId="299982D7" w:rsidR="005E2757" w:rsidRDefault="005E2757" w:rsidP="005E2757">
            <w:pPr>
              <w:rPr>
                <w:rFonts w:cs="Arial"/>
              </w:rPr>
            </w:pPr>
            <w:r w:rsidRPr="28FABAEE">
              <w:rPr>
                <w:rFonts w:cs="Arial"/>
                <w:b w:val="0"/>
                <w:bCs w:val="0"/>
                <w:color w:val="auto"/>
              </w:rPr>
              <w:t>*</w:t>
            </w:r>
            <w:r>
              <w:rPr>
                <w:rFonts w:cs="Arial"/>
                <w:b w:val="0"/>
                <w:bCs w:val="0"/>
                <w:color w:val="auto"/>
              </w:rPr>
              <w:t xml:space="preserve">* </w:t>
            </w:r>
            <w:r w:rsidRPr="28FABAEE">
              <w:rPr>
                <w:rFonts w:cs="Arial"/>
                <w:b w:val="0"/>
                <w:bCs w:val="0"/>
                <w:color w:val="auto"/>
              </w:rPr>
              <w:t>Energy Storage Power Station.</w:t>
            </w:r>
          </w:p>
          <w:p w14:paraId="5B8F4F45" w14:textId="49E810D5" w:rsidR="00F1532F" w:rsidRDefault="00F1532F" w:rsidP="00566B4D">
            <w:pPr>
              <w:rPr>
                <w:rFonts w:cs="Arial"/>
                <w:b w:val="0"/>
                <w:bCs w:val="0"/>
                <w:color w:val="auto"/>
              </w:rPr>
            </w:pPr>
          </w:p>
        </w:tc>
      </w:tr>
    </w:tbl>
    <w:bookmarkEnd w:id="1"/>
    <w:bookmarkEnd w:id="2"/>
    <w:p w14:paraId="687182BA" w14:textId="2378ED4C" w:rsidR="00E9141E" w:rsidRPr="00D7043D" w:rsidRDefault="0021428F" w:rsidP="006471D6">
      <w:pPr>
        <w:pStyle w:val="EGStyleGuide-Headline"/>
      </w:pPr>
      <w:r>
        <w:lastRenderedPageBreak/>
        <w:t xml:space="preserve">Long Term Operational Constraints </w:t>
      </w:r>
    </w:p>
    <w:p w14:paraId="0EEEAA07" w14:textId="77777777" w:rsidR="00DD5295" w:rsidRDefault="00DD5295" w:rsidP="006471D6">
      <w:pPr>
        <w:rPr>
          <w:lang w:val="en-US" w:eastAsia="ja-JP"/>
        </w:rPr>
      </w:pPr>
    </w:p>
    <w:p w14:paraId="3ABCDF25" w14:textId="77777777" w:rsidR="00DD5295" w:rsidRPr="00B97D62" w:rsidRDefault="00DD5295" w:rsidP="004F6CB9">
      <w:pPr>
        <w:pStyle w:val="EGStyleGuide-Subheadline"/>
        <w:rPr>
          <w:rFonts w:eastAsia="MS Gothic"/>
        </w:rPr>
      </w:pPr>
      <w:r w:rsidRPr="00B97D62">
        <w:rPr>
          <w:rFonts w:eastAsia="MS Gothic"/>
        </w:rPr>
        <w:t>List of Terms</w:t>
      </w:r>
    </w:p>
    <w:p w14:paraId="7AC97491" w14:textId="77777777" w:rsidR="00DD5295" w:rsidRPr="00B97D62" w:rsidRDefault="00DD5295" w:rsidP="00DD5295">
      <w:pPr>
        <w:spacing w:line="240" w:lineRule="auto"/>
        <w:rPr>
          <w:rFonts w:ascii="Cambria" w:eastAsia="MS Mincho" w:hAnsi="Cambria" w:cs="Times New Roman"/>
          <w:sz w:val="28"/>
          <w:szCs w:val="28"/>
          <w:lang w:val="en-US" w:eastAsia="ja-JP"/>
        </w:rPr>
      </w:pPr>
    </w:p>
    <w:tbl>
      <w:tblPr>
        <w:tblW w:w="9365" w:type="dxa"/>
        <w:tblInd w:w="103" w:type="dxa"/>
        <w:tblLook w:val="04A0" w:firstRow="1" w:lastRow="0" w:firstColumn="1" w:lastColumn="0" w:noHBand="0" w:noVBand="1"/>
      </w:tblPr>
      <w:tblGrid>
        <w:gridCol w:w="845"/>
        <w:gridCol w:w="8520"/>
      </w:tblGrid>
      <w:tr w:rsidR="00DD5295" w:rsidRPr="00B97D62" w14:paraId="4AC86BA0" w14:textId="77777777" w:rsidTr="00760D0D">
        <w:trPr>
          <w:trHeight w:val="298"/>
        </w:trPr>
        <w:tc>
          <w:tcPr>
            <w:tcW w:w="93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D89CE9F" w14:textId="77777777" w:rsidR="00DD5295" w:rsidRPr="006471D6" w:rsidRDefault="00DD5295" w:rsidP="006471D6">
            <w:pPr>
              <w:jc w:val="center"/>
              <w:rPr>
                <w:b/>
                <w:lang w:val="en-US" w:eastAsia="en-IE"/>
              </w:rPr>
            </w:pPr>
            <w:r w:rsidRPr="006471D6">
              <w:rPr>
                <w:b/>
                <w:lang w:val="en-US" w:eastAsia="en-IE"/>
              </w:rPr>
              <w:t>Transmission Constraint Group (TCG) Type</w:t>
            </w:r>
          </w:p>
        </w:tc>
      </w:tr>
      <w:tr w:rsidR="00DD5295" w:rsidRPr="00B97D62" w14:paraId="0371DCBA" w14:textId="77777777" w:rsidTr="00760D0D">
        <w:trPr>
          <w:trHeight w:val="298"/>
        </w:trPr>
        <w:tc>
          <w:tcPr>
            <w:tcW w:w="845" w:type="dxa"/>
            <w:tcBorders>
              <w:top w:val="nil"/>
              <w:left w:val="single" w:sz="4" w:space="0" w:color="auto"/>
              <w:bottom w:val="single" w:sz="4" w:space="0" w:color="auto"/>
              <w:right w:val="single" w:sz="4" w:space="0" w:color="auto"/>
            </w:tcBorders>
            <w:noWrap/>
            <w:vAlign w:val="bottom"/>
            <w:hideMark/>
          </w:tcPr>
          <w:p w14:paraId="05D5A601" w14:textId="77777777" w:rsidR="00DD5295" w:rsidRPr="00B97D62" w:rsidRDefault="00DD5295" w:rsidP="006471D6">
            <w:pPr>
              <w:rPr>
                <w:lang w:val="en-US" w:eastAsia="en-IE"/>
              </w:rPr>
            </w:pPr>
            <w:r w:rsidRPr="00B97D62">
              <w:rPr>
                <w:lang w:val="en-US" w:eastAsia="en-IE"/>
              </w:rPr>
              <w:t>MW</w:t>
            </w:r>
          </w:p>
        </w:tc>
        <w:tc>
          <w:tcPr>
            <w:tcW w:w="8520" w:type="dxa"/>
            <w:tcBorders>
              <w:top w:val="single" w:sz="4" w:space="0" w:color="auto"/>
              <w:left w:val="nil"/>
              <w:bottom w:val="single" w:sz="4" w:space="0" w:color="auto"/>
              <w:right w:val="single" w:sz="4" w:space="0" w:color="auto"/>
            </w:tcBorders>
            <w:noWrap/>
            <w:vAlign w:val="bottom"/>
            <w:hideMark/>
          </w:tcPr>
          <w:p w14:paraId="704E35C6" w14:textId="77777777" w:rsidR="00DD5295" w:rsidRPr="00B97D62" w:rsidRDefault="00DD5295" w:rsidP="006471D6">
            <w:pPr>
              <w:rPr>
                <w:lang w:val="en-US" w:eastAsia="en-IE"/>
              </w:rPr>
            </w:pPr>
            <w:r w:rsidRPr="00B97D62">
              <w:rPr>
                <w:lang w:val="en-US" w:eastAsia="en-IE"/>
              </w:rPr>
              <w:t>Limit MW output of unit or units assigned to a TCG</w:t>
            </w:r>
          </w:p>
        </w:tc>
      </w:tr>
      <w:tr w:rsidR="00DD5295" w:rsidRPr="00B97D62" w14:paraId="2166D0DC" w14:textId="77777777" w:rsidTr="00760D0D">
        <w:trPr>
          <w:trHeight w:val="298"/>
        </w:trPr>
        <w:tc>
          <w:tcPr>
            <w:tcW w:w="845" w:type="dxa"/>
            <w:tcBorders>
              <w:top w:val="nil"/>
              <w:left w:val="single" w:sz="4" w:space="0" w:color="auto"/>
              <w:bottom w:val="single" w:sz="4" w:space="0" w:color="auto"/>
              <w:right w:val="single" w:sz="4" w:space="0" w:color="auto"/>
            </w:tcBorders>
            <w:noWrap/>
            <w:vAlign w:val="bottom"/>
            <w:hideMark/>
          </w:tcPr>
          <w:p w14:paraId="422D7F59" w14:textId="77777777" w:rsidR="00DD5295" w:rsidRPr="00B97D62" w:rsidRDefault="00DD5295" w:rsidP="006471D6">
            <w:pPr>
              <w:rPr>
                <w:lang w:val="en-US" w:eastAsia="en-IE"/>
              </w:rPr>
            </w:pPr>
            <w:r w:rsidRPr="00B97D62">
              <w:rPr>
                <w:lang w:val="en-US" w:eastAsia="en-IE"/>
              </w:rPr>
              <w:t>MWR</w:t>
            </w:r>
          </w:p>
        </w:tc>
        <w:tc>
          <w:tcPr>
            <w:tcW w:w="8520" w:type="dxa"/>
            <w:tcBorders>
              <w:top w:val="single" w:sz="4" w:space="0" w:color="auto"/>
              <w:left w:val="nil"/>
              <w:bottom w:val="single" w:sz="4" w:space="0" w:color="auto"/>
              <w:right w:val="single" w:sz="4" w:space="0" w:color="auto"/>
            </w:tcBorders>
            <w:noWrap/>
            <w:vAlign w:val="bottom"/>
            <w:hideMark/>
          </w:tcPr>
          <w:p w14:paraId="667B4083" w14:textId="77777777" w:rsidR="00DD5295" w:rsidRPr="00B97D62" w:rsidRDefault="00DD5295" w:rsidP="006471D6">
            <w:pPr>
              <w:rPr>
                <w:lang w:val="en-US" w:eastAsia="en-IE"/>
              </w:rPr>
            </w:pPr>
            <w:r w:rsidRPr="00B97D62">
              <w:rPr>
                <w:lang w:val="en-US" w:eastAsia="en-IE"/>
              </w:rPr>
              <w:t>Limits (the total MW + Primary Reserve - the area demand) from assigned resources</w:t>
            </w:r>
          </w:p>
        </w:tc>
      </w:tr>
      <w:tr w:rsidR="00DD5295" w:rsidRPr="00B97D62" w14:paraId="12886EBF" w14:textId="77777777" w:rsidTr="00760D0D">
        <w:trPr>
          <w:trHeight w:val="298"/>
        </w:trPr>
        <w:tc>
          <w:tcPr>
            <w:tcW w:w="845" w:type="dxa"/>
            <w:tcBorders>
              <w:top w:val="nil"/>
              <w:left w:val="single" w:sz="4" w:space="0" w:color="auto"/>
              <w:bottom w:val="single" w:sz="4" w:space="0" w:color="auto"/>
              <w:right w:val="single" w:sz="4" w:space="0" w:color="auto"/>
            </w:tcBorders>
            <w:noWrap/>
            <w:vAlign w:val="bottom"/>
            <w:hideMark/>
          </w:tcPr>
          <w:p w14:paraId="006757A6" w14:textId="77777777" w:rsidR="00DD5295" w:rsidRPr="00B97D62" w:rsidRDefault="00DD5295" w:rsidP="006471D6">
            <w:pPr>
              <w:rPr>
                <w:lang w:val="en-US" w:eastAsia="en-IE"/>
              </w:rPr>
            </w:pPr>
            <w:r w:rsidRPr="00B97D62">
              <w:rPr>
                <w:lang w:val="en-US" w:eastAsia="en-IE"/>
              </w:rPr>
              <w:t>NB</w:t>
            </w:r>
          </w:p>
        </w:tc>
        <w:tc>
          <w:tcPr>
            <w:tcW w:w="8520" w:type="dxa"/>
            <w:tcBorders>
              <w:top w:val="single" w:sz="4" w:space="0" w:color="auto"/>
              <w:left w:val="nil"/>
              <w:bottom w:val="single" w:sz="4" w:space="0" w:color="auto"/>
              <w:right w:val="single" w:sz="4" w:space="0" w:color="auto"/>
            </w:tcBorders>
            <w:noWrap/>
            <w:vAlign w:val="bottom"/>
            <w:hideMark/>
          </w:tcPr>
          <w:p w14:paraId="179A38F9" w14:textId="77777777" w:rsidR="00DD5295" w:rsidRPr="00B97D62" w:rsidRDefault="00DD5295" w:rsidP="006471D6">
            <w:pPr>
              <w:rPr>
                <w:lang w:val="en-US" w:eastAsia="en-IE"/>
              </w:rPr>
            </w:pPr>
            <w:r w:rsidRPr="00B97D62">
              <w:rPr>
                <w:lang w:val="en-US" w:eastAsia="en-IE"/>
              </w:rPr>
              <w:t>Limit to the status (On/Off) of the unit or units assigned to a TCG</w:t>
            </w:r>
          </w:p>
        </w:tc>
      </w:tr>
    </w:tbl>
    <w:p w14:paraId="170D3F68" w14:textId="77777777" w:rsidR="00DD5295" w:rsidRPr="00B97D62" w:rsidRDefault="00DD5295" w:rsidP="006471D6">
      <w:pPr>
        <w:rPr>
          <w:rFonts w:eastAsia="MS Mincho" w:cs="Times New Roman"/>
          <w:sz w:val="28"/>
          <w:szCs w:val="28"/>
          <w:lang w:val="en-US" w:eastAsia="ja-JP"/>
        </w:rPr>
      </w:pPr>
    </w:p>
    <w:tbl>
      <w:tblPr>
        <w:tblW w:w="9365" w:type="dxa"/>
        <w:tblInd w:w="103" w:type="dxa"/>
        <w:tblLook w:val="04A0" w:firstRow="1" w:lastRow="0" w:firstColumn="1" w:lastColumn="0" w:noHBand="0" w:noVBand="1"/>
      </w:tblPr>
      <w:tblGrid>
        <w:gridCol w:w="428"/>
        <w:gridCol w:w="8937"/>
      </w:tblGrid>
      <w:tr w:rsidR="00DD5295" w:rsidRPr="00B97D62" w14:paraId="09B732B3" w14:textId="77777777" w:rsidTr="00760D0D">
        <w:trPr>
          <w:trHeight w:val="294"/>
        </w:trPr>
        <w:tc>
          <w:tcPr>
            <w:tcW w:w="936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2463048" w14:textId="77777777" w:rsidR="00DD5295" w:rsidRPr="006471D6" w:rsidRDefault="00DD5295" w:rsidP="006471D6">
            <w:pPr>
              <w:jc w:val="center"/>
              <w:rPr>
                <w:b/>
                <w:lang w:val="en-US" w:eastAsia="en-IE"/>
              </w:rPr>
            </w:pPr>
            <w:r w:rsidRPr="006471D6">
              <w:rPr>
                <w:b/>
                <w:lang w:val="en-US" w:eastAsia="en-IE"/>
              </w:rPr>
              <w:t>Limit Flag</w:t>
            </w:r>
          </w:p>
        </w:tc>
      </w:tr>
      <w:tr w:rsidR="00DD5295" w:rsidRPr="00B97D62" w14:paraId="4083D123" w14:textId="77777777" w:rsidTr="00760D0D">
        <w:trPr>
          <w:trHeight w:val="294"/>
        </w:trPr>
        <w:tc>
          <w:tcPr>
            <w:tcW w:w="428" w:type="dxa"/>
            <w:tcBorders>
              <w:top w:val="nil"/>
              <w:left w:val="single" w:sz="4" w:space="0" w:color="auto"/>
              <w:bottom w:val="single" w:sz="4" w:space="0" w:color="auto"/>
              <w:right w:val="single" w:sz="4" w:space="0" w:color="auto"/>
            </w:tcBorders>
            <w:noWrap/>
            <w:vAlign w:val="bottom"/>
            <w:hideMark/>
          </w:tcPr>
          <w:p w14:paraId="5420C256" w14:textId="77777777" w:rsidR="00DD5295" w:rsidRPr="00B97D62" w:rsidRDefault="00DD5295" w:rsidP="006471D6">
            <w:pPr>
              <w:rPr>
                <w:lang w:val="en-US" w:eastAsia="en-IE"/>
              </w:rPr>
            </w:pPr>
            <w:r w:rsidRPr="00B97D62">
              <w:rPr>
                <w:lang w:val="en-US" w:eastAsia="en-IE"/>
              </w:rPr>
              <w:t>E</w:t>
            </w:r>
          </w:p>
        </w:tc>
        <w:tc>
          <w:tcPr>
            <w:tcW w:w="8937" w:type="dxa"/>
            <w:tcBorders>
              <w:top w:val="single" w:sz="4" w:space="0" w:color="auto"/>
              <w:left w:val="nil"/>
              <w:bottom w:val="single" w:sz="4" w:space="0" w:color="auto"/>
              <w:right w:val="single" w:sz="4" w:space="0" w:color="auto"/>
            </w:tcBorders>
            <w:noWrap/>
            <w:vAlign w:val="bottom"/>
            <w:hideMark/>
          </w:tcPr>
          <w:p w14:paraId="07CC37C2" w14:textId="77777777" w:rsidR="00DD5295" w:rsidRPr="00B97D62" w:rsidRDefault="00DD5295" w:rsidP="006471D6">
            <w:pPr>
              <w:rPr>
                <w:lang w:val="en-US" w:eastAsia="en-IE"/>
              </w:rPr>
            </w:pPr>
            <w:r w:rsidRPr="00B97D62">
              <w:rPr>
                <w:lang w:val="en-US" w:eastAsia="en-IE"/>
              </w:rPr>
              <w:t>Equality Constraint (generation = load)</w:t>
            </w:r>
          </w:p>
        </w:tc>
      </w:tr>
      <w:tr w:rsidR="00DD5295" w:rsidRPr="00B97D62" w14:paraId="48FE4C2A" w14:textId="77777777" w:rsidTr="00760D0D">
        <w:trPr>
          <w:trHeight w:val="294"/>
        </w:trPr>
        <w:tc>
          <w:tcPr>
            <w:tcW w:w="428" w:type="dxa"/>
            <w:tcBorders>
              <w:top w:val="nil"/>
              <w:left w:val="single" w:sz="4" w:space="0" w:color="auto"/>
              <w:bottom w:val="single" w:sz="4" w:space="0" w:color="auto"/>
              <w:right w:val="single" w:sz="4" w:space="0" w:color="auto"/>
            </w:tcBorders>
            <w:noWrap/>
            <w:vAlign w:val="bottom"/>
            <w:hideMark/>
          </w:tcPr>
          <w:p w14:paraId="1BFB0661" w14:textId="77777777" w:rsidR="00DD5295" w:rsidRPr="00B97D62" w:rsidRDefault="00DD5295" w:rsidP="006471D6">
            <w:pPr>
              <w:rPr>
                <w:lang w:val="en-US" w:eastAsia="en-IE"/>
              </w:rPr>
            </w:pPr>
            <w:r w:rsidRPr="00B97D62">
              <w:rPr>
                <w:lang w:val="en-US" w:eastAsia="en-IE"/>
              </w:rPr>
              <w:t>X</w:t>
            </w:r>
          </w:p>
        </w:tc>
        <w:tc>
          <w:tcPr>
            <w:tcW w:w="8937" w:type="dxa"/>
            <w:tcBorders>
              <w:top w:val="single" w:sz="4" w:space="0" w:color="auto"/>
              <w:left w:val="nil"/>
              <w:bottom w:val="single" w:sz="4" w:space="0" w:color="auto"/>
              <w:right w:val="single" w:sz="4" w:space="0" w:color="auto"/>
            </w:tcBorders>
            <w:noWrap/>
            <w:vAlign w:val="bottom"/>
            <w:hideMark/>
          </w:tcPr>
          <w:p w14:paraId="083088D7" w14:textId="77777777" w:rsidR="00DD5295" w:rsidRPr="00B97D62" w:rsidRDefault="00DD5295" w:rsidP="006471D6">
            <w:pPr>
              <w:rPr>
                <w:lang w:val="en-US" w:eastAsia="en-IE"/>
              </w:rPr>
            </w:pPr>
            <w:r w:rsidRPr="00B97D62">
              <w:rPr>
                <w:lang w:val="en-US" w:eastAsia="en-IE"/>
              </w:rPr>
              <w:t>Export Constraint - limit output of a group of units &lt;= max limit</w:t>
            </w:r>
          </w:p>
        </w:tc>
      </w:tr>
      <w:tr w:rsidR="00DD5295" w:rsidRPr="00B97D62" w14:paraId="0DBD4171" w14:textId="77777777" w:rsidTr="00760D0D">
        <w:trPr>
          <w:trHeight w:val="294"/>
        </w:trPr>
        <w:tc>
          <w:tcPr>
            <w:tcW w:w="428" w:type="dxa"/>
            <w:tcBorders>
              <w:top w:val="nil"/>
              <w:left w:val="single" w:sz="4" w:space="0" w:color="auto"/>
              <w:bottom w:val="single" w:sz="4" w:space="0" w:color="auto"/>
              <w:right w:val="single" w:sz="4" w:space="0" w:color="auto"/>
            </w:tcBorders>
            <w:noWrap/>
            <w:vAlign w:val="bottom"/>
            <w:hideMark/>
          </w:tcPr>
          <w:p w14:paraId="5EBCB99A" w14:textId="77777777" w:rsidR="00DD5295" w:rsidRPr="00B97D62" w:rsidRDefault="00DD5295" w:rsidP="006471D6">
            <w:pPr>
              <w:rPr>
                <w:lang w:val="en-US" w:eastAsia="en-IE"/>
              </w:rPr>
            </w:pPr>
            <w:r w:rsidRPr="00B97D62">
              <w:rPr>
                <w:lang w:val="en-US" w:eastAsia="en-IE"/>
              </w:rPr>
              <w:t>N</w:t>
            </w:r>
          </w:p>
        </w:tc>
        <w:tc>
          <w:tcPr>
            <w:tcW w:w="8937" w:type="dxa"/>
            <w:tcBorders>
              <w:top w:val="single" w:sz="4" w:space="0" w:color="auto"/>
              <w:left w:val="nil"/>
              <w:bottom w:val="single" w:sz="4" w:space="0" w:color="auto"/>
              <w:right w:val="single" w:sz="4" w:space="0" w:color="auto"/>
            </w:tcBorders>
            <w:noWrap/>
            <w:vAlign w:val="bottom"/>
            <w:hideMark/>
          </w:tcPr>
          <w:p w14:paraId="09293AB1" w14:textId="77777777" w:rsidR="00DD5295" w:rsidRPr="00B97D62" w:rsidRDefault="00DD5295" w:rsidP="006471D6">
            <w:pPr>
              <w:rPr>
                <w:lang w:val="en-US" w:eastAsia="en-IE"/>
              </w:rPr>
            </w:pPr>
            <w:r w:rsidRPr="00B97D62">
              <w:rPr>
                <w:lang w:val="en-US" w:eastAsia="en-IE"/>
              </w:rPr>
              <w:t>Import Constraint - limit output of a group of units &gt;= min limit</w:t>
            </w:r>
          </w:p>
        </w:tc>
      </w:tr>
      <w:tr w:rsidR="00DD5295" w:rsidRPr="00B97D62" w14:paraId="7FF4F280" w14:textId="77777777" w:rsidTr="00760D0D">
        <w:trPr>
          <w:trHeight w:val="294"/>
        </w:trPr>
        <w:tc>
          <w:tcPr>
            <w:tcW w:w="428" w:type="dxa"/>
            <w:tcBorders>
              <w:top w:val="nil"/>
              <w:left w:val="single" w:sz="4" w:space="0" w:color="auto"/>
              <w:bottom w:val="single" w:sz="4" w:space="0" w:color="auto"/>
              <w:right w:val="single" w:sz="4" w:space="0" w:color="auto"/>
            </w:tcBorders>
            <w:noWrap/>
            <w:vAlign w:val="bottom"/>
            <w:hideMark/>
          </w:tcPr>
          <w:p w14:paraId="308434D0" w14:textId="77777777" w:rsidR="00DD5295" w:rsidRPr="00B97D62" w:rsidRDefault="00DD5295" w:rsidP="006471D6">
            <w:pPr>
              <w:rPr>
                <w:lang w:val="en-US" w:eastAsia="en-IE"/>
              </w:rPr>
            </w:pPr>
            <w:r w:rsidRPr="00B97D62">
              <w:rPr>
                <w:lang w:val="en-US" w:eastAsia="en-IE"/>
              </w:rPr>
              <w:t>B</w:t>
            </w:r>
          </w:p>
        </w:tc>
        <w:tc>
          <w:tcPr>
            <w:tcW w:w="8937" w:type="dxa"/>
            <w:tcBorders>
              <w:top w:val="single" w:sz="4" w:space="0" w:color="auto"/>
              <w:left w:val="nil"/>
              <w:bottom w:val="single" w:sz="4" w:space="0" w:color="auto"/>
              <w:right w:val="single" w:sz="4" w:space="0" w:color="auto"/>
            </w:tcBorders>
            <w:noWrap/>
            <w:vAlign w:val="bottom"/>
            <w:hideMark/>
          </w:tcPr>
          <w:p w14:paraId="5AEAE235" w14:textId="77777777" w:rsidR="00DD5295" w:rsidRPr="00B97D62" w:rsidRDefault="00DD5295" w:rsidP="006471D6">
            <w:pPr>
              <w:rPr>
                <w:lang w:val="en-US" w:eastAsia="en-IE"/>
              </w:rPr>
            </w:pPr>
            <w:r w:rsidRPr="00B97D62">
              <w:rPr>
                <w:lang w:val="en-US" w:eastAsia="en-IE"/>
              </w:rPr>
              <w:t>In-between Constraint; &gt;= min and &lt;= max</w:t>
            </w:r>
          </w:p>
        </w:tc>
      </w:tr>
    </w:tbl>
    <w:p w14:paraId="74FD76A0" w14:textId="77777777" w:rsidR="00DD5295" w:rsidRDefault="00DD5295" w:rsidP="006471D6">
      <w:pPr>
        <w:rPr>
          <w:lang w:val="en-US" w:eastAsia="ja-JP"/>
        </w:rPr>
      </w:pPr>
    </w:p>
    <w:p w14:paraId="78393F15" w14:textId="77777777" w:rsidR="00C8651E" w:rsidRPr="00C8651E" w:rsidRDefault="00C8651E" w:rsidP="006471D6">
      <w:pPr>
        <w:rPr>
          <w:lang w:val="en-US" w:eastAsia="ja-JP"/>
        </w:rPr>
      </w:pPr>
      <w:r w:rsidRPr="00C8651E">
        <w:rPr>
          <w:lang w:val="en-US" w:eastAsia="ja-JP"/>
        </w:rPr>
        <w:t xml:space="preserve">The following tables set out the system constraints:  </w:t>
      </w:r>
    </w:p>
    <w:p w14:paraId="47360011" w14:textId="7BD57898" w:rsidR="00C8651E" w:rsidRPr="0021428F" w:rsidRDefault="00C8651E" w:rsidP="006471D6">
      <w:pPr>
        <w:pStyle w:val="ListParagraph"/>
        <w:numPr>
          <w:ilvl w:val="0"/>
          <w:numId w:val="14"/>
        </w:numPr>
        <w:rPr>
          <w:lang w:val="en-GB" w:eastAsia="en-GB"/>
        </w:rPr>
      </w:pPr>
      <w:r w:rsidRPr="0021428F">
        <w:rPr>
          <w:lang w:val="en-GB" w:eastAsia="en-GB"/>
        </w:rPr>
        <w:t>Active System Wide Constraints</w:t>
      </w:r>
      <w:r w:rsidR="00CE603F">
        <w:rPr>
          <w:lang w:val="en-GB" w:eastAsia="en-GB"/>
        </w:rPr>
        <w:t>,</w:t>
      </w:r>
      <w:r w:rsidRPr="0021428F">
        <w:rPr>
          <w:lang w:val="en-GB" w:eastAsia="en-GB"/>
        </w:rPr>
        <w:t xml:space="preserve"> </w:t>
      </w:r>
    </w:p>
    <w:p w14:paraId="7DAD5454" w14:textId="77777777" w:rsidR="00C8651E" w:rsidRPr="00DD5295" w:rsidRDefault="00C8651E" w:rsidP="006471D6">
      <w:pPr>
        <w:pStyle w:val="ListParagraph"/>
        <w:numPr>
          <w:ilvl w:val="0"/>
          <w:numId w:val="14"/>
        </w:numPr>
        <w:rPr>
          <w:lang w:val="en-GB" w:eastAsia="en-GB"/>
        </w:rPr>
      </w:pPr>
      <w:r w:rsidRPr="00DD5295">
        <w:rPr>
          <w:lang w:val="en-GB" w:eastAsia="en-GB"/>
        </w:rPr>
        <w:t xml:space="preserve">Active Northern Ireland Constraints, and </w:t>
      </w:r>
    </w:p>
    <w:p w14:paraId="7D8917A4" w14:textId="77777777" w:rsidR="00C8651E" w:rsidRPr="0021428F" w:rsidRDefault="00C8651E" w:rsidP="006471D6">
      <w:pPr>
        <w:pStyle w:val="ListParagraph"/>
        <w:numPr>
          <w:ilvl w:val="0"/>
          <w:numId w:val="14"/>
        </w:numPr>
        <w:rPr>
          <w:lang w:val="en-GB" w:eastAsia="en-GB"/>
        </w:rPr>
      </w:pPr>
      <w:r w:rsidRPr="00027DB4">
        <w:rPr>
          <w:lang w:val="en-GB" w:eastAsia="en-GB"/>
        </w:rPr>
        <w:t xml:space="preserve">Active Ireland Constraints. </w:t>
      </w:r>
    </w:p>
    <w:p w14:paraId="0F5CFBF9" w14:textId="77777777" w:rsidR="00C8651E" w:rsidRPr="00C8651E" w:rsidRDefault="00C8651E" w:rsidP="006471D6">
      <w:pPr>
        <w:rPr>
          <w:lang w:val="en-US" w:eastAsia="ja-JP"/>
        </w:rPr>
      </w:pPr>
    </w:p>
    <w:p w14:paraId="0235CE6F" w14:textId="77777777" w:rsidR="00E9141E" w:rsidRDefault="00C8651E" w:rsidP="006471D6">
      <w:pPr>
        <w:rPr>
          <w:rFonts w:cs="Times New Roman"/>
          <w:sz w:val="28"/>
          <w:szCs w:val="28"/>
          <w:lang w:val="en-US" w:eastAsia="ja-JP"/>
        </w:rPr>
      </w:pPr>
      <w:r w:rsidRPr="00C8651E">
        <w:rPr>
          <w:lang w:val="en-US" w:eastAsia="ja-JP"/>
        </w:rPr>
        <w:t>Note that the limits specified in each table represent the normal intact transmission network limit. These limits may vary from time to time due to changing system conditions.</w:t>
      </w:r>
      <w:bookmarkStart w:id="3" w:name="_Toc67669754"/>
    </w:p>
    <w:p w14:paraId="02AD028D" w14:textId="1F76E0DB" w:rsidR="00E9141E" w:rsidRDefault="00400334" w:rsidP="008937B3">
      <w:pPr>
        <w:spacing w:after="200"/>
        <w:rPr>
          <w:rFonts w:ascii="Cambria" w:eastAsia="MS Mincho" w:hAnsi="Cambria" w:cs="Times New Roman"/>
          <w:sz w:val="28"/>
          <w:szCs w:val="28"/>
          <w:lang w:val="en-US" w:eastAsia="ja-JP"/>
        </w:rPr>
      </w:pPr>
      <w:r>
        <w:rPr>
          <w:rFonts w:ascii="Cambria" w:eastAsia="MS Mincho" w:hAnsi="Cambria" w:cs="Times New Roman"/>
          <w:sz w:val="28"/>
          <w:szCs w:val="28"/>
          <w:lang w:val="en-US" w:eastAsia="ja-JP"/>
        </w:rPr>
        <w:br w:type="page"/>
      </w:r>
    </w:p>
    <w:p w14:paraId="61B95C88" w14:textId="7FABCE08" w:rsidR="00C8651E" w:rsidRDefault="00C8651E" w:rsidP="004F6CB9">
      <w:pPr>
        <w:pStyle w:val="EGStyleGuide-Subheadline"/>
        <w:rPr>
          <w:rFonts w:eastAsia="MS Gothic"/>
        </w:rPr>
      </w:pPr>
      <w:r w:rsidRPr="00C8651E">
        <w:rPr>
          <w:rFonts w:eastAsia="MS Gothic"/>
        </w:rPr>
        <w:lastRenderedPageBreak/>
        <w:t>Active System Wide Constraints</w:t>
      </w:r>
      <w:bookmarkEnd w:id="3"/>
    </w:p>
    <w:p w14:paraId="0C770330" w14:textId="679489E4" w:rsidR="0081659D" w:rsidRDefault="0081659D" w:rsidP="00920BD7">
      <w:pPr>
        <w:pStyle w:val="ListParagraph"/>
        <w:numPr>
          <w:ilvl w:val="0"/>
          <w:numId w:val="17"/>
        </w:numPr>
        <w:rPr>
          <w:lang w:val="en-GB" w:eastAsia="en-GB"/>
        </w:rPr>
      </w:pPr>
      <w:r w:rsidRPr="004B37E1">
        <w:rPr>
          <w:lang w:val="en-GB" w:eastAsia="en-GB"/>
        </w:rPr>
        <w:t>Scenario A: In this scenario if PBA or PBB are operating in combined cycle mode they will be considered as constraint resources</w:t>
      </w:r>
    </w:p>
    <w:p w14:paraId="5016957F" w14:textId="140FE917" w:rsidR="003634A0" w:rsidRPr="00920BD7" w:rsidRDefault="003634A0" w:rsidP="00920BD7">
      <w:pPr>
        <w:pStyle w:val="ListParagraph"/>
        <w:numPr>
          <w:ilvl w:val="0"/>
          <w:numId w:val="17"/>
        </w:numPr>
        <w:rPr>
          <w:lang w:val="en-GB" w:eastAsia="en-GB"/>
        </w:rPr>
      </w:pPr>
      <w:r>
        <w:rPr>
          <w:lang w:val="en-GB" w:eastAsia="en-GB"/>
        </w:rPr>
        <w:t xml:space="preserve">Note that </w:t>
      </w:r>
      <w:r w:rsidR="001F0151">
        <w:rPr>
          <w:lang w:val="en-GB" w:eastAsia="en-GB"/>
        </w:rPr>
        <w:t xml:space="preserve">the SNSP calculation has been updated to incorporate small scale embedded </w:t>
      </w:r>
      <w:r w:rsidR="00CE603F">
        <w:rPr>
          <w:lang w:val="en-GB" w:eastAsia="en-GB"/>
        </w:rPr>
        <w:t>PV and</w:t>
      </w:r>
      <w:r w:rsidR="001F0151">
        <w:rPr>
          <w:lang w:val="en-GB" w:eastAsia="en-GB"/>
        </w:rPr>
        <w:t xml:space="preserve"> refine</w:t>
      </w:r>
      <w:r w:rsidR="00DF3A97">
        <w:rPr>
          <w:lang w:val="en-GB" w:eastAsia="en-GB"/>
        </w:rPr>
        <w:t xml:space="preserve"> to</w:t>
      </w:r>
      <w:r w:rsidR="009F2D10">
        <w:rPr>
          <w:lang w:val="en-GB" w:eastAsia="en-GB"/>
        </w:rPr>
        <w:t xml:space="preserve"> the</w:t>
      </w:r>
      <w:r w:rsidR="001F0151">
        <w:rPr>
          <w:lang w:val="en-GB" w:eastAsia="en-GB"/>
        </w:rPr>
        <w:t xml:space="preserve"> treatment </w:t>
      </w:r>
      <w:r w:rsidR="00BB2A10">
        <w:rPr>
          <w:lang w:val="en-GB" w:eastAsia="en-GB"/>
        </w:rPr>
        <w:t>of BESS units and HVDC</w:t>
      </w:r>
      <w:r w:rsidR="00536B80">
        <w:rPr>
          <w:lang w:val="en-GB" w:eastAsia="en-GB"/>
        </w:rPr>
        <w:t xml:space="preserve"> interconnector</w:t>
      </w:r>
      <w:r w:rsidR="00BB2A10">
        <w:rPr>
          <w:lang w:val="en-GB" w:eastAsia="en-GB"/>
        </w:rPr>
        <w:t xml:space="preserve"> flows</w:t>
      </w:r>
      <w:r w:rsidR="00F853B1">
        <w:rPr>
          <w:lang w:val="en-GB" w:eastAsia="en-GB"/>
        </w:rPr>
        <w:t>.</w:t>
      </w:r>
      <w:r w:rsidR="00E56991">
        <w:rPr>
          <w:lang w:val="en-GB" w:eastAsia="en-GB"/>
        </w:rPr>
        <w:t xml:space="preserve"> </w:t>
      </w:r>
      <w:r w:rsidR="00F853B1">
        <w:rPr>
          <w:lang w:val="en-GB" w:eastAsia="en-GB"/>
        </w:rPr>
        <w:t>This update is</w:t>
      </w:r>
      <w:r w:rsidR="00BB2A10">
        <w:rPr>
          <w:lang w:val="en-GB" w:eastAsia="en-GB"/>
        </w:rPr>
        <w:t xml:space="preserve"> on a trial basis from 12/05/25.</w:t>
      </w:r>
      <w:r w:rsidR="00570739">
        <w:rPr>
          <w:lang w:val="en-GB" w:eastAsia="en-GB"/>
        </w:rPr>
        <w:t xml:space="preserve"> </w:t>
      </w:r>
    </w:p>
    <w:p w14:paraId="1F1FB33C" w14:textId="77777777" w:rsidR="00C8651E" w:rsidRPr="00C8651E" w:rsidRDefault="00C8651E" w:rsidP="00C8651E">
      <w:pPr>
        <w:spacing w:line="240" w:lineRule="auto"/>
        <w:rPr>
          <w:rFonts w:ascii="Cambria" w:eastAsia="MS Mincho" w:hAnsi="Cambria" w:cs="Times New Roman"/>
          <w:sz w:val="28"/>
          <w:szCs w:val="28"/>
          <w:lang w:val="en-US" w:eastAsia="ja-JP"/>
        </w:rPr>
      </w:pPr>
    </w:p>
    <w:tbl>
      <w:tblPr>
        <w:tblW w:w="5091" w:type="pct"/>
        <w:tblLayout w:type="fixed"/>
        <w:tblLook w:val="04A0" w:firstRow="1" w:lastRow="0" w:firstColumn="1" w:lastColumn="0" w:noHBand="0" w:noVBand="1"/>
      </w:tblPr>
      <w:tblGrid>
        <w:gridCol w:w="1776"/>
        <w:gridCol w:w="767"/>
        <w:gridCol w:w="637"/>
        <w:gridCol w:w="1293"/>
        <w:gridCol w:w="2279"/>
        <w:gridCol w:w="2758"/>
      </w:tblGrid>
      <w:tr w:rsidR="00C8651E" w:rsidRPr="00DD5295" w14:paraId="4C716A45" w14:textId="77777777" w:rsidTr="2961FA0B">
        <w:trPr>
          <w:trHeight w:val="615"/>
        </w:trPr>
        <w:tc>
          <w:tcPr>
            <w:tcW w:w="9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hideMark/>
          </w:tcPr>
          <w:p w14:paraId="1E2BD8D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Name</w:t>
            </w:r>
          </w:p>
        </w:tc>
        <w:tc>
          <w:tcPr>
            <w:tcW w:w="403" w:type="pct"/>
            <w:tcBorders>
              <w:top w:val="single" w:sz="8" w:space="0" w:color="FFFFFF" w:themeColor="background1"/>
              <w:left w:val="nil"/>
              <w:bottom w:val="single" w:sz="8" w:space="0" w:color="FFFFFF" w:themeColor="background1"/>
              <w:right w:val="single" w:sz="8" w:space="0" w:color="FFFFFF" w:themeColor="background1"/>
            </w:tcBorders>
            <w:shd w:val="clear" w:color="auto" w:fill="943634" w:themeFill="accent2" w:themeFillShade="BF"/>
            <w:hideMark/>
          </w:tcPr>
          <w:p w14:paraId="132B8ED9"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TCG Type</w:t>
            </w:r>
          </w:p>
        </w:tc>
        <w:tc>
          <w:tcPr>
            <w:tcW w:w="335" w:type="pct"/>
            <w:tcBorders>
              <w:top w:val="single" w:sz="8" w:space="0" w:color="FFFFFF" w:themeColor="background1"/>
              <w:left w:val="nil"/>
              <w:bottom w:val="single" w:sz="8" w:space="0" w:color="FFFFFF" w:themeColor="background1"/>
              <w:right w:val="single" w:sz="8" w:space="0" w:color="FFFFFF" w:themeColor="background1"/>
            </w:tcBorders>
            <w:shd w:val="clear" w:color="auto" w:fill="943634" w:themeFill="accent2" w:themeFillShade="BF"/>
            <w:hideMark/>
          </w:tcPr>
          <w:p w14:paraId="0913D847"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 Type</w:t>
            </w:r>
          </w:p>
        </w:tc>
        <w:tc>
          <w:tcPr>
            <w:tcW w:w="680" w:type="pct"/>
            <w:tcBorders>
              <w:top w:val="single" w:sz="8" w:space="0" w:color="FFFFFF" w:themeColor="background1"/>
              <w:left w:val="nil"/>
              <w:bottom w:val="single" w:sz="8" w:space="0" w:color="FFFFFF" w:themeColor="background1"/>
              <w:right w:val="single" w:sz="8" w:space="0" w:color="FFFFFF" w:themeColor="background1"/>
            </w:tcBorders>
            <w:shd w:val="clear" w:color="auto" w:fill="943634" w:themeFill="accent2" w:themeFillShade="BF"/>
            <w:hideMark/>
          </w:tcPr>
          <w:p w14:paraId="595CCD2B"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w:t>
            </w:r>
          </w:p>
        </w:tc>
        <w:tc>
          <w:tcPr>
            <w:tcW w:w="1198" w:type="pct"/>
            <w:tcBorders>
              <w:top w:val="single" w:sz="8" w:space="0" w:color="FFFFFF" w:themeColor="background1"/>
              <w:left w:val="nil"/>
              <w:bottom w:val="single" w:sz="8" w:space="0" w:color="FFFFFF" w:themeColor="background1"/>
              <w:right w:val="single" w:sz="8" w:space="0" w:color="FFFFFF" w:themeColor="background1"/>
            </w:tcBorders>
            <w:shd w:val="clear" w:color="auto" w:fill="943634" w:themeFill="accent2" w:themeFillShade="BF"/>
            <w:hideMark/>
          </w:tcPr>
          <w:p w14:paraId="5837DF5C"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MS Mincho" w:cs="Arial"/>
                <w:b/>
                <w:bCs/>
                <w:color w:val="FFFFFF"/>
                <w:sz w:val="20"/>
                <w:szCs w:val="20"/>
                <w:lang w:val="en-US" w:eastAsia="ja-JP"/>
              </w:rPr>
              <w:t>Resources</w:t>
            </w:r>
          </w:p>
        </w:tc>
        <w:tc>
          <w:tcPr>
            <w:tcW w:w="1450" w:type="pct"/>
            <w:tcBorders>
              <w:top w:val="single" w:sz="8" w:space="0" w:color="FFFFFF" w:themeColor="background1"/>
              <w:left w:val="nil"/>
              <w:bottom w:val="single" w:sz="8" w:space="0" w:color="FFFFFF" w:themeColor="background1"/>
              <w:right w:val="single" w:sz="8" w:space="0" w:color="FFFFFF" w:themeColor="background1"/>
            </w:tcBorders>
            <w:shd w:val="clear" w:color="auto" w:fill="943634" w:themeFill="accent2" w:themeFillShade="BF"/>
            <w:hideMark/>
          </w:tcPr>
          <w:p w14:paraId="7280A61C"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Description</w:t>
            </w:r>
          </w:p>
        </w:tc>
      </w:tr>
      <w:tr w:rsidR="00C8651E" w:rsidRPr="00DD5295" w14:paraId="327348E9" w14:textId="77777777" w:rsidTr="2961FA0B">
        <w:trPr>
          <w:trHeight w:val="2580"/>
        </w:trPr>
        <w:tc>
          <w:tcPr>
            <w:tcW w:w="934" w:type="pct"/>
            <w:tcBorders>
              <w:top w:val="nil"/>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hideMark/>
          </w:tcPr>
          <w:p w14:paraId="3606BAB3"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Inter-Area Flow</w:t>
            </w:r>
          </w:p>
          <w:p w14:paraId="3B353281" w14:textId="77777777" w:rsidR="00C8651E" w:rsidRPr="006471D6" w:rsidRDefault="00C8651E" w:rsidP="00C8651E">
            <w:pPr>
              <w:spacing w:line="240" w:lineRule="auto"/>
              <w:rPr>
                <w:rFonts w:eastAsia="Times New Roman" w:cs="Arial"/>
                <w:b/>
                <w:bCs/>
                <w:color w:val="FFFFFF"/>
                <w:sz w:val="20"/>
                <w:szCs w:val="20"/>
                <w:lang w:val="en-US" w:eastAsia="en-IE"/>
              </w:rPr>
            </w:pPr>
          </w:p>
          <w:p w14:paraId="02DF51AA"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(S_MWR_ROI)</w:t>
            </w:r>
          </w:p>
        </w:tc>
        <w:tc>
          <w:tcPr>
            <w:tcW w:w="403" w:type="pct"/>
            <w:tcBorders>
              <w:top w:val="nil"/>
              <w:left w:val="nil"/>
              <w:bottom w:val="nil"/>
              <w:right w:val="single" w:sz="8" w:space="0" w:color="FFFFFF" w:themeColor="background1"/>
            </w:tcBorders>
            <w:shd w:val="clear" w:color="auto" w:fill="E5B8B7" w:themeFill="accent2" w:themeFillTint="66"/>
            <w:hideMark/>
          </w:tcPr>
          <w:p w14:paraId="4C4C8F38"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MWR</w:t>
            </w:r>
          </w:p>
        </w:tc>
        <w:tc>
          <w:tcPr>
            <w:tcW w:w="335" w:type="pct"/>
            <w:tcBorders>
              <w:top w:val="nil"/>
              <w:left w:val="nil"/>
              <w:bottom w:val="nil"/>
              <w:right w:val="single" w:sz="8" w:space="0" w:color="FFFFFF" w:themeColor="background1"/>
            </w:tcBorders>
            <w:shd w:val="clear" w:color="auto" w:fill="E5B8B7" w:themeFill="accent2" w:themeFillTint="66"/>
            <w:hideMark/>
          </w:tcPr>
          <w:p w14:paraId="301F347C"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tc>
        <w:tc>
          <w:tcPr>
            <w:tcW w:w="680" w:type="pct"/>
            <w:tcBorders>
              <w:top w:val="nil"/>
              <w:left w:val="nil"/>
              <w:bottom w:val="nil"/>
              <w:right w:val="single" w:sz="8" w:space="0" w:color="FFFFFF" w:themeColor="background1"/>
            </w:tcBorders>
            <w:shd w:val="clear" w:color="auto" w:fill="E5B8B7" w:themeFill="accent2" w:themeFillTint="66"/>
            <w:hideMark/>
          </w:tcPr>
          <w:p w14:paraId="382D3B0F" w14:textId="6B564AF5" w:rsidR="00C8651E" w:rsidRPr="006471D6" w:rsidRDefault="00E24503"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2</w:t>
            </w:r>
            <w:r w:rsidR="00C8651E" w:rsidRPr="006471D6">
              <w:rPr>
                <w:rFonts w:eastAsia="Times New Roman" w:cs="Arial"/>
                <w:color w:val="000000"/>
                <w:sz w:val="20"/>
                <w:szCs w:val="20"/>
                <w:lang w:val="en-US" w:eastAsia="en-IE"/>
              </w:rPr>
              <w:t>00 MW (There is a margin of 20MW on this limit for system safety)</w:t>
            </w:r>
          </w:p>
        </w:tc>
        <w:tc>
          <w:tcPr>
            <w:tcW w:w="1198" w:type="pct"/>
            <w:tcBorders>
              <w:top w:val="nil"/>
              <w:left w:val="nil"/>
              <w:bottom w:val="nil"/>
              <w:right w:val="single" w:sz="8" w:space="0" w:color="FFFFFF" w:themeColor="background1"/>
            </w:tcBorders>
            <w:shd w:val="clear" w:color="auto" w:fill="E5B8B7" w:themeFill="accent2" w:themeFillTint="66"/>
            <w:hideMark/>
          </w:tcPr>
          <w:p w14:paraId="3A3F8943"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Ireland and Northern Ireland Power Systems</w:t>
            </w:r>
          </w:p>
        </w:tc>
        <w:tc>
          <w:tcPr>
            <w:tcW w:w="1450" w:type="pct"/>
            <w:tcBorders>
              <w:top w:val="nil"/>
              <w:left w:val="nil"/>
              <w:bottom w:val="single" w:sz="8" w:space="0" w:color="FFFFFF" w:themeColor="background1"/>
              <w:right w:val="single" w:sz="8" w:space="0" w:color="FFFFFF" w:themeColor="background1"/>
            </w:tcBorders>
            <w:shd w:val="clear" w:color="auto" w:fill="E5B8B7" w:themeFill="accent2" w:themeFillTint="66"/>
            <w:hideMark/>
          </w:tcPr>
          <w:p w14:paraId="3281AEE0" w14:textId="77777777" w:rsidR="00C8651E" w:rsidRPr="006471D6" w:rsidRDefault="00C8651E" w:rsidP="00C8651E">
            <w:pPr>
              <w:spacing w:line="240" w:lineRule="auto"/>
              <w:ind w:left="32"/>
              <w:rPr>
                <w:rFonts w:eastAsia="Times New Roman" w:cs="Arial"/>
                <w:color w:val="000000"/>
                <w:sz w:val="20"/>
                <w:szCs w:val="20"/>
                <w:lang w:val="en-US" w:eastAsia="en-IE"/>
              </w:rPr>
            </w:pPr>
            <w:r w:rsidRPr="006471D6">
              <w:rPr>
                <w:rFonts w:eastAsia="Times New Roman" w:cs="Arial"/>
                <w:color w:val="000000"/>
                <w:sz w:val="20"/>
                <w:szCs w:val="20"/>
                <w:lang w:val="en-US" w:eastAsia="en-IE"/>
              </w:rPr>
              <w:t>Ensures that the total MW transferred from Ireland to Northern Ireland does not exceed the operational limits of the North-South tie line. It takes into account the rescue/reserve flows that could occur immediately post fault inclusive of operating reserve requirements.</w:t>
            </w:r>
          </w:p>
          <w:p w14:paraId="341E918E" w14:textId="77777777" w:rsidR="00C8651E" w:rsidRPr="006471D6" w:rsidRDefault="00C8651E" w:rsidP="00C8651E">
            <w:pPr>
              <w:spacing w:line="240" w:lineRule="auto"/>
              <w:ind w:left="32"/>
              <w:rPr>
                <w:rFonts w:eastAsia="Times New Roman" w:cs="Arial"/>
                <w:color w:val="000000"/>
                <w:sz w:val="20"/>
                <w:szCs w:val="20"/>
                <w:lang w:val="en-US" w:eastAsia="en-IE"/>
              </w:rPr>
            </w:pPr>
          </w:p>
          <w:p w14:paraId="13C2C7AF" w14:textId="3018D05E"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This is required to ensure the operational limits of the existing </w:t>
            </w:r>
            <w:r w:rsidR="00CE603F" w:rsidRPr="006471D6">
              <w:rPr>
                <w:rFonts w:eastAsia="Times New Roman" w:cs="Arial"/>
                <w:color w:val="000000"/>
                <w:sz w:val="20"/>
                <w:szCs w:val="20"/>
                <w:lang w:val="en-US" w:eastAsia="en-IE"/>
              </w:rPr>
              <w:t>North-South</w:t>
            </w:r>
            <w:r w:rsidRPr="006471D6">
              <w:rPr>
                <w:rFonts w:eastAsia="Times New Roman" w:cs="Arial"/>
                <w:color w:val="000000"/>
                <w:sz w:val="20"/>
                <w:szCs w:val="20"/>
                <w:lang w:val="en-US" w:eastAsia="en-IE"/>
              </w:rPr>
              <w:t xml:space="preserve"> line are respected.</w:t>
            </w:r>
          </w:p>
        </w:tc>
      </w:tr>
      <w:tr w:rsidR="00C8651E" w:rsidRPr="00DD5295" w14:paraId="72771D34" w14:textId="77777777" w:rsidTr="2961FA0B">
        <w:trPr>
          <w:trHeight w:val="2580"/>
        </w:trPr>
        <w:tc>
          <w:tcPr>
            <w:tcW w:w="934" w:type="pct"/>
            <w:tcBorders>
              <w:top w:val="nil"/>
              <w:left w:val="single" w:sz="8" w:space="0" w:color="FFFFFF" w:themeColor="background1"/>
              <w:bottom w:val="nil"/>
              <w:right w:val="single" w:sz="8" w:space="0" w:color="FFFFFF" w:themeColor="background1"/>
            </w:tcBorders>
            <w:shd w:val="clear" w:color="auto" w:fill="943634" w:themeFill="accent2" w:themeFillShade="BF"/>
            <w:hideMark/>
          </w:tcPr>
          <w:p w14:paraId="0BC0DF4D"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Inter-Area Flow</w:t>
            </w:r>
          </w:p>
          <w:p w14:paraId="0143397C" w14:textId="77777777" w:rsidR="00C8651E" w:rsidRPr="006471D6" w:rsidRDefault="00C8651E" w:rsidP="00C8651E">
            <w:pPr>
              <w:spacing w:line="240" w:lineRule="auto"/>
              <w:rPr>
                <w:rFonts w:eastAsia="Times New Roman" w:cs="Arial"/>
                <w:b/>
                <w:bCs/>
                <w:color w:val="FFFFFF"/>
                <w:sz w:val="20"/>
                <w:szCs w:val="20"/>
                <w:lang w:val="en-US" w:eastAsia="en-IE"/>
              </w:rPr>
            </w:pPr>
          </w:p>
          <w:p w14:paraId="0B00F97B"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(S_MWR_NI)</w:t>
            </w:r>
          </w:p>
        </w:tc>
        <w:tc>
          <w:tcPr>
            <w:tcW w:w="403" w:type="pct"/>
            <w:tcBorders>
              <w:top w:val="single" w:sz="8" w:space="0" w:color="FFFFFF" w:themeColor="background1"/>
              <w:left w:val="nil"/>
              <w:bottom w:val="nil"/>
              <w:right w:val="single" w:sz="8" w:space="0" w:color="FFFFFF" w:themeColor="background1"/>
            </w:tcBorders>
            <w:shd w:val="clear" w:color="auto" w:fill="E5B8B7" w:themeFill="accent2" w:themeFillTint="66"/>
            <w:hideMark/>
          </w:tcPr>
          <w:p w14:paraId="3F6F965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MWR</w:t>
            </w:r>
          </w:p>
        </w:tc>
        <w:tc>
          <w:tcPr>
            <w:tcW w:w="335" w:type="pct"/>
            <w:tcBorders>
              <w:top w:val="single" w:sz="8" w:space="0" w:color="FFFFFF" w:themeColor="background1"/>
              <w:left w:val="nil"/>
              <w:bottom w:val="nil"/>
              <w:right w:val="single" w:sz="8" w:space="0" w:color="FFFFFF" w:themeColor="background1"/>
            </w:tcBorders>
            <w:shd w:val="clear" w:color="auto" w:fill="E5B8B7" w:themeFill="accent2" w:themeFillTint="66"/>
            <w:hideMark/>
          </w:tcPr>
          <w:p w14:paraId="36E73E7E"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tc>
        <w:tc>
          <w:tcPr>
            <w:tcW w:w="680" w:type="pct"/>
            <w:tcBorders>
              <w:top w:val="single" w:sz="8" w:space="0" w:color="FFFFFF" w:themeColor="background1"/>
              <w:left w:val="nil"/>
              <w:bottom w:val="nil"/>
              <w:right w:val="single" w:sz="8" w:space="0" w:color="FFFFFF" w:themeColor="background1"/>
            </w:tcBorders>
            <w:shd w:val="clear" w:color="auto" w:fill="E5B8B7" w:themeFill="accent2" w:themeFillTint="66"/>
            <w:hideMark/>
          </w:tcPr>
          <w:p w14:paraId="60553074" w14:textId="0B4F1F02"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4</w:t>
            </w:r>
            <w:r w:rsidR="00E24503">
              <w:rPr>
                <w:rFonts w:eastAsia="Times New Roman" w:cs="Arial"/>
                <w:color w:val="000000"/>
                <w:sz w:val="20"/>
                <w:szCs w:val="20"/>
                <w:lang w:val="en-US" w:eastAsia="en-IE"/>
              </w:rPr>
              <w:t>0</w:t>
            </w:r>
            <w:r w:rsidRPr="006471D6">
              <w:rPr>
                <w:rFonts w:eastAsia="Times New Roman" w:cs="Arial"/>
                <w:color w:val="000000"/>
                <w:sz w:val="20"/>
                <w:szCs w:val="20"/>
                <w:lang w:val="en-US" w:eastAsia="en-IE"/>
              </w:rPr>
              <w:t>0 MW (There is a margin of 20MW on this limit for system safety)</w:t>
            </w:r>
          </w:p>
        </w:tc>
        <w:tc>
          <w:tcPr>
            <w:tcW w:w="1198" w:type="pct"/>
            <w:tcBorders>
              <w:top w:val="single" w:sz="8" w:space="0" w:color="FFFFFF" w:themeColor="background1"/>
              <w:left w:val="nil"/>
              <w:bottom w:val="nil"/>
              <w:right w:val="single" w:sz="8" w:space="0" w:color="FFFFFF" w:themeColor="background1"/>
            </w:tcBorders>
            <w:shd w:val="clear" w:color="auto" w:fill="E5B8B7" w:themeFill="accent2" w:themeFillTint="66"/>
            <w:hideMark/>
          </w:tcPr>
          <w:p w14:paraId="3F30B353"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Ireland and Northern Ireland Power Systems</w:t>
            </w:r>
          </w:p>
        </w:tc>
        <w:tc>
          <w:tcPr>
            <w:tcW w:w="1450" w:type="pct"/>
            <w:tcBorders>
              <w:top w:val="nil"/>
              <w:left w:val="nil"/>
              <w:bottom w:val="single" w:sz="8" w:space="0" w:color="FFFFFF" w:themeColor="background1"/>
              <w:right w:val="single" w:sz="8" w:space="0" w:color="FFFFFF" w:themeColor="background1"/>
            </w:tcBorders>
            <w:shd w:val="clear" w:color="auto" w:fill="E5B8B7" w:themeFill="accent2" w:themeFillTint="66"/>
            <w:hideMark/>
          </w:tcPr>
          <w:p w14:paraId="4A5C412E"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Ensures that the total MW transferred from Northern Ireland to Ireland does not exceed the limitations of the North-South tie line. It takes into account the rescue/reserve flows that could occur immediately post fault inclusive of operating reserve requirements.</w:t>
            </w:r>
          </w:p>
          <w:p w14:paraId="503D6D3B" w14:textId="77777777" w:rsidR="00C8651E" w:rsidRPr="006471D6" w:rsidRDefault="00C8651E" w:rsidP="00C8651E">
            <w:pPr>
              <w:spacing w:line="240" w:lineRule="auto"/>
              <w:rPr>
                <w:rFonts w:eastAsia="Times New Roman" w:cs="Arial"/>
                <w:color w:val="000000"/>
                <w:sz w:val="20"/>
                <w:szCs w:val="20"/>
                <w:lang w:val="en-US" w:eastAsia="en-IE"/>
              </w:rPr>
            </w:pPr>
          </w:p>
          <w:p w14:paraId="5F94635F"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This is required to ensure the limits of the existing North South tie line are respected.</w:t>
            </w:r>
          </w:p>
          <w:p w14:paraId="5AB525C7" w14:textId="77777777" w:rsidR="00C8651E" w:rsidRPr="006471D6" w:rsidRDefault="00C8651E" w:rsidP="00C8651E">
            <w:pPr>
              <w:spacing w:line="240" w:lineRule="auto"/>
              <w:rPr>
                <w:rFonts w:eastAsia="Times New Roman" w:cs="Arial"/>
                <w:color w:val="000000"/>
                <w:sz w:val="20"/>
                <w:szCs w:val="20"/>
                <w:lang w:val="en-US" w:eastAsia="en-IE"/>
              </w:rPr>
            </w:pPr>
          </w:p>
        </w:tc>
      </w:tr>
      <w:tr w:rsidR="00C8651E" w:rsidRPr="00DD5295" w14:paraId="39923237" w14:textId="77777777" w:rsidTr="2961FA0B">
        <w:trPr>
          <w:trHeight w:val="915"/>
        </w:trPr>
        <w:tc>
          <w:tcPr>
            <w:tcW w:w="9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hideMark/>
          </w:tcPr>
          <w:p w14:paraId="5EA852E4"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Non-Synchronous Generation</w:t>
            </w:r>
          </w:p>
          <w:p w14:paraId="7A80F088" w14:textId="77777777" w:rsidR="00C8651E" w:rsidRPr="006471D6" w:rsidRDefault="00C8651E" w:rsidP="00C8651E">
            <w:pPr>
              <w:spacing w:line="240" w:lineRule="auto"/>
              <w:rPr>
                <w:rFonts w:eastAsia="Times New Roman" w:cs="Arial"/>
                <w:b/>
                <w:bCs/>
                <w:color w:val="FFFFFF"/>
                <w:sz w:val="20"/>
                <w:szCs w:val="20"/>
                <w:lang w:val="en-US" w:eastAsia="en-IE"/>
              </w:rPr>
            </w:pPr>
          </w:p>
          <w:p w14:paraId="3F988D57"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(S_SNSP_TOT)</w:t>
            </w:r>
          </w:p>
        </w:tc>
        <w:tc>
          <w:tcPr>
            <w:tcW w:w="403"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hideMark/>
          </w:tcPr>
          <w:p w14:paraId="5A7306DD" w14:textId="77777777" w:rsidR="00C8651E" w:rsidRPr="006471D6" w:rsidRDefault="00C8651E" w:rsidP="00C8651E">
            <w:pPr>
              <w:spacing w:line="240" w:lineRule="auto"/>
              <w:rPr>
                <w:rFonts w:eastAsia="Times New Roman" w:cs="Arial"/>
                <w:color w:val="000000"/>
                <w:sz w:val="20"/>
                <w:szCs w:val="20"/>
                <w:lang w:val="en-US" w:eastAsia="en-IE"/>
              </w:rPr>
            </w:pPr>
          </w:p>
        </w:tc>
        <w:tc>
          <w:tcPr>
            <w:tcW w:w="335"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hideMark/>
          </w:tcPr>
          <w:p w14:paraId="09DB385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p w14:paraId="3A0CEBDF" w14:textId="77777777" w:rsidR="00C8651E" w:rsidRPr="006471D6" w:rsidRDefault="00C8651E" w:rsidP="00C8651E">
            <w:pPr>
              <w:spacing w:line="240" w:lineRule="auto"/>
              <w:rPr>
                <w:rFonts w:eastAsia="Times New Roman" w:cs="Arial"/>
                <w:color w:val="000000"/>
                <w:sz w:val="20"/>
                <w:szCs w:val="20"/>
                <w:lang w:val="en-US" w:eastAsia="en-IE"/>
              </w:rPr>
            </w:pPr>
          </w:p>
        </w:tc>
        <w:tc>
          <w:tcPr>
            <w:tcW w:w="68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hideMark/>
          </w:tcPr>
          <w:p w14:paraId="1CC19F6F" w14:textId="3116E21B" w:rsidR="00C8651E" w:rsidRPr="006471D6" w:rsidRDefault="00C8651E" w:rsidP="00C8651E">
            <w:pPr>
              <w:spacing w:line="240" w:lineRule="auto"/>
              <w:rPr>
                <w:rFonts w:eastAsia="Times New Roman" w:cs="Arial"/>
                <w:color w:val="000000"/>
                <w:sz w:val="20"/>
                <w:szCs w:val="20"/>
                <w:highlight w:val="yellow"/>
                <w:lang w:val="en-US" w:eastAsia="en-IE"/>
              </w:rPr>
            </w:pPr>
            <w:r w:rsidRPr="006471D6">
              <w:rPr>
                <w:rFonts w:eastAsia="Times New Roman" w:cs="Arial"/>
                <w:color w:val="000000"/>
                <w:sz w:val="20"/>
                <w:szCs w:val="20"/>
                <w:lang w:val="en-US" w:eastAsia="en-IE"/>
              </w:rPr>
              <w:t>7</w:t>
            </w:r>
            <w:r w:rsidR="005B3183">
              <w:rPr>
                <w:rFonts w:eastAsia="Times New Roman" w:cs="Arial"/>
                <w:color w:val="000000"/>
                <w:sz w:val="20"/>
                <w:szCs w:val="20"/>
                <w:lang w:val="en-US" w:eastAsia="en-IE"/>
              </w:rPr>
              <w:t>5</w:t>
            </w:r>
            <w:r w:rsidRPr="006471D6">
              <w:rPr>
                <w:rFonts w:eastAsia="Times New Roman" w:cs="Arial"/>
                <w:color w:val="000000"/>
                <w:sz w:val="20"/>
                <w:szCs w:val="20"/>
                <w:lang w:val="en-US" w:eastAsia="en-IE"/>
              </w:rPr>
              <w:t>%</w:t>
            </w:r>
          </w:p>
        </w:tc>
        <w:tc>
          <w:tcPr>
            <w:tcW w:w="1198"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hideMark/>
          </w:tcPr>
          <w:p w14:paraId="300F42E5" w14:textId="0531B298" w:rsidR="00F22E2F"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Wind, PV, </w:t>
            </w:r>
            <w:r w:rsidR="002C087E">
              <w:rPr>
                <w:rFonts w:eastAsia="Times New Roman" w:cs="Arial"/>
                <w:color w:val="000000"/>
                <w:sz w:val="20"/>
                <w:szCs w:val="20"/>
                <w:lang w:val="en-US" w:eastAsia="en-IE"/>
              </w:rPr>
              <w:t>BESS, HVDC Interconnector Im</w:t>
            </w:r>
            <w:r w:rsidR="003634A0">
              <w:rPr>
                <w:rFonts w:eastAsia="Times New Roman" w:cs="Arial"/>
                <w:color w:val="000000"/>
                <w:sz w:val="20"/>
                <w:szCs w:val="20"/>
                <w:lang w:val="en-US" w:eastAsia="en-IE"/>
              </w:rPr>
              <w:t>ports</w:t>
            </w:r>
          </w:p>
        </w:tc>
        <w:tc>
          <w:tcPr>
            <w:tcW w:w="1450" w:type="pct"/>
            <w:tcBorders>
              <w:top w:val="nil"/>
              <w:left w:val="nil"/>
              <w:bottom w:val="single" w:sz="8" w:space="0" w:color="FFFFFF" w:themeColor="background1"/>
              <w:right w:val="single" w:sz="8" w:space="0" w:color="FFFFFF" w:themeColor="background1"/>
            </w:tcBorders>
            <w:shd w:val="clear" w:color="auto" w:fill="E5B8B7" w:themeFill="accent2" w:themeFillTint="66"/>
            <w:hideMark/>
          </w:tcPr>
          <w:p w14:paraId="548626FA" w14:textId="7E242B7A"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Ensures that the SNSP is kept below 7</w:t>
            </w:r>
            <w:r w:rsidR="005B3183">
              <w:rPr>
                <w:rFonts w:eastAsia="Times New Roman" w:cs="Arial"/>
                <w:color w:val="000000"/>
                <w:sz w:val="20"/>
                <w:szCs w:val="20"/>
                <w:lang w:val="en-US" w:eastAsia="en-IE"/>
              </w:rPr>
              <w:t>5</w:t>
            </w:r>
            <w:r w:rsidRPr="006471D6">
              <w:rPr>
                <w:rFonts w:eastAsia="Times New Roman" w:cs="Arial"/>
                <w:color w:val="000000"/>
                <w:sz w:val="20"/>
                <w:szCs w:val="20"/>
                <w:lang w:val="en-US" w:eastAsia="en-IE"/>
              </w:rPr>
              <w:t xml:space="preserve">%. </w:t>
            </w:r>
          </w:p>
        </w:tc>
      </w:tr>
      <w:tr w:rsidR="00C8651E" w:rsidRPr="00DD5295" w14:paraId="275E07C2" w14:textId="77777777" w:rsidTr="2961FA0B">
        <w:trPr>
          <w:trHeight w:val="915"/>
        </w:trPr>
        <w:tc>
          <w:tcPr>
            <w:tcW w:w="9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tcPr>
          <w:p w14:paraId="389D4950"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Operational Limit for RoCoF</w:t>
            </w:r>
          </w:p>
          <w:p w14:paraId="05125A08" w14:textId="77777777" w:rsidR="00C8651E" w:rsidRPr="006471D6" w:rsidRDefault="00C8651E" w:rsidP="00C8651E">
            <w:pPr>
              <w:spacing w:line="240" w:lineRule="auto"/>
              <w:rPr>
                <w:rFonts w:eastAsia="Times New Roman" w:cs="Arial"/>
                <w:b/>
                <w:bCs/>
                <w:color w:val="FFFFFF"/>
                <w:sz w:val="20"/>
                <w:szCs w:val="20"/>
                <w:lang w:val="en-US" w:eastAsia="en-IE"/>
              </w:rPr>
            </w:pPr>
          </w:p>
          <w:p w14:paraId="2C14A1D3"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(S_RoCoF)</w:t>
            </w:r>
          </w:p>
        </w:tc>
        <w:tc>
          <w:tcPr>
            <w:tcW w:w="403"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2E90E8FB" w14:textId="77777777" w:rsidR="00C8651E" w:rsidRPr="006471D6" w:rsidRDefault="00C8651E" w:rsidP="00C8651E">
            <w:pPr>
              <w:spacing w:line="240" w:lineRule="auto"/>
              <w:rPr>
                <w:rFonts w:eastAsia="Times New Roman" w:cs="Arial"/>
                <w:color w:val="000000"/>
                <w:sz w:val="20"/>
                <w:szCs w:val="20"/>
                <w:lang w:val="en-US" w:eastAsia="en-IE"/>
              </w:rPr>
            </w:pPr>
          </w:p>
        </w:tc>
        <w:tc>
          <w:tcPr>
            <w:tcW w:w="335"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0846AA0C"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p w14:paraId="19F63F11" w14:textId="77777777" w:rsidR="00C8651E" w:rsidRPr="006471D6" w:rsidRDefault="00C8651E" w:rsidP="00C8651E">
            <w:pPr>
              <w:spacing w:line="240" w:lineRule="auto"/>
              <w:rPr>
                <w:rFonts w:eastAsia="Times New Roman" w:cs="Arial"/>
                <w:color w:val="000000"/>
                <w:sz w:val="20"/>
                <w:szCs w:val="20"/>
                <w:lang w:val="en-US" w:eastAsia="en-IE"/>
              </w:rPr>
            </w:pPr>
          </w:p>
        </w:tc>
        <w:tc>
          <w:tcPr>
            <w:tcW w:w="68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16DE2534" w14:textId="411B4EF9" w:rsidR="00C8651E" w:rsidRPr="006471D6" w:rsidRDefault="0033740F"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1</w:t>
            </w:r>
            <w:r w:rsidR="00C8651E" w:rsidRPr="006471D6">
              <w:rPr>
                <w:rFonts w:eastAsia="Times New Roman" w:cs="Arial"/>
                <w:color w:val="000000"/>
                <w:sz w:val="20"/>
                <w:szCs w:val="20"/>
                <w:lang w:val="en-US" w:eastAsia="en-IE"/>
              </w:rPr>
              <w:t xml:space="preserve"> Hz/s</w:t>
            </w:r>
          </w:p>
        </w:tc>
        <w:tc>
          <w:tcPr>
            <w:tcW w:w="1198"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6345EDF1"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Ireland and Northern Ireland Power Systems</w:t>
            </w:r>
          </w:p>
        </w:tc>
        <w:tc>
          <w:tcPr>
            <w:tcW w:w="145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0CC61D48" w14:textId="7CBDEFA9"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Ensures that RoCoF does not exceed </w:t>
            </w:r>
            <w:r w:rsidR="0033740F">
              <w:rPr>
                <w:rFonts w:eastAsia="Times New Roman" w:cs="Arial"/>
                <w:color w:val="000000"/>
                <w:sz w:val="20"/>
                <w:szCs w:val="20"/>
                <w:lang w:val="en-US" w:eastAsia="en-IE"/>
              </w:rPr>
              <w:t>1</w:t>
            </w:r>
            <w:r w:rsidRPr="006471D6">
              <w:rPr>
                <w:rFonts w:eastAsia="Times New Roman" w:cs="Arial"/>
                <w:color w:val="000000"/>
                <w:sz w:val="20"/>
                <w:szCs w:val="20"/>
                <w:lang w:val="en-US" w:eastAsia="en-IE"/>
              </w:rPr>
              <w:t xml:space="preserve"> Hz/s.  </w:t>
            </w:r>
          </w:p>
        </w:tc>
      </w:tr>
      <w:tr w:rsidR="00C8651E" w:rsidRPr="00DD5295" w14:paraId="4CB20060" w14:textId="77777777" w:rsidTr="2961FA0B">
        <w:trPr>
          <w:trHeight w:val="915"/>
        </w:trPr>
        <w:tc>
          <w:tcPr>
            <w:tcW w:w="9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tcPr>
          <w:p w14:paraId="5D5C6495"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lastRenderedPageBreak/>
              <w:t>Operational Limit for Inertia</w:t>
            </w:r>
          </w:p>
          <w:p w14:paraId="3C8B906E" w14:textId="77777777" w:rsidR="00C8651E" w:rsidRPr="006471D6" w:rsidRDefault="00C8651E" w:rsidP="00C8651E">
            <w:pPr>
              <w:spacing w:line="240" w:lineRule="auto"/>
              <w:rPr>
                <w:rFonts w:eastAsia="Times New Roman" w:cs="Arial"/>
                <w:b/>
                <w:bCs/>
                <w:color w:val="FFFFFF"/>
                <w:sz w:val="20"/>
                <w:szCs w:val="20"/>
                <w:lang w:val="en-US" w:eastAsia="en-IE"/>
              </w:rPr>
            </w:pPr>
          </w:p>
          <w:p w14:paraId="51309FC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(S_INERTIA_TOT)</w:t>
            </w:r>
          </w:p>
        </w:tc>
        <w:tc>
          <w:tcPr>
            <w:tcW w:w="403"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516F857D" w14:textId="77777777" w:rsidR="00C8651E" w:rsidRPr="006471D6" w:rsidRDefault="00C8651E" w:rsidP="00C8651E">
            <w:pPr>
              <w:spacing w:line="240" w:lineRule="auto"/>
              <w:rPr>
                <w:rFonts w:eastAsia="Times New Roman" w:cs="Arial"/>
                <w:color w:val="000000"/>
                <w:sz w:val="20"/>
                <w:szCs w:val="20"/>
                <w:lang w:val="en-US" w:eastAsia="en-IE"/>
              </w:rPr>
            </w:pPr>
          </w:p>
        </w:tc>
        <w:tc>
          <w:tcPr>
            <w:tcW w:w="335"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3E60FC94"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p w14:paraId="29C69062" w14:textId="77777777" w:rsidR="00C8651E" w:rsidRPr="006471D6" w:rsidRDefault="00C8651E" w:rsidP="00C8651E">
            <w:pPr>
              <w:spacing w:line="240" w:lineRule="auto"/>
              <w:rPr>
                <w:rFonts w:eastAsia="Times New Roman" w:cs="Arial"/>
                <w:color w:val="000000"/>
                <w:sz w:val="20"/>
                <w:szCs w:val="20"/>
                <w:lang w:val="en-US" w:eastAsia="en-IE"/>
              </w:rPr>
            </w:pPr>
          </w:p>
        </w:tc>
        <w:tc>
          <w:tcPr>
            <w:tcW w:w="68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419DD88B" w14:textId="77777777" w:rsidR="00C8651E" w:rsidRPr="006471D6" w:rsidRDefault="00C8651E" w:rsidP="00C8651E">
            <w:pPr>
              <w:spacing w:line="240" w:lineRule="auto"/>
              <w:rPr>
                <w:rFonts w:eastAsia="Times New Roman" w:cs="Arial"/>
                <w:color w:val="000000"/>
                <w:sz w:val="20"/>
                <w:szCs w:val="20"/>
                <w:vertAlign w:val="superscript"/>
                <w:lang w:val="en-US" w:eastAsia="en-IE"/>
              </w:rPr>
            </w:pPr>
            <w:r w:rsidRPr="006471D6">
              <w:rPr>
                <w:rFonts w:eastAsia="Times New Roman" w:cs="Arial"/>
                <w:color w:val="000000"/>
                <w:sz w:val="20"/>
                <w:szCs w:val="20"/>
                <w:lang w:val="en-US" w:eastAsia="en-IE"/>
              </w:rPr>
              <w:t>23,000MWs</w:t>
            </w:r>
          </w:p>
        </w:tc>
        <w:tc>
          <w:tcPr>
            <w:tcW w:w="1198"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5F89174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Ireland and Northern Ireland Power Systems</w:t>
            </w:r>
          </w:p>
        </w:tc>
        <w:tc>
          <w:tcPr>
            <w:tcW w:w="145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294EBCE9"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Ensures that all island Inertia does not fall below 23,000 MWs.</w:t>
            </w:r>
          </w:p>
        </w:tc>
      </w:tr>
      <w:tr w:rsidR="002F2980" w:rsidRPr="00DD5295" w14:paraId="24A1EA70" w14:textId="77777777" w:rsidTr="2961FA0B">
        <w:trPr>
          <w:trHeight w:val="915"/>
        </w:trPr>
        <w:tc>
          <w:tcPr>
            <w:tcW w:w="93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43634" w:themeFill="accent2" w:themeFillShade="BF"/>
          </w:tcPr>
          <w:p w14:paraId="4EF1094B" w14:textId="77777777" w:rsidR="002F2980" w:rsidRPr="00D07D3D" w:rsidRDefault="002F2980" w:rsidP="002F2980">
            <w:pPr>
              <w:spacing w:line="240" w:lineRule="auto"/>
              <w:textAlignment w:val="baseline"/>
              <w:rPr>
                <w:rFonts w:ascii="Segoe UI" w:eastAsia="Times New Roman" w:hAnsi="Segoe UI" w:cs="Segoe UI"/>
                <w:sz w:val="18"/>
                <w:szCs w:val="18"/>
                <w:lang w:eastAsia="en-IE"/>
              </w:rPr>
            </w:pPr>
            <w:r w:rsidRPr="00D07D3D">
              <w:rPr>
                <w:rFonts w:eastAsia="Times New Roman" w:cs="Arial"/>
                <w:b/>
                <w:bCs/>
                <w:color w:val="FFFFFF"/>
                <w:lang w:eastAsia="en-IE"/>
              </w:rPr>
              <w:t>System Stability</w:t>
            </w:r>
            <w:r w:rsidRPr="00D07D3D">
              <w:rPr>
                <w:rFonts w:eastAsia="Times New Roman" w:cs="Arial"/>
                <w:color w:val="FFFFFF"/>
                <w:lang w:eastAsia="en-IE"/>
              </w:rPr>
              <w:t> </w:t>
            </w:r>
          </w:p>
          <w:p w14:paraId="0FFE62C2" w14:textId="77777777" w:rsidR="002F2980" w:rsidRPr="00D07D3D" w:rsidRDefault="002F2980" w:rsidP="002F2980">
            <w:pPr>
              <w:spacing w:line="240" w:lineRule="auto"/>
              <w:textAlignment w:val="baseline"/>
              <w:rPr>
                <w:rFonts w:ascii="Segoe UI" w:eastAsia="Times New Roman" w:hAnsi="Segoe UI" w:cs="Segoe UI"/>
                <w:sz w:val="18"/>
                <w:szCs w:val="18"/>
                <w:lang w:eastAsia="en-IE"/>
              </w:rPr>
            </w:pPr>
            <w:r w:rsidRPr="00D07D3D">
              <w:rPr>
                <w:rFonts w:eastAsia="Times New Roman" w:cs="Arial"/>
                <w:color w:val="FFFFFF"/>
                <w:lang w:eastAsia="en-IE"/>
              </w:rPr>
              <w:t> </w:t>
            </w:r>
          </w:p>
          <w:p w14:paraId="40C64C81" w14:textId="2D1F5E28" w:rsidR="002F2980" w:rsidRPr="006471D6" w:rsidRDefault="002F2980" w:rsidP="002F2980">
            <w:pPr>
              <w:spacing w:line="240" w:lineRule="auto"/>
              <w:rPr>
                <w:rFonts w:eastAsia="Times New Roman" w:cs="Arial"/>
                <w:b/>
                <w:bCs/>
                <w:color w:val="FFFFFF"/>
                <w:sz w:val="20"/>
                <w:szCs w:val="20"/>
                <w:lang w:val="en-US" w:eastAsia="en-IE"/>
              </w:rPr>
            </w:pPr>
            <w:r w:rsidRPr="00D07D3D">
              <w:rPr>
                <w:rFonts w:eastAsia="Times New Roman" w:cs="Arial"/>
                <w:b/>
                <w:bCs/>
                <w:color w:val="FFFFFF"/>
                <w:lang w:eastAsia="en-IE"/>
              </w:rPr>
              <w:t>S_NBMIN_MINTRL7 </w:t>
            </w:r>
            <w:r w:rsidRPr="00D07D3D">
              <w:rPr>
                <w:rFonts w:eastAsia="Times New Roman" w:cs="Arial"/>
                <w:color w:val="FFFFFF"/>
                <w:lang w:eastAsia="en-IE"/>
              </w:rPr>
              <w:t> </w:t>
            </w:r>
          </w:p>
        </w:tc>
        <w:tc>
          <w:tcPr>
            <w:tcW w:w="403"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1271D558" w14:textId="276BE86B" w:rsidR="002F2980" w:rsidRPr="006471D6" w:rsidRDefault="002F2980" w:rsidP="002F2980">
            <w:pPr>
              <w:spacing w:line="240" w:lineRule="auto"/>
              <w:rPr>
                <w:rFonts w:eastAsia="Times New Roman" w:cs="Arial"/>
                <w:color w:val="000000"/>
                <w:sz w:val="20"/>
                <w:szCs w:val="20"/>
                <w:lang w:val="en-US" w:eastAsia="en-IE"/>
              </w:rPr>
            </w:pPr>
            <w:r w:rsidRPr="00D07D3D">
              <w:rPr>
                <w:rFonts w:eastAsia="Times New Roman" w:cs="Arial"/>
                <w:color w:val="000000"/>
                <w:lang w:eastAsia="en-IE"/>
              </w:rPr>
              <w:t>NB </w:t>
            </w:r>
          </w:p>
        </w:tc>
        <w:tc>
          <w:tcPr>
            <w:tcW w:w="335"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34125AB3" w14:textId="71C01A13" w:rsidR="002F2980" w:rsidRPr="006471D6" w:rsidRDefault="002F2980" w:rsidP="002F2980">
            <w:pPr>
              <w:spacing w:line="240" w:lineRule="auto"/>
              <w:rPr>
                <w:rFonts w:eastAsia="Times New Roman" w:cs="Arial"/>
                <w:color w:val="000000"/>
                <w:sz w:val="20"/>
                <w:szCs w:val="20"/>
                <w:lang w:val="en-US" w:eastAsia="en-IE"/>
              </w:rPr>
            </w:pPr>
            <w:r w:rsidRPr="00D07D3D">
              <w:rPr>
                <w:rFonts w:eastAsia="Times New Roman" w:cs="Arial"/>
                <w:color w:val="000000"/>
                <w:lang w:eastAsia="en-IE"/>
              </w:rPr>
              <w:t>X:&gt;= </w:t>
            </w:r>
          </w:p>
        </w:tc>
        <w:tc>
          <w:tcPr>
            <w:tcW w:w="68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3F2E54AD" w14:textId="71B5367F" w:rsidR="002F2980" w:rsidRPr="006471D6" w:rsidRDefault="002F2980" w:rsidP="002F2980">
            <w:pPr>
              <w:spacing w:line="240" w:lineRule="auto"/>
              <w:rPr>
                <w:rFonts w:eastAsia="Times New Roman" w:cs="Arial"/>
                <w:color w:val="000000"/>
                <w:sz w:val="20"/>
                <w:szCs w:val="20"/>
                <w:lang w:val="en-US" w:eastAsia="en-IE"/>
              </w:rPr>
            </w:pPr>
            <w:r w:rsidRPr="00D07D3D">
              <w:rPr>
                <w:rFonts w:eastAsia="Times New Roman" w:cs="Arial"/>
                <w:color w:val="000000"/>
                <w:lang w:eastAsia="en-IE"/>
              </w:rPr>
              <w:t>7 Units </w:t>
            </w:r>
          </w:p>
        </w:tc>
        <w:tc>
          <w:tcPr>
            <w:tcW w:w="1198"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6F734DE8" w14:textId="4FF8A00B" w:rsidR="002F2980" w:rsidRPr="006471D6" w:rsidRDefault="002F2980" w:rsidP="002F2980">
            <w:pPr>
              <w:spacing w:line="240" w:lineRule="auto"/>
              <w:rPr>
                <w:rFonts w:eastAsia="Times New Roman" w:cs="Arial"/>
                <w:color w:val="000000"/>
                <w:sz w:val="20"/>
                <w:szCs w:val="20"/>
                <w:lang w:val="en-US" w:eastAsia="en-IE"/>
              </w:rPr>
            </w:pPr>
            <w:r w:rsidRPr="00D07D3D">
              <w:rPr>
                <w:rFonts w:eastAsia="Times New Roman" w:cs="Arial"/>
                <w:color w:val="000000"/>
                <w:lang w:eastAsia="en-IE"/>
              </w:rPr>
              <w:t>AD2, DB1, GI4, HNC, HN2, MP1, MP2, MP3, PBA ••, PBB ••, TYC, WG1, B10, B31, B32, C30, KGT6, KGT7  </w:t>
            </w:r>
          </w:p>
        </w:tc>
        <w:tc>
          <w:tcPr>
            <w:tcW w:w="1450" w:type="pct"/>
            <w:tcBorders>
              <w:top w:val="single" w:sz="8" w:space="0" w:color="FFFFFF" w:themeColor="background1"/>
              <w:left w:val="nil"/>
              <w:bottom w:val="single" w:sz="8" w:space="0" w:color="FFFFFF" w:themeColor="background1"/>
              <w:right w:val="single" w:sz="8" w:space="0" w:color="FFFFFF" w:themeColor="background1"/>
            </w:tcBorders>
            <w:shd w:val="clear" w:color="auto" w:fill="E5B8B7" w:themeFill="accent2" w:themeFillTint="66"/>
          </w:tcPr>
          <w:p w14:paraId="1020B438" w14:textId="77777777" w:rsidR="002F2980" w:rsidRPr="00D07D3D" w:rsidRDefault="002F2980" w:rsidP="002F2980">
            <w:pPr>
              <w:spacing w:line="240" w:lineRule="auto"/>
              <w:textAlignment w:val="baseline"/>
              <w:rPr>
                <w:rFonts w:ascii="Segoe UI" w:eastAsia="Times New Roman" w:hAnsi="Segoe UI" w:cs="Segoe UI"/>
                <w:sz w:val="18"/>
                <w:szCs w:val="18"/>
                <w:lang w:eastAsia="en-IE"/>
              </w:rPr>
            </w:pPr>
            <w:r w:rsidRPr="00D07D3D">
              <w:rPr>
                <w:rFonts w:eastAsia="Times New Roman" w:cs="Arial"/>
                <w:color w:val="000000"/>
                <w:lang w:val="en-GB" w:eastAsia="en-IE"/>
              </w:rPr>
              <w:t xml:space="preserve">There must be at least 7 machines on-load at all times across Ireland and Northern Ireland. </w:t>
            </w:r>
            <w:r w:rsidRPr="00D07D3D">
              <w:rPr>
                <w:rFonts w:eastAsia="Times New Roman" w:cs="Arial"/>
                <w:color w:val="000000"/>
                <w:lang w:eastAsia="en-IE"/>
              </w:rPr>
              <w:t>Required for dynamic stability.  </w:t>
            </w:r>
          </w:p>
          <w:p w14:paraId="3580AE0D" w14:textId="51AE833D" w:rsidR="002F2980" w:rsidRPr="006471D6" w:rsidRDefault="002F2980" w:rsidP="002F2980">
            <w:pPr>
              <w:spacing w:line="240" w:lineRule="auto"/>
              <w:rPr>
                <w:rFonts w:eastAsia="Times New Roman" w:cs="Arial"/>
                <w:color w:val="000000"/>
                <w:sz w:val="20"/>
                <w:szCs w:val="20"/>
                <w:lang w:val="en-US" w:eastAsia="en-IE"/>
              </w:rPr>
            </w:pPr>
            <w:r w:rsidRPr="00D07D3D">
              <w:rPr>
                <w:rFonts w:eastAsia="Times New Roman" w:cs="Arial"/>
                <w:color w:val="000000"/>
                <w:lang w:eastAsia="en-IE"/>
              </w:rPr>
              <w:t>•• See Scenario A </w:t>
            </w:r>
          </w:p>
        </w:tc>
      </w:tr>
    </w:tbl>
    <w:p w14:paraId="3F7F53D5" w14:textId="12BFF79C" w:rsidR="00027DB4" w:rsidRDefault="00027DB4">
      <w:pPr>
        <w:spacing w:after="200"/>
        <w:rPr>
          <w:rFonts w:eastAsia="MS Gothic" w:cs="Arial"/>
          <w:b/>
          <w:bCs/>
          <w:color w:val="157C85"/>
          <w:sz w:val="24"/>
          <w:szCs w:val="24"/>
          <w:lang w:val="en-GB" w:eastAsia="ja-JP"/>
        </w:rPr>
      </w:pPr>
      <w:bookmarkStart w:id="4" w:name="_Toc67669755"/>
      <w:r>
        <w:rPr>
          <w:rFonts w:eastAsia="MS Gothic"/>
        </w:rPr>
        <w:br w:type="page"/>
      </w:r>
    </w:p>
    <w:p w14:paraId="1F301BBE" w14:textId="52953F9B" w:rsidR="00C8651E" w:rsidRPr="00DD5295" w:rsidRDefault="00C8651E" w:rsidP="004F6CB9">
      <w:pPr>
        <w:pStyle w:val="EGStyleGuide-Subheadline"/>
        <w:rPr>
          <w:rFonts w:eastAsia="MS Gothic"/>
        </w:rPr>
      </w:pPr>
      <w:r w:rsidRPr="00DD5295">
        <w:rPr>
          <w:rFonts w:eastAsia="MS Gothic"/>
        </w:rPr>
        <w:lastRenderedPageBreak/>
        <w:t>Active Northern Ireland Constraints</w:t>
      </w:r>
      <w:bookmarkEnd w:id="4"/>
    </w:p>
    <w:tbl>
      <w:tblPr>
        <w:tblW w:w="9508" w:type="dxa"/>
        <w:tblInd w:w="98" w:type="dxa"/>
        <w:tblLayout w:type="fixed"/>
        <w:tblLook w:val="04A0" w:firstRow="1" w:lastRow="0" w:firstColumn="1" w:lastColumn="0" w:noHBand="0" w:noVBand="1"/>
      </w:tblPr>
      <w:tblGrid>
        <w:gridCol w:w="2260"/>
        <w:gridCol w:w="630"/>
        <w:gridCol w:w="720"/>
        <w:gridCol w:w="1503"/>
        <w:gridCol w:w="1710"/>
        <w:gridCol w:w="2685"/>
      </w:tblGrid>
      <w:tr w:rsidR="00C8651E" w:rsidRPr="00DD5295" w14:paraId="6B954702" w14:textId="77777777" w:rsidTr="2961FA0B">
        <w:trPr>
          <w:trHeight w:val="525"/>
        </w:trPr>
        <w:tc>
          <w:tcPr>
            <w:tcW w:w="2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70C0"/>
            <w:hideMark/>
          </w:tcPr>
          <w:p w14:paraId="13A5126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Name</w:t>
            </w:r>
          </w:p>
        </w:tc>
        <w:tc>
          <w:tcPr>
            <w:tcW w:w="630" w:type="dxa"/>
            <w:tcBorders>
              <w:top w:val="single" w:sz="8" w:space="0" w:color="FFFFFF" w:themeColor="background1"/>
              <w:left w:val="nil"/>
              <w:bottom w:val="single" w:sz="8" w:space="0" w:color="FFFFFF" w:themeColor="background1"/>
              <w:right w:val="single" w:sz="8" w:space="0" w:color="FFFFFF" w:themeColor="background1"/>
            </w:tcBorders>
            <w:shd w:val="clear" w:color="auto" w:fill="0070C0"/>
            <w:hideMark/>
          </w:tcPr>
          <w:p w14:paraId="3EC0C799"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TCG Type</w:t>
            </w:r>
          </w:p>
        </w:tc>
        <w:tc>
          <w:tcPr>
            <w:tcW w:w="720" w:type="dxa"/>
            <w:tcBorders>
              <w:top w:val="single" w:sz="8" w:space="0" w:color="FFFFFF" w:themeColor="background1"/>
              <w:left w:val="nil"/>
              <w:bottom w:val="single" w:sz="8" w:space="0" w:color="FFFFFF" w:themeColor="background1"/>
              <w:right w:val="single" w:sz="8" w:space="0" w:color="FFFFFF" w:themeColor="background1"/>
            </w:tcBorders>
            <w:shd w:val="clear" w:color="auto" w:fill="0070C0"/>
            <w:hideMark/>
          </w:tcPr>
          <w:p w14:paraId="04B616EC" w14:textId="77777777" w:rsidR="00C8651E" w:rsidRPr="006471D6" w:rsidRDefault="00C8651E" w:rsidP="00C8651E">
            <w:pPr>
              <w:spacing w:line="240" w:lineRule="auto"/>
              <w:ind w:right="-149"/>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 Type</w:t>
            </w:r>
          </w:p>
        </w:tc>
        <w:tc>
          <w:tcPr>
            <w:tcW w:w="1503" w:type="dxa"/>
            <w:tcBorders>
              <w:top w:val="single" w:sz="8" w:space="0" w:color="FFFFFF" w:themeColor="background1"/>
              <w:left w:val="nil"/>
              <w:bottom w:val="single" w:sz="8" w:space="0" w:color="FFFFFF" w:themeColor="background1"/>
              <w:right w:val="single" w:sz="8" w:space="0" w:color="FFFFFF" w:themeColor="background1"/>
            </w:tcBorders>
            <w:shd w:val="clear" w:color="auto" w:fill="0070C0"/>
            <w:hideMark/>
          </w:tcPr>
          <w:p w14:paraId="589A0325"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w:t>
            </w:r>
          </w:p>
        </w:tc>
        <w:tc>
          <w:tcPr>
            <w:tcW w:w="1710" w:type="dxa"/>
            <w:tcBorders>
              <w:top w:val="single" w:sz="8" w:space="0" w:color="FFFFFF" w:themeColor="background1"/>
              <w:left w:val="nil"/>
              <w:bottom w:val="single" w:sz="8" w:space="0" w:color="FFFFFF" w:themeColor="background1"/>
              <w:right w:val="single" w:sz="8" w:space="0" w:color="FFFFFF" w:themeColor="background1"/>
            </w:tcBorders>
            <w:shd w:val="clear" w:color="auto" w:fill="0070C0"/>
            <w:hideMark/>
          </w:tcPr>
          <w:p w14:paraId="2777911D"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Resources</w:t>
            </w:r>
          </w:p>
        </w:tc>
        <w:tc>
          <w:tcPr>
            <w:tcW w:w="2685" w:type="dxa"/>
            <w:tcBorders>
              <w:top w:val="single" w:sz="8" w:space="0" w:color="FFFFFF" w:themeColor="background1"/>
              <w:left w:val="nil"/>
              <w:bottom w:val="single" w:sz="8" w:space="0" w:color="FFFFFF" w:themeColor="background1"/>
              <w:right w:val="single" w:sz="8" w:space="0" w:color="FFFFFF" w:themeColor="background1"/>
            </w:tcBorders>
            <w:shd w:val="clear" w:color="auto" w:fill="0070C0"/>
            <w:hideMark/>
          </w:tcPr>
          <w:p w14:paraId="3106C3E0" w14:textId="77777777" w:rsidR="00C8651E" w:rsidRPr="006471D6" w:rsidRDefault="00C8651E" w:rsidP="00C8651E">
            <w:pPr>
              <w:spacing w:line="240" w:lineRule="auto"/>
              <w:ind w:right="972"/>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Description</w:t>
            </w:r>
          </w:p>
        </w:tc>
      </w:tr>
      <w:tr w:rsidR="00513340" w:rsidRPr="00DD5295" w14:paraId="22FFD844" w14:textId="77777777" w:rsidTr="2961FA0B">
        <w:trPr>
          <w:trHeight w:val="823"/>
        </w:trPr>
        <w:tc>
          <w:tcPr>
            <w:tcW w:w="226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70C0"/>
            <w:hideMark/>
          </w:tcPr>
          <w:p w14:paraId="58D20160" w14:textId="77777777" w:rsidR="00513340" w:rsidRPr="006471D6" w:rsidRDefault="00513340" w:rsidP="00513340">
            <w:pPr>
              <w:spacing w:line="240" w:lineRule="auto"/>
              <w:rPr>
                <w:rFonts w:eastAsia="Times New Roman" w:cs="Arial"/>
                <w:b/>
                <w:bCs/>
                <w:color w:val="FFFFFF"/>
                <w:sz w:val="20"/>
                <w:szCs w:val="20"/>
                <w:lang w:val="en-US" w:eastAsia="en-IE"/>
              </w:rPr>
            </w:pPr>
            <w:bookmarkStart w:id="5" w:name="_Hlk169877676"/>
            <w:r w:rsidRPr="006471D6">
              <w:rPr>
                <w:rFonts w:eastAsia="Times New Roman" w:cs="Arial"/>
                <w:b/>
                <w:bCs/>
                <w:color w:val="FFFFFF"/>
                <w:sz w:val="20"/>
                <w:szCs w:val="20"/>
                <w:lang w:val="en-US" w:eastAsia="en-IE"/>
              </w:rPr>
              <w:t>System Stability</w:t>
            </w:r>
          </w:p>
          <w:p w14:paraId="0B8B9E37" w14:textId="77777777" w:rsidR="00513340" w:rsidRPr="006471D6" w:rsidRDefault="00513340" w:rsidP="00513340">
            <w:pPr>
              <w:spacing w:line="240" w:lineRule="auto"/>
              <w:rPr>
                <w:rFonts w:eastAsia="Times New Roman" w:cs="Arial"/>
                <w:b/>
                <w:bCs/>
                <w:color w:val="FFFFFF"/>
                <w:sz w:val="20"/>
                <w:szCs w:val="20"/>
                <w:lang w:val="en-US" w:eastAsia="en-IE"/>
              </w:rPr>
            </w:pPr>
          </w:p>
          <w:p w14:paraId="06414B66" w14:textId="34B2EE83" w:rsidR="00513340" w:rsidRPr="006471D6" w:rsidRDefault="00513340" w:rsidP="00513340">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(S_NBMIN_MINNI</w:t>
            </w:r>
            <w:r>
              <w:rPr>
                <w:rFonts w:eastAsia="Times New Roman" w:cs="Arial"/>
                <w:b/>
                <w:bCs/>
                <w:color w:val="FFFFFF"/>
                <w:sz w:val="20"/>
                <w:szCs w:val="20"/>
                <w:lang w:val="en-US" w:eastAsia="en-IE"/>
              </w:rPr>
              <w:t>U</w:t>
            </w:r>
            <w:r w:rsidRPr="006471D6">
              <w:rPr>
                <w:rFonts w:eastAsia="Times New Roman" w:cs="Arial"/>
                <w:b/>
                <w:bCs/>
                <w:color w:val="FFFFFF"/>
                <w:sz w:val="20"/>
                <w:szCs w:val="20"/>
                <w:lang w:val="en-US" w:eastAsia="en-IE"/>
              </w:rPr>
              <w:t>)</w:t>
            </w:r>
            <w:bookmarkEnd w:id="5"/>
          </w:p>
        </w:tc>
        <w:tc>
          <w:tcPr>
            <w:tcW w:w="63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11F62A00" w14:textId="77777777" w:rsidR="00513340" w:rsidRPr="006471D6" w:rsidRDefault="00513340" w:rsidP="00513340">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NB</w:t>
            </w:r>
          </w:p>
        </w:tc>
        <w:tc>
          <w:tcPr>
            <w:tcW w:w="72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2BB60058" w14:textId="77777777" w:rsidR="00513340" w:rsidRPr="006471D6" w:rsidRDefault="00513340" w:rsidP="00513340">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03"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0037E83E" w14:textId="2E07D8D5" w:rsidR="00513340" w:rsidRPr="006471D6" w:rsidRDefault="002F2980" w:rsidP="00513340">
            <w:pPr>
              <w:spacing w:line="240" w:lineRule="auto"/>
              <w:rPr>
                <w:rFonts w:eastAsia="Times New Roman" w:cs="Arial"/>
                <w:color w:val="000000"/>
                <w:sz w:val="20"/>
                <w:szCs w:val="20"/>
                <w:lang w:val="en-US" w:eastAsia="en-IE"/>
              </w:rPr>
            </w:pPr>
            <w:r>
              <w:rPr>
                <w:rFonts w:eastAsia="Times New Roman" w:cs="Arial"/>
                <w:color w:val="000000" w:themeColor="text1"/>
                <w:lang w:eastAsia="en-IE"/>
              </w:rPr>
              <w:t>2</w:t>
            </w:r>
            <w:r w:rsidR="5997F046" w:rsidRPr="2961FA0B">
              <w:rPr>
                <w:rFonts w:eastAsia="Times New Roman" w:cs="Arial"/>
                <w:color w:val="000000" w:themeColor="text1"/>
                <w:lang w:eastAsia="en-IE"/>
              </w:rPr>
              <w:t xml:space="preserve"> Units at all times</w:t>
            </w:r>
          </w:p>
        </w:tc>
        <w:tc>
          <w:tcPr>
            <w:tcW w:w="171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7BD555CE" w14:textId="661C062D" w:rsidR="00513340" w:rsidRPr="006471D6" w:rsidRDefault="5997F046" w:rsidP="00513340">
            <w:pPr>
              <w:spacing w:line="240" w:lineRule="auto"/>
              <w:rPr>
                <w:rFonts w:eastAsia="Times New Roman" w:cs="Arial"/>
                <w:color w:val="000000"/>
                <w:sz w:val="20"/>
                <w:szCs w:val="20"/>
                <w:lang w:val="en-US" w:eastAsia="en-IE"/>
              </w:rPr>
            </w:pPr>
            <w:r w:rsidRPr="2961FA0B">
              <w:rPr>
                <w:rFonts w:eastAsia="Times New Roman" w:cs="Arial"/>
                <w:color w:val="000000" w:themeColor="text1"/>
                <w:lang w:eastAsia="en-IE"/>
              </w:rPr>
              <w:t>B31, B32, C30, KGT6, KGT7</w:t>
            </w:r>
          </w:p>
        </w:tc>
        <w:tc>
          <w:tcPr>
            <w:tcW w:w="2685"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4249C463" w14:textId="354156C9" w:rsidR="00513340" w:rsidRPr="006471D6" w:rsidRDefault="5997F046" w:rsidP="00513340">
            <w:pPr>
              <w:spacing w:line="240" w:lineRule="auto"/>
              <w:rPr>
                <w:rFonts w:eastAsia="Times New Roman" w:cs="Arial"/>
                <w:color w:val="000000"/>
                <w:sz w:val="20"/>
                <w:szCs w:val="20"/>
                <w:lang w:val="en-US" w:eastAsia="en-IE"/>
              </w:rPr>
            </w:pPr>
            <w:r w:rsidRPr="2961FA0B">
              <w:rPr>
                <w:rFonts w:eastAsia="Times New Roman" w:cs="Arial"/>
                <w:color w:val="000000" w:themeColor="text1"/>
                <w:lang w:val="en-GB" w:eastAsia="en-IE"/>
              </w:rPr>
              <w:t xml:space="preserve">There must be at least </w:t>
            </w:r>
            <w:r w:rsidR="002F2980">
              <w:rPr>
                <w:rFonts w:eastAsia="Times New Roman" w:cs="Arial"/>
                <w:color w:val="000000" w:themeColor="text1"/>
                <w:lang w:val="en-GB" w:eastAsia="en-IE"/>
              </w:rPr>
              <w:t>2</w:t>
            </w:r>
            <w:r w:rsidRPr="2961FA0B">
              <w:rPr>
                <w:rFonts w:eastAsia="Times New Roman" w:cs="Arial"/>
                <w:color w:val="000000" w:themeColor="text1"/>
                <w:lang w:val="en-GB" w:eastAsia="en-IE"/>
              </w:rPr>
              <w:t xml:space="preserve"> machines on-load at all times in Northern Ireland. </w:t>
            </w:r>
            <w:r w:rsidRPr="2961FA0B">
              <w:rPr>
                <w:rFonts w:eastAsia="Times New Roman" w:cs="Arial"/>
                <w:color w:val="000000" w:themeColor="text1"/>
                <w:lang w:eastAsia="en-IE"/>
              </w:rPr>
              <w:t xml:space="preserve">Required for dynamic stability. </w:t>
            </w:r>
          </w:p>
        </w:tc>
      </w:tr>
      <w:tr w:rsidR="00513340" w:rsidRPr="00DD5295" w14:paraId="57D091C7" w14:textId="77777777" w:rsidTr="2961FA0B">
        <w:trPr>
          <w:trHeight w:val="823"/>
        </w:trPr>
        <w:tc>
          <w:tcPr>
            <w:tcW w:w="226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70C0"/>
          </w:tcPr>
          <w:p w14:paraId="7F5BB5C0" w14:textId="7A20EE4A" w:rsidR="00513340" w:rsidRPr="006471D6" w:rsidRDefault="00513340" w:rsidP="00513340">
            <w:pPr>
              <w:spacing w:line="240" w:lineRule="auto"/>
              <w:rPr>
                <w:rFonts w:eastAsia="Times New Roman" w:cs="Arial"/>
                <w:b/>
                <w:bCs/>
                <w:color w:val="FFFFFF"/>
                <w:sz w:val="20"/>
                <w:szCs w:val="20"/>
                <w:lang w:val="en-US" w:eastAsia="en-IE"/>
              </w:rPr>
            </w:pPr>
            <w:r>
              <w:rPr>
                <w:rFonts w:eastAsia="Times New Roman" w:cs="Arial"/>
                <w:b/>
                <w:bCs/>
                <w:color w:val="FFFFFF"/>
                <w:sz w:val="20"/>
                <w:szCs w:val="20"/>
                <w:lang w:val="en-US" w:eastAsia="en-IE"/>
              </w:rPr>
              <w:t>System Stability (S_NBMIN_MINNI3)</w:t>
            </w:r>
          </w:p>
        </w:tc>
        <w:tc>
          <w:tcPr>
            <w:tcW w:w="63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7C588A52" w14:textId="0D50CE02" w:rsidR="00513340" w:rsidRPr="006471D6" w:rsidRDefault="00513340" w:rsidP="00513340">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NB</w:t>
            </w:r>
          </w:p>
        </w:tc>
        <w:tc>
          <w:tcPr>
            <w:tcW w:w="72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6BBF6A7E" w14:textId="6FFBCF62" w:rsidR="00513340" w:rsidRPr="006471D6" w:rsidRDefault="00513340" w:rsidP="00513340">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N: &gt;=</w:t>
            </w:r>
          </w:p>
        </w:tc>
        <w:tc>
          <w:tcPr>
            <w:tcW w:w="1503"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2965439C" w14:textId="6443C5E3" w:rsidR="00513340" w:rsidRPr="006471D6" w:rsidRDefault="00513340" w:rsidP="00513340">
            <w:pPr>
              <w:spacing w:line="240" w:lineRule="auto"/>
              <w:rPr>
                <w:rFonts w:eastAsia="Times New Roman" w:cs="Arial"/>
                <w:color w:val="000000"/>
                <w:sz w:val="20"/>
                <w:szCs w:val="20"/>
                <w:lang w:val="en-US" w:eastAsia="en-IE"/>
              </w:rPr>
            </w:pPr>
            <w:r>
              <w:rPr>
                <w:rFonts w:eastAsia="Times New Roman" w:cs="Arial"/>
                <w:color w:val="000000"/>
                <w:szCs w:val="20"/>
                <w:lang w:eastAsia="en-IE"/>
              </w:rPr>
              <w:t>Minimum 1 at all times</w:t>
            </w:r>
          </w:p>
        </w:tc>
        <w:tc>
          <w:tcPr>
            <w:tcW w:w="171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2CDF7770" w14:textId="320977D6" w:rsidR="00513340" w:rsidRPr="006471D6" w:rsidRDefault="00513340" w:rsidP="00513340">
            <w:pPr>
              <w:spacing w:line="240" w:lineRule="auto"/>
              <w:rPr>
                <w:rFonts w:eastAsia="Times New Roman" w:cs="Arial"/>
                <w:color w:val="000000"/>
                <w:sz w:val="20"/>
                <w:szCs w:val="20"/>
                <w:lang w:val="en-US" w:eastAsia="en-IE"/>
              </w:rPr>
            </w:pPr>
            <w:r w:rsidRPr="00191C0C">
              <w:rPr>
                <w:rFonts w:eastAsia="Times New Roman" w:cs="Arial"/>
                <w:color w:val="000000"/>
                <w:szCs w:val="20"/>
                <w:lang w:eastAsia="en-IE"/>
              </w:rPr>
              <w:t>C30</w:t>
            </w:r>
            <w:r w:rsidR="00383809">
              <w:rPr>
                <w:rFonts w:eastAsia="Times New Roman" w:cs="Arial"/>
                <w:color w:val="000000"/>
                <w:szCs w:val="20"/>
                <w:lang w:eastAsia="en-IE"/>
              </w:rPr>
              <w:t>, KGT6, KGT7</w:t>
            </w:r>
          </w:p>
        </w:tc>
        <w:tc>
          <w:tcPr>
            <w:tcW w:w="2685"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13F5CD45" w14:textId="30472D67" w:rsidR="00513340" w:rsidRPr="006471D6" w:rsidRDefault="00513340" w:rsidP="00513340">
            <w:pPr>
              <w:spacing w:line="240" w:lineRule="auto"/>
              <w:rPr>
                <w:rFonts w:eastAsia="Times New Roman" w:cs="Arial"/>
                <w:color w:val="000000"/>
                <w:sz w:val="20"/>
                <w:szCs w:val="20"/>
                <w:lang w:val="en-GB" w:eastAsia="en-IE"/>
              </w:rPr>
            </w:pPr>
            <w:r>
              <w:rPr>
                <w:rFonts w:eastAsia="Times New Roman" w:cs="Arial"/>
                <w:color w:val="000000"/>
                <w:szCs w:val="20"/>
                <w:lang w:val="en-GB" w:eastAsia="en-IE"/>
              </w:rPr>
              <w:t xml:space="preserve">Security of supply. </w:t>
            </w:r>
          </w:p>
        </w:tc>
      </w:tr>
      <w:tr w:rsidR="00BC315A" w:rsidRPr="00DD5295" w14:paraId="22333318" w14:textId="77777777" w:rsidTr="2961FA0B">
        <w:trPr>
          <w:trHeight w:val="823"/>
        </w:trPr>
        <w:tc>
          <w:tcPr>
            <w:tcW w:w="226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70C0"/>
          </w:tcPr>
          <w:p w14:paraId="47A18520" w14:textId="0705CD0C" w:rsidR="00BC315A" w:rsidRDefault="00BC315A" w:rsidP="00BC315A">
            <w:pPr>
              <w:spacing w:line="240" w:lineRule="auto"/>
              <w:rPr>
                <w:rFonts w:eastAsia="Times New Roman" w:cs="Arial"/>
                <w:b/>
                <w:bCs/>
                <w:color w:val="FFFFFF"/>
                <w:sz w:val="20"/>
                <w:szCs w:val="20"/>
                <w:lang w:val="en-US" w:eastAsia="en-IE"/>
              </w:rPr>
            </w:pPr>
            <w:r w:rsidRPr="00D07D3D">
              <w:rPr>
                <w:rFonts w:eastAsia="Times New Roman" w:cs="Arial"/>
                <w:b/>
                <w:bCs/>
                <w:color w:val="FFFFFF"/>
                <w:sz w:val="20"/>
                <w:szCs w:val="20"/>
                <w:lang w:val="en-US" w:eastAsia="en-IE"/>
              </w:rPr>
              <w:t>System Stability (S_NBMIN_MINNI</w:t>
            </w:r>
            <w:r>
              <w:rPr>
                <w:rFonts w:eastAsia="Times New Roman" w:cs="Arial"/>
                <w:b/>
                <w:bCs/>
                <w:color w:val="FFFFFF"/>
                <w:sz w:val="20"/>
                <w:szCs w:val="20"/>
                <w:lang w:val="en-US" w:eastAsia="en-IE"/>
              </w:rPr>
              <w:t>4</w:t>
            </w:r>
            <w:r w:rsidRPr="00D07D3D">
              <w:rPr>
                <w:rFonts w:eastAsia="Times New Roman" w:cs="Arial"/>
                <w:b/>
                <w:bCs/>
                <w:color w:val="FFFFFF"/>
                <w:sz w:val="20"/>
                <w:szCs w:val="20"/>
                <w:lang w:val="en-US" w:eastAsia="en-IE"/>
              </w:rPr>
              <w:t>)</w:t>
            </w:r>
            <w:r w:rsidRPr="00D07D3D">
              <w:rPr>
                <w:rFonts w:eastAsia="Times New Roman" w:cs="Arial"/>
                <w:color w:val="FFFFFF"/>
                <w:sz w:val="20"/>
                <w:szCs w:val="20"/>
                <w:lang w:eastAsia="en-IE"/>
              </w:rPr>
              <w:t> </w:t>
            </w:r>
          </w:p>
        </w:tc>
        <w:tc>
          <w:tcPr>
            <w:tcW w:w="63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1A7D0826" w14:textId="04980294" w:rsidR="00BC315A" w:rsidRDefault="00BC315A" w:rsidP="00BC315A">
            <w:pPr>
              <w:spacing w:line="240" w:lineRule="auto"/>
              <w:rPr>
                <w:rFonts w:eastAsia="Times New Roman" w:cs="Arial"/>
                <w:color w:val="000000"/>
                <w:sz w:val="20"/>
                <w:szCs w:val="20"/>
                <w:lang w:val="en-US" w:eastAsia="en-IE"/>
              </w:rPr>
            </w:pPr>
            <w:r w:rsidRPr="00D07D3D">
              <w:rPr>
                <w:rFonts w:eastAsia="Times New Roman" w:cs="Arial"/>
                <w:color w:val="000000"/>
                <w:sz w:val="20"/>
                <w:szCs w:val="20"/>
                <w:lang w:val="en-US" w:eastAsia="en-IE"/>
              </w:rPr>
              <w:t>NB</w:t>
            </w:r>
            <w:r w:rsidRPr="00D07D3D">
              <w:rPr>
                <w:rFonts w:eastAsia="Times New Roman" w:cs="Arial"/>
                <w:color w:val="000000"/>
                <w:sz w:val="20"/>
                <w:szCs w:val="20"/>
                <w:lang w:eastAsia="en-IE"/>
              </w:rPr>
              <w:t> </w:t>
            </w:r>
          </w:p>
        </w:tc>
        <w:tc>
          <w:tcPr>
            <w:tcW w:w="72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49AE6662" w14:textId="56A7AA9A" w:rsidR="00BC315A" w:rsidRDefault="00BC315A" w:rsidP="00BC315A">
            <w:pPr>
              <w:spacing w:line="240" w:lineRule="auto"/>
              <w:rPr>
                <w:rFonts w:eastAsia="Times New Roman" w:cs="Arial"/>
                <w:color w:val="000000"/>
                <w:sz w:val="20"/>
                <w:szCs w:val="20"/>
                <w:lang w:val="en-US" w:eastAsia="en-IE"/>
              </w:rPr>
            </w:pPr>
            <w:r w:rsidRPr="00D07D3D">
              <w:rPr>
                <w:rFonts w:eastAsia="Times New Roman" w:cs="Arial"/>
                <w:color w:val="000000"/>
                <w:sz w:val="20"/>
                <w:szCs w:val="20"/>
                <w:lang w:val="en-US" w:eastAsia="en-IE"/>
              </w:rPr>
              <w:t>N: &gt;=</w:t>
            </w:r>
            <w:r w:rsidRPr="00D07D3D">
              <w:rPr>
                <w:rFonts w:eastAsia="Times New Roman" w:cs="Arial"/>
                <w:color w:val="000000"/>
                <w:sz w:val="20"/>
                <w:szCs w:val="20"/>
                <w:lang w:eastAsia="en-IE"/>
              </w:rPr>
              <w:t> </w:t>
            </w:r>
          </w:p>
        </w:tc>
        <w:tc>
          <w:tcPr>
            <w:tcW w:w="1503"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429A8981" w14:textId="7948B0AE" w:rsidR="00BC315A" w:rsidRDefault="00BC315A" w:rsidP="00BC315A">
            <w:pPr>
              <w:spacing w:line="240" w:lineRule="auto"/>
              <w:rPr>
                <w:rFonts w:eastAsia="Times New Roman" w:cs="Arial"/>
                <w:color w:val="000000"/>
                <w:szCs w:val="20"/>
                <w:lang w:eastAsia="en-IE"/>
              </w:rPr>
            </w:pPr>
            <w:r w:rsidRPr="00D07D3D">
              <w:rPr>
                <w:rFonts w:eastAsia="Times New Roman" w:cs="Arial"/>
                <w:color w:val="000000"/>
                <w:lang w:eastAsia="en-IE"/>
              </w:rPr>
              <w:t>Minimum 1 at all times </w:t>
            </w:r>
          </w:p>
        </w:tc>
        <w:tc>
          <w:tcPr>
            <w:tcW w:w="1710"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3D99F3C7" w14:textId="74AF0223" w:rsidR="00BC315A" w:rsidRPr="00191C0C" w:rsidRDefault="00BC315A" w:rsidP="00BC315A">
            <w:pPr>
              <w:spacing w:line="240" w:lineRule="auto"/>
              <w:rPr>
                <w:rFonts w:eastAsia="Times New Roman" w:cs="Arial"/>
                <w:color w:val="000000"/>
                <w:szCs w:val="20"/>
                <w:lang w:eastAsia="en-IE"/>
              </w:rPr>
            </w:pPr>
            <w:r w:rsidRPr="00D07D3D">
              <w:rPr>
                <w:rFonts w:eastAsia="Times New Roman" w:cs="Arial"/>
                <w:color w:val="000000"/>
                <w:lang w:eastAsia="en-IE"/>
              </w:rPr>
              <w:t xml:space="preserve">C30, </w:t>
            </w:r>
            <w:r>
              <w:rPr>
                <w:rFonts w:eastAsia="Times New Roman" w:cs="Arial"/>
                <w:color w:val="000000"/>
                <w:lang w:eastAsia="en-IE"/>
              </w:rPr>
              <w:t>B31</w:t>
            </w:r>
            <w:r w:rsidRPr="00D07D3D">
              <w:rPr>
                <w:rFonts w:eastAsia="Times New Roman" w:cs="Arial"/>
                <w:color w:val="000000"/>
                <w:lang w:eastAsia="en-IE"/>
              </w:rPr>
              <w:t xml:space="preserve">, </w:t>
            </w:r>
            <w:r>
              <w:rPr>
                <w:rFonts w:eastAsia="Times New Roman" w:cs="Arial"/>
                <w:color w:val="000000"/>
                <w:lang w:eastAsia="en-IE"/>
              </w:rPr>
              <w:t>B32</w:t>
            </w:r>
            <w:r w:rsidRPr="00D07D3D">
              <w:rPr>
                <w:rFonts w:eastAsia="Times New Roman" w:cs="Arial"/>
                <w:color w:val="000000"/>
                <w:lang w:eastAsia="en-IE"/>
              </w:rPr>
              <w:t> </w:t>
            </w:r>
          </w:p>
        </w:tc>
        <w:tc>
          <w:tcPr>
            <w:tcW w:w="2685" w:type="dxa"/>
            <w:tcBorders>
              <w:top w:val="nil"/>
              <w:left w:val="nil"/>
              <w:bottom w:val="single" w:sz="8" w:space="0" w:color="FFFFFF" w:themeColor="background1"/>
              <w:right w:val="single" w:sz="8" w:space="0" w:color="FFFFFF" w:themeColor="background1"/>
            </w:tcBorders>
            <w:shd w:val="clear" w:color="auto" w:fill="B8CCE4" w:themeFill="accent1" w:themeFillTint="66"/>
          </w:tcPr>
          <w:p w14:paraId="5629F1EF" w14:textId="78F1ED86" w:rsidR="00BC315A" w:rsidRDefault="00BC315A" w:rsidP="00BC315A">
            <w:pPr>
              <w:spacing w:line="240" w:lineRule="auto"/>
              <w:rPr>
                <w:rFonts w:eastAsia="Times New Roman" w:cs="Arial"/>
                <w:color w:val="000000"/>
                <w:szCs w:val="20"/>
                <w:lang w:val="en-GB" w:eastAsia="en-IE"/>
              </w:rPr>
            </w:pPr>
            <w:r w:rsidRPr="00D07D3D">
              <w:rPr>
                <w:rFonts w:eastAsia="Times New Roman" w:cs="Arial"/>
                <w:color w:val="000000"/>
                <w:lang w:val="en-GB" w:eastAsia="en-IE"/>
              </w:rPr>
              <w:t>Security of supply. </w:t>
            </w:r>
            <w:r w:rsidRPr="00D07D3D">
              <w:rPr>
                <w:rFonts w:eastAsia="Times New Roman" w:cs="Arial"/>
                <w:color w:val="000000"/>
                <w:lang w:eastAsia="en-IE"/>
              </w:rPr>
              <w:t> </w:t>
            </w:r>
          </w:p>
        </w:tc>
      </w:tr>
      <w:tr w:rsidR="00BC315A" w:rsidRPr="00DD5295" w14:paraId="494331BA" w14:textId="77777777" w:rsidTr="2961FA0B">
        <w:trPr>
          <w:trHeight w:val="1219"/>
        </w:trPr>
        <w:tc>
          <w:tcPr>
            <w:tcW w:w="226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70C0"/>
            <w:hideMark/>
          </w:tcPr>
          <w:p w14:paraId="55EA9C43" w14:textId="77777777" w:rsidR="00BC315A" w:rsidRPr="006471D6" w:rsidRDefault="00BC315A" w:rsidP="00BC315A">
            <w:pPr>
              <w:spacing w:line="240" w:lineRule="auto"/>
              <w:rPr>
                <w:rFonts w:eastAsia="Times New Roman" w:cs="Arial"/>
                <w:b/>
                <w:bCs/>
                <w:color w:val="FFFFFF"/>
                <w:sz w:val="20"/>
                <w:szCs w:val="20"/>
                <w:lang w:val="en-US" w:eastAsia="en-IE"/>
              </w:rPr>
            </w:pPr>
            <w:bookmarkStart w:id="6" w:name="_Hlk169877698"/>
            <w:r w:rsidRPr="006471D6">
              <w:rPr>
                <w:rFonts w:eastAsia="Times New Roman" w:cs="Arial"/>
                <w:b/>
                <w:bCs/>
                <w:color w:val="FFFFFF"/>
                <w:sz w:val="20"/>
                <w:szCs w:val="20"/>
                <w:lang w:val="en-US" w:eastAsia="en-IE"/>
              </w:rPr>
              <w:t>Replacement Reserve</w:t>
            </w:r>
          </w:p>
          <w:p w14:paraId="24799EDE" w14:textId="77777777" w:rsidR="00BC315A" w:rsidRPr="006471D6" w:rsidRDefault="00BC315A" w:rsidP="00BC315A">
            <w:pPr>
              <w:spacing w:line="240" w:lineRule="auto"/>
              <w:rPr>
                <w:rFonts w:eastAsia="Times New Roman" w:cs="Arial"/>
                <w:b/>
                <w:bCs/>
                <w:color w:val="FFFFFF"/>
                <w:sz w:val="20"/>
                <w:szCs w:val="20"/>
                <w:lang w:val="en-US" w:eastAsia="en-IE"/>
              </w:rPr>
            </w:pPr>
          </w:p>
          <w:p w14:paraId="68D06D08"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(S_REP_NI)</w:t>
            </w:r>
          </w:p>
          <w:p w14:paraId="1EF3C990" w14:textId="63AFE22A"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(S_MWMAX_NI_GT)</w:t>
            </w:r>
            <w:bookmarkEnd w:id="6"/>
          </w:p>
        </w:tc>
        <w:tc>
          <w:tcPr>
            <w:tcW w:w="63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0988643F"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2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507A6A93"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tc>
        <w:tc>
          <w:tcPr>
            <w:tcW w:w="1503"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03577142"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272 MW</w:t>
            </w:r>
          </w:p>
        </w:tc>
        <w:tc>
          <w:tcPr>
            <w:tcW w:w="171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4CA09B03" w14:textId="33F4B2F6"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BGT1, BGT2, CGA, CGT8, EMPOWER, iPOWER, KGT1, KGT2, KGT3, KGT4</w:t>
            </w:r>
            <w:r>
              <w:rPr>
                <w:rFonts w:eastAsia="Times New Roman" w:cs="Arial"/>
                <w:color w:val="000000"/>
                <w:sz w:val="20"/>
                <w:szCs w:val="20"/>
                <w:lang w:val="en-US" w:eastAsia="en-IE"/>
              </w:rPr>
              <w:t>, CMN</w:t>
            </w:r>
          </w:p>
        </w:tc>
        <w:tc>
          <w:tcPr>
            <w:tcW w:w="2685"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4867981B"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Combined MW output of OCGTs and AGUs must be less than 272 MW (out of a total of 397 MW) in Northern Ireland at all times. 125 MW required for replacement reserve. The limit is subject to change based on the availability of the units and transmission constraints that may limit their output.</w:t>
            </w:r>
          </w:p>
        </w:tc>
      </w:tr>
      <w:tr w:rsidR="00BC315A" w:rsidRPr="00DD5295" w14:paraId="56D30E8C" w14:textId="77777777" w:rsidTr="2961FA0B">
        <w:trPr>
          <w:trHeight w:val="2047"/>
        </w:trPr>
        <w:tc>
          <w:tcPr>
            <w:tcW w:w="2260" w:type="dxa"/>
            <w:tcBorders>
              <w:top w:val="nil"/>
              <w:left w:val="single" w:sz="8" w:space="0" w:color="FFFFFF" w:themeColor="background1"/>
              <w:bottom w:val="single" w:sz="8" w:space="0" w:color="FFFFFF" w:themeColor="background1"/>
              <w:right w:val="single" w:sz="8" w:space="0" w:color="FFFFFF" w:themeColor="background1"/>
            </w:tcBorders>
            <w:shd w:val="clear" w:color="auto" w:fill="0070C0"/>
            <w:hideMark/>
          </w:tcPr>
          <w:p w14:paraId="31D79852"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North West Generation</w:t>
            </w:r>
          </w:p>
          <w:p w14:paraId="36FB3CE9" w14:textId="77777777" w:rsidR="00BC315A" w:rsidRPr="006471D6" w:rsidRDefault="00BC315A" w:rsidP="00BC315A">
            <w:pPr>
              <w:spacing w:line="240" w:lineRule="auto"/>
              <w:rPr>
                <w:rFonts w:eastAsia="Times New Roman" w:cs="Arial"/>
                <w:b/>
                <w:bCs/>
                <w:color w:val="FFFFFF"/>
                <w:sz w:val="20"/>
                <w:szCs w:val="20"/>
                <w:lang w:val="en-US" w:eastAsia="en-IE"/>
              </w:rPr>
            </w:pPr>
          </w:p>
          <w:p w14:paraId="5F5C762F"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(S_NBMIN_CPS)</w:t>
            </w:r>
          </w:p>
        </w:tc>
        <w:tc>
          <w:tcPr>
            <w:tcW w:w="63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792EC41C"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NB </w:t>
            </w:r>
          </w:p>
        </w:tc>
        <w:tc>
          <w:tcPr>
            <w:tcW w:w="72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12265A9D"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03"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646EF700"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0 or 1 Unit depending on NI system demand</w:t>
            </w:r>
          </w:p>
        </w:tc>
        <w:tc>
          <w:tcPr>
            <w:tcW w:w="1710"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10069D29"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C30 </w:t>
            </w:r>
          </w:p>
        </w:tc>
        <w:tc>
          <w:tcPr>
            <w:tcW w:w="2685" w:type="dxa"/>
            <w:tcBorders>
              <w:top w:val="nil"/>
              <w:left w:val="nil"/>
              <w:bottom w:val="single" w:sz="8" w:space="0" w:color="FFFFFF" w:themeColor="background1"/>
              <w:right w:val="single" w:sz="8" w:space="0" w:color="FFFFFF" w:themeColor="background1"/>
            </w:tcBorders>
            <w:shd w:val="clear" w:color="auto" w:fill="B8CCE4" w:themeFill="accent1" w:themeFillTint="66"/>
            <w:hideMark/>
          </w:tcPr>
          <w:p w14:paraId="68C7DF6C"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Coolkeeragh C30 must be on load when the NI system demand is at or above 1,550 MW, CGT8 is unavailable and NI wind generation &lt; 450 MW. This demand limit can be raised to 1,608 MW if CGT8 is available. For NI wind generation in excess of 450 MW there is no constraint. This operational constraint is required to ensure voltage stability in the northwest of Northern Ireland and to prevent possible system voltage collapse above the indicated system demand.</w:t>
            </w:r>
          </w:p>
        </w:tc>
      </w:tr>
      <w:tr w:rsidR="00BC315A" w:rsidRPr="00DD5295" w14:paraId="0BE232E8" w14:textId="77777777" w:rsidTr="2961FA0B">
        <w:trPr>
          <w:trHeight w:val="3212"/>
        </w:trPr>
        <w:tc>
          <w:tcPr>
            <w:tcW w:w="22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70C0"/>
          </w:tcPr>
          <w:p w14:paraId="79E1E24E"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lastRenderedPageBreak/>
              <w:t>Moyle Interconnector</w:t>
            </w:r>
          </w:p>
          <w:p w14:paraId="69B3B52E" w14:textId="77777777" w:rsidR="00BC315A" w:rsidRPr="006471D6" w:rsidRDefault="00BC315A" w:rsidP="00BC315A">
            <w:pPr>
              <w:spacing w:line="240" w:lineRule="auto"/>
              <w:rPr>
                <w:rFonts w:eastAsia="Times New Roman" w:cs="Arial"/>
                <w:b/>
                <w:bCs/>
                <w:color w:val="FFFFFF"/>
                <w:sz w:val="20"/>
                <w:szCs w:val="20"/>
                <w:lang w:val="en-US" w:eastAsia="en-IE"/>
              </w:rPr>
            </w:pPr>
          </w:p>
          <w:p w14:paraId="2E3AA6D0"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(S_MWMIN_MOYLE)</w:t>
            </w:r>
          </w:p>
          <w:p w14:paraId="1B1E5221" w14:textId="77777777" w:rsidR="00BC315A" w:rsidRPr="006471D6" w:rsidRDefault="00BC315A" w:rsidP="00BC315A">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(S_MWMAX_MOYLE)</w:t>
            </w:r>
          </w:p>
          <w:p w14:paraId="75418A49" w14:textId="77777777" w:rsidR="00BC315A" w:rsidRPr="006471D6" w:rsidRDefault="00BC315A" w:rsidP="00BC315A">
            <w:pPr>
              <w:spacing w:line="240" w:lineRule="auto"/>
              <w:rPr>
                <w:rFonts w:eastAsia="Times New Roman" w:cs="Arial"/>
                <w:b/>
                <w:bCs/>
                <w:color w:val="FFFFFF"/>
                <w:sz w:val="20"/>
                <w:szCs w:val="20"/>
                <w:lang w:val="en-US" w:eastAsia="en-IE"/>
              </w:rPr>
            </w:pPr>
          </w:p>
        </w:tc>
        <w:tc>
          <w:tcPr>
            <w:tcW w:w="630"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hemeFill="accent1" w:themeFillTint="66"/>
          </w:tcPr>
          <w:p w14:paraId="6E630B9A"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20"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hemeFill="accent1" w:themeFillTint="66"/>
          </w:tcPr>
          <w:p w14:paraId="68C1012A"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B</w:t>
            </w:r>
          </w:p>
        </w:tc>
        <w:tc>
          <w:tcPr>
            <w:tcW w:w="1503"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hemeFill="accent1" w:themeFillTint="66"/>
          </w:tcPr>
          <w:p w14:paraId="4F568997" w14:textId="682AB634"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-4</w:t>
            </w:r>
            <w:r>
              <w:rPr>
                <w:rFonts w:eastAsia="Times New Roman" w:cs="Arial"/>
                <w:color w:val="000000"/>
                <w:sz w:val="20"/>
                <w:szCs w:val="20"/>
                <w:lang w:val="en-US" w:eastAsia="en-IE"/>
              </w:rPr>
              <w:t>10</w:t>
            </w:r>
            <w:r w:rsidRPr="006471D6">
              <w:rPr>
                <w:rFonts w:eastAsia="Times New Roman" w:cs="Arial"/>
                <w:color w:val="000000"/>
                <w:sz w:val="20"/>
                <w:szCs w:val="20"/>
                <w:lang w:val="en-US" w:eastAsia="en-IE"/>
              </w:rPr>
              <w:t>* &lt; MW &lt; 44</w:t>
            </w:r>
            <w:r>
              <w:rPr>
                <w:rFonts w:eastAsia="Times New Roman" w:cs="Arial"/>
                <w:color w:val="000000"/>
                <w:sz w:val="20"/>
                <w:szCs w:val="20"/>
                <w:lang w:val="en-US" w:eastAsia="en-IE"/>
              </w:rPr>
              <w:t>1</w:t>
            </w:r>
          </w:p>
        </w:tc>
        <w:tc>
          <w:tcPr>
            <w:tcW w:w="1710"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hemeFill="accent1" w:themeFillTint="66"/>
          </w:tcPr>
          <w:p w14:paraId="45E93DD2" w14:textId="77777777"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Moyle Interconnector</w:t>
            </w:r>
            <w:r w:rsidRPr="006471D6">
              <w:rPr>
                <w:rFonts w:eastAsia="Times New Roman" w:cs="Arial"/>
                <w:color w:val="000000"/>
                <w:sz w:val="20"/>
                <w:szCs w:val="20"/>
                <w:vertAlign w:val="superscript"/>
                <w:lang w:val="en-US" w:eastAsia="en-IE"/>
              </w:rPr>
              <w:footnoteReference w:id="4"/>
            </w:r>
          </w:p>
        </w:tc>
        <w:tc>
          <w:tcPr>
            <w:tcW w:w="2685"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hemeFill="accent1" w:themeFillTint="66"/>
          </w:tcPr>
          <w:p w14:paraId="1FF58492" w14:textId="213EF97A" w:rsidR="00BC315A" w:rsidRPr="006471D6" w:rsidRDefault="00BC315A" w:rsidP="00BC315A">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It ensures that all flows do not exceed an import of 44</w:t>
            </w:r>
            <w:r>
              <w:rPr>
                <w:rFonts w:eastAsia="Times New Roman" w:cs="Arial"/>
                <w:color w:val="000000"/>
                <w:sz w:val="20"/>
                <w:szCs w:val="20"/>
                <w:lang w:val="en-US" w:eastAsia="en-IE"/>
              </w:rPr>
              <w:t>1</w:t>
            </w:r>
            <w:r w:rsidRPr="006471D6">
              <w:rPr>
                <w:rFonts w:eastAsia="Times New Roman" w:cs="Arial"/>
                <w:color w:val="000000"/>
                <w:sz w:val="20"/>
                <w:szCs w:val="20"/>
                <w:lang w:val="en-US" w:eastAsia="en-IE"/>
              </w:rPr>
              <w:t xml:space="preserve"> MW to Northern Ireland and an export of 4</w:t>
            </w:r>
            <w:r>
              <w:rPr>
                <w:rFonts w:eastAsia="Times New Roman" w:cs="Arial"/>
                <w:color w:val="000000"/>
                <w:sz w:val="20"/>
                <w:szCs w:val="20"/>
                <w:lang w:val="en-US" w:eastAsia="en-IE"/>
              </w:rPr>
              <w:t>10</w:t>
            </w:r>
            <w:r w:rsidRPr="006471D6">
              <w:rPr>
                <w:rFonts w:eastAsia="Times New Roman" w:cs="Arial"/>
                <w:color w:val="000000"/>
                <w:sz w:val="20"/>
                <w:szCs w:val="20"/>
                <w:lang w:val="en-US" w:eastAsia="en-IE"/>
              </w:rPr>
              <w:t xml:space="preserve"> MW* to Scotland (values taken from NI). This is required to ensure that the limits are respected. </w:t>
            </w:r>
            <w:r>
              <w:rPr>
                <w:rFonts w:eastAsia="Times New Roman" w:cs="Arial"/>
                <w:color w:val="000000"/>
                <w:sz w:val="20"/>
                <w:szCs w:val="20"/>
                <w:lang w:val="en-US" w:eastAsia="en-IE"/>
              </w:rPr>
              <w:t>Note that emergency flows may be -500 &lt; MW &lt; 500 due to reserve provision.</w:t>
            </w:r>
          </w:p>
          <w:p w14:paraId="28EBA25E" w14:textId="77777777" w:rsidR="00BC315A" w:rsidRPr="006471D6" w:rsidRDefault="00BC315A" w:rsidP="00BC315A">
            <w:pPr>
              <w:spacing w:line="240" w:lineRule="auto"/>
              <w:rPr>
                <w:rFonts w:eastAsia="Times New Roman" w:cs="Arial"/>
                <w:sz w:val="20"/>
                <w:szCs w:val="20"/>
                <w:lang w:val="en-US" w:eastAsia="en-IE"/>
              </w:rPr>
            </w:pPr>
            <w:r w:rsidRPr="006471D6">
              <w:rPr>
                <w:rFonts w:eastAsia="Times New Roman" w:cs="Arial"/>
                <w:sz w:val="20"/>
                <w:szCs w:val="20"/>
                <w:lang w:val="en-US" w:eastAsia="en-IE"/>
              </w:rPr>
              <w:t xml:space="preserve">*Notes: </w:t>
            </w:r>
          </w:p>
          <w:p w14:paraId="73BF45B5" w14:textId="77AFFA8A" w:rsidR="00BC315A" w:rsidRPr="006471D6" w:rsidRDefault="00BC315A" w:rsidP="00BC315A">
            <w:pPr>
              <w:spacing w:line="240" w:lineRule="auto"/>
              <w:rPr>
                <w:rFonts w:eastAsia="MS Mincho" w:cs="Arial"/>
                <w:sz w:val="20"/>
                <w:szCs w:val="20"/>
                <w:lang w:val="en-US" w:eastAsia="ja-JP"/>
              </w:rPr>
            </w:pPr>
            <w:r w:rsidRPr="006471D6">
              <w:rPr>
                <w:rFonts w:eastAsia="Times New Roman" w:cs="Arial"/>
                <w:sz w:val="20"/>
                <w:szCs w:val="20"/>
                <w:lang w:val="en-US" w:eastAsia="en-IE"/>
              </w:rPr>
              <w:t xml:space="preserve">1. </w:t>
            </w:r>
            <w:r w:rsidRPr="006471D6">
              <w:rPr>
                <w:rFonts w:eastAsia="MS Mincho" w:cs="Arial"/>
                <w:sz w:val="20"/>
                <w:szCs w:val="20"/>
                <w:lang w:val="en-US" w:eastAsia="ja-JP"/>
              </w:rPr>
              <w:t xml:space="preserve">Firm export limit on Moyle increased to </w:t>
            </w:r>
            <w:r>
              <w:rPr>
                <w:rFonts w:eastAsia="MS Mincho" w:cs="Arial"/>
                <w:sz w:val="20"/>
                <w:szCs w:val="20"/>
                <w:lang w:val="en-US" w:eastAsia="ja-JP"/>
              </w:rPr>
              <w:t xml:space="preserve">400 </w:t>
            </w:r>
            <w:r w:rsidRPr="006471D6">
              <w:rPr>
                <w:rFonts w:eastAsia="MS Mincho" w:cs="Arial"/>
                <w:sz w:val="20"/>
                <w:szCs w:val="20"/>
                <w:lang w:val="en-US" w:eastAsia="ja-JP"/>
              </w:rPr>
              <w:t>MW f</w:t>
            </w:r>
            <w:r>
              <w:rPr>
                <w:rFonts w:eastAsia="MS Mincho" w:cs="Arial"/>
                <w:sz w:val="20"/>
                <w:szCs w:val="20"/>
                <w:lang w:val="en-US" w:eastAsia="ja-JP"/>
              </w:rPr>
              <w:t>r</w:t>
            </w:r>
            <w:r w:rsidRPr="006471D6">
              <w:rPr>
                <w:rFonts w:eastAsia="MS Mincho" w:cs="Arial"/>
                <w:sz w:val="20"/>
                <w:szCs w:val="20"/>
                <w:lang w:val="en-US" w:eastAsia="ja-JP"/>
              </w:rPr>
              <w:t>o</w:t>
            </w:r>
            <w:r>
              <w:rPr>
                <w:rFonts w:eastAsia="MS Mincho" w:cs="Arial"/>
                <w:sz w:val="20"/>
                <w:szCs w:val="20"/>
                <w:lang w:val="en-US" w:eastAsia="ja-JP"/>
              </w:rPr>
              <w:t>m</w:t>
            </w:r>
            <w:r w:rsidRPr="006471D6">
              <w:rPr>
                <w:rFonts w:eastAsia="MS Mincho" w:cs="Arial"/>
                <w:sz w:val="20"/>
                <w:szCs w:val="20"/>
                <w:lang w:val="en-US" w:eastAsia="ja-JP"/>
              </w:rPr>
              <w:t xml:space="preserve"> 1</w:t>
            </w:r>
            <w:r w:rsidRPr="006471D6">
              <w:rPr>
                <w:rFonts w:eastAsia="MS Mincho" w:cs="Arial"/>
                <w:sz w:val="20"/>
                <w:szCs w:val="20"/>
                <w:vertAlign w:val="superscript"/>
                <w:lang w:val="en-US" w:eastAsia="ja-JP"/>
              </w:rPr>
              <w:t>st</w:t>
            </w:r>
            <w:r w:rsidRPr="006471D6">
              <w:rPr>
                <w:rFonts w:eastAsia="MS Mincho" w:cs="Arial"/>
                <w:sz w:val="20"/>
                <w:szCs w:val="20"/>
                <w:lang w:val="en-US" w:eastAsia="ja-JP"/>
              </w:rPr>
              <w:t xml:space="preserve">   </w:t>
            </w:r>
            <w:r>
              <w:rPr>
                <w:rFonts w:eastAsia="MS Mincho" w:cs="Arial"/>
                <w:sz w:val="20"/>
                <w:szCs w:val="20"/>
                <w:lang w:val="en-US" w:eastAsia="ja-JP"/>
              </w:rPr>
              <w:t>April 2022</w:t>
            </w:r>
          </w:p>
        </w:tc>
      </w:tr>
    </w:tbl>
    <w:p w14:paraId="7FC7B562" w14:textId="5C5B2182" w:rsidR="00C8651E" w:rsidRPr="00DD5295" w:rsidRDefault="00C8651E" w:rsidP="004F6CB9">
      <w:pPr>
        <w:pStyle w:val="EGStyleGuide-Subheadline"/>
        <w:rPr>
          <w:rFonts w:eastAsia="MS Gothic"/>
        </w:rPr>
      </w:pPr>
      <w:r w:rsidRPr="00DD5295">
        <w:rPr>
          <w:rFonts w:eastAsia="MS Gothic"/>
        </w:rPr>
        <w:br w:type="page"/>
      </w:r>
      <w:bookmarkStart w:id="7" w:name="_Toc67669756"/>
      <w:r w:rsidRPr="00DD5295">
        <w:rPr>
          <w:rFonts w:eastAsia="MS Gothic"/>
        </w:rPr>
        <w:lastRenderedPageBreak/>
        <w:t>Active Ireland Constraints</w:t>
      </w:r>
      <w:bookmarkEnd w:id="7"/>
    </w:p>
    <w:p w14:paraId="69829A89" w14:textId="699CB61F" w:rsidR="004B37E1" w:rsidRPr="004B37E1" w:rsidRDefault="004B37E1" w:rsidP="009B7778">
      <w:pPr>
        <w:pStyle w:val="ListParagraph"/>
        <w:numPr>
          <w:ilvl w:val="1"/>
          <w:numId w:val="17"/>
        </w:numPr>
        <w:rPr>
          <w:lang w:val="en-GB" w:eastAsia="en-GB"/>
        </w:rPr>
      </w:pPr>
      <w:bookmarkStart w:id="8" w:name="_Ref10802203"/>
      <w:r>
        <w:rPr>
          <w:lang w:val="en-GB" w:eastAsia="en-GB"/>
        </w:rPr>
        <w:t>Note</w:t>
      </w:r>
      <w:r w:rsidR="0021569D">
        <w:rPr>
          <w:lang w:val="en-GB" w:eastAsia="en-GB"/>
        </w:rPr>
        <w:t xml:space="preserve"> that the South Generation NB constraint groups </w:t>
      </w:r>
      <w:r w:rsidR="001855D7" w:rsidRPr="001855D7">
        <w:rPr>
          <w:lang w:val="en-GB" w:eastAsia="en-GB"/>
        </w:rPr>
        <w:t>STHLO1</w:t>
      </w:r>
      <w:r>
        <w:rPr>
          <w:lang w:val="en-GB" w:eastAsia="en-GB"/>
        </w:rPr>
        <w:t>,</w:t>
      </w:r>
      <w:r w:rsidR="001855D7">
        <w:rPr>
          <w:lang w:val="en-GB" w:eastAsia="en-GB"/>
        </w:rPr>
        <w:t xml:space="preserve"> STHLO2 &amp; STHHI1</w:t>
      </w:r>
      <w:r>
        <w:rPr>
          <w:lang w:val="en-GB" w:eastAsia="en-GB"/>
        </w:rPr>
        <w:t xml:space="preserve"> </w:t>
      </w:r>
      <w:r w:rsidR="0021569D">
        <w:rPr>
          <w:lang w:val="en-GB" w:eastAsia="en-GB"/>
        </w:rPr>
        <w:t xml:space="preserve">have been </w:t>
      </w:r>
      <w:r w:rsidR="00001F92">
        <w:rPr>
          <w:lang w:val="en-GB" w:eastAsia="en-GB"/>
        </w:rPr>
        <w:t>removed</w:t>
      </w:r>
      <w:r w:rsidR="0021569D">
        <w:rPr>
          <w:lang w:val="en-GB" w:eastAsia="en-GB"/>
        </w:rPr>
        <w:t xml:space="preserve"> on</w:t>
      </w:r>
      <w:r>
        <w:rPr>
          <w:lang w:val="en-GB" w:eastAsia="en-GB"/>
        </w:rPr>
        <w:t xml:space="preserve"> a tr</w:t>
      </w:r>
      <w:r w:rsidR="0021569D">
        <w:rPr>
          <w:lang w:val="en-GB" w:eastAsia="en-GB"/>
        </w:rPr>
        <w:t>ia</w:t>
      </w:r>
      <w:r>
        <w:rPr>
          <w:lang w:val="en-GB" w:eastAsia="en-GB"/>
        </w:rPr>
        <w:t>l basis</w:t>
      </w:r>
      <w:r w:rsidR="0021569D">
        <w:rPr>
          <w:lang w:val="en-GB" w:eastAsia="en-GB"/>
        </w:rPr>
        <w:t xml:space="preserve"> and are subject to review</w:t>
      </w:r>
      <w:r w:rsidR="00001F92">
        <w:rPr>
          <w:lang w:val="en-GB" w:eastAsia="en-GB"/>
        </w:rPr>
        <w:t>.</w:t>
      </w:r>
    </w:p>
    <w:p w14:paraId="2B867F44" w14:textId="3C03A2DF" w:rsidR="00C8651E" w:rsidRPr="004B37E1" w:rsidRDefault="00C8651E" w:rsidP="009B7778">
      <w:pPr>
        <w:pStyle w:val="ListParagraph"/>
        <w:numPr>
          <w:ilvl w:val="0"/>
          <w:numId w:val="17"/>
        </w:numPr>
        <w:rPr>
          <w:lang w:val="en-GB" w:eastAsia="en-GB"/>
        </w:rPr>
      </w:pPr>
      <w:r w:rsidRPr="004B37E1">
        <w:rPr>
          <w:lang w:val="en-GB" w:eastAsia="en-GB"/>
        </w:rPr>
        <w:t>Scenario A: In this scenario if PBA or PBB are operating in combined cycle mode they will be considered as constraint resources</w:t>
      </w:r>
      <w:bookmarkEnd w:id="8"/>
      <w:r w:rsidR="00001F92">
        <w:rPr>
          <w:lang w:val="en-GB" w:eastAsia="en-GB"/>
        </w:rPr>
        <w:t>.</w:t>
      </w:r>
    </w:p>
    <w:p w14:paraId="61CD278C" w14:textId="728C1628" w:rsidR="00C8651E" w:rsidRDefault="00C8651E" w:rsidP="006471D6">
      <w:pPr>
        <w:pStyle w:val="ListParagraph"/>
        <w:numPr>
          <w:ilvl w:val="0"/>
          <w:numId w:val="15"/>
        </w:numPr>
        <w:rPr>
          <w:rFonts w:cs="Arial"/>
          <w:lang w:val="en-GB" w:eastAsia="en-GB"/>
        </w:rPr>
      </w:pPr>
      <w:bookmarkStart w:id="9" w:name="_Ref10802243"/>
      <w:r w:rsidRPr="00027DB4">
        <w:rPr>
          <w:rFonts w:cs="Arial"/>
          <w:lang w:val="en-GB" w:eastAsia="en-GB"/>
        </w:rPr>
        <w:t>Scenario B: In this scenario if PBA or PBB are configured to synchronise in 10 minutes they will be considered as constraint resources</w:t>
      </w:r>
      <w:bookmarkEnd w:id="9"/>
      <w:r w:rsidR="00001F92">
        <w:rPr>
          <w:rFonts w:cs="Arial"/>
          <w:lang w:val="en-GB" w:eastAsia="en-GB"/>
        </w:rPr>
        <w:t>.</w:t>
      </w:r>
    </w:p>
    <w:p w14:paraId="0F813C3A" w14:textId="77777777" w:rsidR="00027DB4" w:rsidRPr="0065255B" w:rsidRDefault="00027DB4" w:rsidP="006471D6">
      <w:pPr>
        <w:pStyle w:val="ListParagraph"/>
        <w:rPr>
          <w:rFonts w:cs="Arial"/>
          <w:lang w:val="en-GB" w:eastAsia="en-GB"/>
        </w:rPr>
      </w:pPr>
    </w:p>
    <w:tbl>
      <w:tblPr>
        <w:tblW w:w="9416"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2837"/>
        <w:gridCol w:w="702"/>
        <w:gridCol w:w="769"/>
        <w:gridCol w:w="1510"/>
        <w:gridCol w:w="1593"/>
        <w:gridCol w:w="2005"/>
      </w:tblGrid>
      <w:tr w:rsidR="00C8651E" w:rsidRPr="00DD5295" w14:paraId="447284B4" w14:textId="77777777" w:rsidTr="00760D0D">
        <w:trPr>
          <w:trHeight w:val="514"/>
          <w:tblHeader/>
        </w:trPr>
        <w:tc>
          <w:tcPr>
            <w:tcW w:w="2837" w:type="dxa"/>
            <w:shd w:val="clear" w:color="auto" w:fill="5F497A" w:themeFill="accent4" w:themeFillShade="BF"/>
            <w:hideMark/>
          </w:tcPr>
          <w:p w14:paraId="16730984"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Name</w:t>
            </w:r>
          </w:p>
        </w:tc>
        <w:tc>
          <w:tcPr>
            <w:tcW w:w="702" w:type="dxa"/>
            <w:shd w:val="clear" w:color="auto" w:fill="5F497A" w:themeFill="accent4" w:themeFillShade="BF"/>
            <w:hideMark/>
          </w:tcPr>
          <w:p w14:paraId="5640D6C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TCG Type</w:t>
            </w:r>
          </w:p>
        </w:tc>
        <w:tc>
          <w:tcPr>
            <w:tcW w:w="769" w:type="dxa"/>
            <w:shd w:val="clear" w:color="auto" w:fill="5F497A" w:themeFill="accent4" w:themeFillShade="BF"/>
            <w:hideMark/>
          </w:tcPr>
          <w:p w14:paraId="107BA719"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 Type</w:t>
            </w:r>
          </w:p>
        </w:tc>
        <w:tc>
          <w:tcPr>
            <w:tcW w:w="1510" w:type="dxa"/>
            <w:shd w:val="clear" w:color="auto" w:fill="5F497A" w:themeFill="accent4" w:themeFillShade="BF"/>
            <w:hideMark/>
          </w:tcPr>
          <w:p w14:paraId="72C61CA8"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Limit</w:t>
            </w:r>
          </w:p>
        </w:tc>
        <w:tc>
          <w:tcPr>
            <w:tcW w:w="1593" w:type="dxa"/>
            <w:shd w:val="clear" w:color="auto" w:fill="5F497A" w:themeFill="accent4" w:themeFillShade="BF"/>
            <w:hideMark/>
          </w:tcPr>
          <w:p w14:paraId="35464A2D"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Resources</w:t>
            </w:r>
          </w:p>
        </w:tc>
        <w:tc>
          <w:tcPr>
            <w:tcW w:w="2005" w:type="dxa"/>
            <w:shd w:val="clear" w:color="auto" w:fill="5F497A" w:themeFill="accent4" w:themeFillShade="BF"/>
            <w:hideMark/>
          </w:tcPr>
          <w:p w14:paraId="64985E9C"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Description</w:t>
            </w:r>
          </w:p>
        </w:tc>
      </w:tr>
      <w:tr w:rsidR="00C8651E" w:rsidRPr="00DD5295" w14:paraId="346CFBFC" w14:textId="77777777" w:rsidTr="00760D0D">
        <w:trPr>
          <w:trHeight w:val="1098"/>
        </w:trPr>
        <w:tc>
          <w:tcPr>
            <w:tcW w:w="2837" w:type="dxa"/>
            <w:shd w:val="clear" w:color="auto" w:fill="5F497A" w:themeFill="accent4" w:themeFillShade="BF"/>
            <w:hideMark/>
          </w:tcPr>
          <w:p w14:paraId="7859B4CB"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System Stability</w:t>
            </w:r>
          </w:p>
          <w:p w14:paraId="2479D3EC" w14:textId="77777777" w:rsidR="00C8651E" w:rsidRPr="006471D6" w:rsidRDefault="00C8651E" w:rsidP="00C8651E">
            <w:pPr>
              <w:spacing w:line="240" w:lineRule="auto"/>
              <w:rPr>
                <w:rFonts w:eastAsia="Times New Roman" w:cs="Arial"/>
                <w:b/>
                <w:bCs/>
                <w:color w:val="FFFFFF"/>
                <w:sz w:val="20"/>
                <w:szCs w:val="20"/>
                <w:lang w:val="en-US" w:eastAsia="en-IE"/>
              </w:rPr>
            </w:pPr>
          </w:p>
          <w:p w14:paraId="70C3C818"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(S_NBMIN_ROImin)</w:t>
            </w:r>
          </w:p>
        </w:tc>
        <w:tc>
          <w:tcPr>
            <w:tcW w:w="702" w:type="dxa"/>
            <w:shd w:val="clear" w:color="auto" w:fill="CCC0D9" w:themeFill="accent4" w:themeFillTint="66"/>
            <w:hideMark/>
          </w:tcPr>
          <w:p w14:paraId="21E025E0"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NB</w:t>
            </w:r>
          </w:p>
        </w:tc>
        <w:tc>
          <w:tcPr>
            <w:tcW w:w="769" w:type="dxa"/>
            <w:shd w:val="clear" w:color="auto" w:fill="CCC0D9" w:themeFill="accent4" w:themeFillTint="66"/>
            <w:hideMark/>
          </w:tcPr>
          <w:p w14:paraId="2F19BE3E"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10" w:type="dxa"/>
            <w:shd w:val="clear" w:color="auto" w:fill="CCC0D9" w:themeFill="accent4" w:themeFillTint="66"/>
            <w:hideMark/>
          </w:tcPr>
          <w:p w14:paraId="09A42F63" w14:textId="36865DDE" w:rsidR="00C8651E" w:rsidRPr="006471D6" w:rsidRDefault="000F21C8"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4</w:t>
            </w:r>
            <w:r w:rsidR="00C8651E" w:rsidRPr="006471D6">
              <w:rPr>
                <w:rFonts w:eastAsia="Times New Roman" w:cs="Arial"/>
                <w:color w:val="000000"/>
                <w:sz w:val="20"/>
                <w:szCs w:val="20"/>
                <w:lang w:val="en-US" w:eastAsia="en-IE"/>
              </w:rPr>
              <w:t xml:space="preserve"> Units</w:t>
            </w:r>
          </w:p>
        </w:tc>
        <w:tc>
          <w:tcPr>
            <w:tcW w:w="1593" w:type="dxa"/>
            <w:shd w:val="clear" w:color="auto" w:fill="CCC0D9" w:themeFill="accent4" w:themeFillTint="66"/>
            <w:hideMark/>
          </w:tcPr>
          <w:p w14:paraId="7ABA9ACA" w14:textId="39ABDAD0" w:rsidR="00C8651E" w:rsidRPr="006471D6" w:rsidRDefault="00C8651E" w:rsidP="00C8651E">
            <w:pPr>
              <w:spacing w:line="240" w:lineRule="auto"/>
              <w:rPr>
                <w:rFonts w:eastAsia="Times New Roman" w:cs="Arial"/>
                <w:color w:val="000000"/>
                <w:sz w:val="20"/>
                <w:szCs w:val="20"/>
                <w:lang w:val="en-US" w:eastAsia="en-IE"/>
              </w:rPr>
            </w:pPr>
            <w:r w:rsidRPr="65D29DA1">
              <w:rPr>
                <w:rFonts w:eastAsia="Times New Roman" w:cs="Arial"/>
                <w:color w:val="000000" w:themeColor="text1"/>
                <w:sz w:val="20"/>
                <w:szCs w:val="20"/>
                <w:lang w:val="en-US" w:eastAsia="en-IE"/>
              </w:rPr>
              <w:t xml:space="preserve">AD2, DB1, GI4, HNC, HN2, PBA </w:t>
            </w:r>
            <w:r w:rsidRPr="65D29DA1">
              <w:rPr>
                <w:rFonts w:eastAsia="Times New Roman" w:cs="Arial"/>
                <w:color w:val="000000" w:themeColor="text1"/>
                <w:sz w:val="20"/>
                <w:szCs w:val="20"/>
                <w:lang w:val="en-US" w:eastAsia="en-IE"/>
              </w:rPr>
              <w:fldChar w:fldCharType="begin"/>
            </w:r>
            <w:r w:rsidRPr="65D29DA1">
              <w:rPr>
                <w:rFonts w:eastAsia="Times New Roman" w:cs="Arial"/>
                <w:color w:val="000000" w:themeColor="text1"/>
                <w:sz w:val="20"/>
                <w:szCs w:val="20"/>
                <w:lang w:val="en-US" w:eastAsia="en-IE"/>
              </w:rPr>
              <w:instrText xml:space="preserve"> REF _Ref10802203 \r  \* MERGEFORMAT </w:instrText>
            </w:r>
            <w:r w:rsidRPr="65D29DA1">
              <w:rPr>
                <w:rFonts w:eastAsia="Times New Roman" w:cs="Arial"/>
                <w:color w:val="000000" w:themeColor="text1"/>
                <w:sz w:val="20"/>
                <w:szCs w:val="20"/>
                <w:lang w:val="en-US" w:eastAsia="en-IE"/>
              </w:rPr>
              <w:fldChar w:fldCharType="separate"/>
            </w:r>
            <w:r w:rsidR="00346D72">
              <w:rPr>
                <w:rFonts w:eastAsia="Times New Roman" w:cs="Arial"/>
                <w:color w:val="000000" w:themeColor="text1"/>
                <w:sz w:val="20"/>
                <w:szCs w:val="20"/>
                <w:lang w:val="en-US" w:eastAsia="en-IE"/>
              </w:rPr>
              <w:t></w:t>
            </w:r>
            <w:r w:rsidR="00346D72">
              <w:rPr>
                <w:rFonts w:eastAsia="Times New Roman" w:cs="Arial"/>
                <w:color w:val="000000" w:themeColor="text1"/>
                <w:sz w:val="20"/>
                <w:szCs w:val="20"/>
                <w:lang w:val="en-US" w:eastAsia="en-IE"/>
              </w:rPr>
              <w:t></w:t>
            </w:r>
            <w:r w:rsidRPr="65D29DA1">
              <w:rPr>
                <w:rFonts w:eastAsia="Times New Roman" w:cs="Arial"/>
                <w:color w:val="000000" w:themeColor="text1"/>
                <w:sz w:val="20"/>
                <w:szCs w:val="20"/>
                <w:lang w:val="en-US" w:eastAsia="en-IE"/>
              </w:rPr>
              <w:fldChar w:fldCharType="end"/>
            </w:r>
            <w:r w:rsidRPr="65D29DA1">
              <w:rPr>
                <w:rFonts w:eastAsia="Times New Roman" w:cs="Arial"/>
                <w:color w:val="000000" w:themeColor="text1"/>
                <w:sz w:val="20"/>
                <w:szCs w:val="20"/>
                <w:lang w:val="en-US" w:eastAsia="en-IE"/>
              </w:rPr>
              <w:t xml:space="preserve">, PBB </w:t>
            </w:r>
            <w:r w:rsidRPr="65D29DA1">
              <w:rPr>
                <w:rFonts w:eastAsia="Times New Roman" w:cs="Arial"/>
                <w:color w:val="000000" w:themeColor="text1"/>
                <w:sz w:val="20"/>
                <w:szCs w:val="20"/>
                <w:lang w:val="en-US" w:eastAsia="en-IE"/>
              </w:rPr>
              <w:fldChar w:fldCharType="begin"/>
            </w:r>
            <w:r w:rsidRPr="65D29DA1">
              <w:rPr>
                <w:rFonts w:eastAsia="Times New Roman" w:cs="Arial"/>
                <w:color w:val="000000" w:themeColor="text1"/>
                <w:sz w:val="20"/>
                <w:szCs w:val="20"/>
                <w:lang w:val="en-US" w:eastAsia="en-IE"/>
              </w:rPr>
              <w:instrText xml:space="preserve"> REF _Ref10802203 \r  \* MERGEFORMAT </w:instrText>
            </w:r>
            <w:r w:rsidRPr="65D29DA1">
              <w:rPr>
                <w:rFonts w:eastAsia="Times New Roman" w:cs="Arial"/>
                <w:color w:val="000000" w:themeColor="text1"/>
                <w:sz w:val="20"/>
                <w:szCs w:val="20"/>
                <w:lang w:val="en-US" w:eastAsia="en-IE"/>
              </w:rPr>
              <w:fldChar w:fldCharType="separate"/>
            </w:r>
            <w:r w:rsidR="00346D72">
              <w:rPr>
                <w:rFonts w:eastAsia="Times New Roman" w:cs="Arial"/>
                <w:color w:val="000000" w:themeColor="text1"/>
                <w:sz w:val="20"/>
                <w:szCs w:val="20"/>
                <w:lang w:val="en-US" w:eastAsia="en-IE"/>
              </w:rPr>
              <w:t></w:t>
            </w:r>
            <w:r w:rsidR="00346D72">
              <w:rPr>
                <w:rFonts w:eastAsia="Times New Roman" w:cs="Arial"/>
                <w:color w:val="000000" w:themeColor="text1"/>
                <w:sz w:val="20"/>
                <w:szCs w:val="20"/>
                <w:lang w:val="en-US" w:eastAsia="en-IE"/>
              </w:rPr>
              <w:t></w:t>
            </w:r>
            <w:r w:rsidRPr="65D29DA1">
              <w:rPr>
                <w:rFonts w:eastAsia="Times New Roman" w:cs="Arial"/>
                <w:color w:val="000000" w:themeColor="text1"/>
                <w:sz w:val="20"/>
                <w:szCs w:val="20"/>
                <w:lang w:val="en-US" w:eastAsia="en-IE"/>
              </w:rPr>
              <w:fldChar w:fldCharType="end"/>
            </w:r>
            <w:r w:rsidRPr="65D29DA1">
              <w:rPr>
                <w:rFonts w:eastAsia="Times New Roman" w:cs="Arial"/>
                <w:color w:val="000000" w:themeColor="text1"/>
                <w:sz w:val="20"/>
                <w:szCs w:val="20"/>
                <w:lang w:val="en-US" w:eastAsia="en-IE"/>
              </w:rPr>
              <w:t>, TYC, WG1</w:t>
            </w:r>
          </w:p>
        </w:tc>
        <w:tc>
          <w:tcPr>
            <w:tcW w:w="2005" w:type="dxa"/>
            <w:shd w:val="clear" w:color="auto" w:fill="CCC0D9" w:themeFill="accent4" w:themeFillTint="66"/>
            <w:hideMark/>
          </w:tcPr>
          <w:p w14:paraId="06267D98" w14:textId="36AACD09" w:rsidR="0033740F" w:rsidRDefault="00C8651E" w:rsidP="00C8651E">
            <w:pPr>
              <w:spacing w:line="240" w:lineRule="auto"/>
              <w:rPr>
                <w:rFonts w:eastAsia="Times New Roman" w:cs="Arial"/>
                <w:sz w:val="20"/>
                <w:szCs w:val="20"/>
                <w:lang w:val="en-US" w:eastAsia="en-IE"/>
              </w:rPr>
            </w:pPr>
            <w:r w:rsidRPr="006471D6">
              <w:rPr>
                <w:rFonts w:eastAsia="Times New Roman" w:cs="Arial"/>
                <w:color w:val="000000"/>
                <w:sz w:val="20"/>
                <w:szCs w:val="20"/>
                <w:lang w:val="en-US" w:eastAsia="en-IE"/>
              </w:rPr>
              <w:t xml:space="preserve">There must be at least </w:t>
            </w:r>
            <w:r w:rsidR="000F21C8">
              <w:rPr>
                <w:rFonts w:eastAsia="Times New Roman" w:cs="Arial"/>
                <w:color w:val="000000"/>
                <w:sz w:val="20"/>
                <w:szCs w:val="20"/>
                <w:lang w:val="en-US" w:eastAsia="en-IE"/>
              </w:rPr>
              <w:t>4</w:t>
            </w:r>
            <w:r w:rsidRPr="006471D6">
              <w:rPr>
                <w:rFonts w:eastAsia="Times New Roman" w:cs="Arial"/>
                <w:color w:val="000000"/>
                <w:sz w:val="20"/>
                <w:szCs w:val="20"/>
                <w:lang w:val="en-US" w:eastAsia="en-IE"/>
              </w:rPr>
              <w:t xml:space="preserve"> machines on-load at all times in Ireland. Required for dynamic stability</w:t>
            </w:r>
            <w:r w:rsidRPr="009971BA">
              <w:rPr>
                <w:rFonts w:eastAsia="Times New Roman" w:cs="Arial"/>
                <w:sz w:val="20"/>
                <w:szCs w:val="20"/>
                <w:lang w:val="en-US" w:eastAsia="en-IE"/>
              </w:rPr>
              <w:t>.</w:t>
            </w:r>
            <w:r w:rsidR="0033740F" w:rsidRPr="009971BA">
              <w:rPr>
                <w:rFonts w:eastAsia="Times New Roman" w:cs="Arial"/>
                <w:sz w:val="20"/>
                <w:szCs w:val="20"/>
                <w:lang w:val="en-US" w:eastAsia="en-IE"/>
              </w:rPr>
              <w:t xml:space="preserve"> </w:t>
            </w:r>
          </w:p>
          <w:p w14:paraId="6B1AB500" w14:textId="77777777" w:rsidR="00C8651E" w:rsidRPr="006471D6" w:rsidRDefault="00C8651E" w:rsidP="00C8651E">
            <w:pPr>
              <w:spacing w:line="240" w:lineRule="auto"/>
              <w:rPr>
                <w:rFonts w:eastAsia="Times New Roman" w:cs="Arial"/>
                <w:color w:val="000000"/>
                <w:sz w:val="20"/>
                <w:szCs w:val="20"/>
                <w:lang w:val="en-US" w:eastAsia="en-IE"/>
              </w:rPr>
            </w:pPr>
          </w:p>
          <w:p w14:paraId="7A9EAD58" w14:textId="4FD2466F"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_Ref10802203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See Scenario A</w:t>
            </w:r>
          </w:p>
        </w:tc>
      </w:tr>
      <w:tr w:rsidR="00C8651E" w:rsidRPr="00DD5295" w14:paraId="6610B782" w14:textId="77777777" w:rsidTr="00760D0D">
        <w:trPr>
          <w:trHeight w:val="1645"/>
        </w:trPr>
        <w:tc>
          <w:tcPr>
            <w:tcW w:w="2837" w:type="dxa"/>
            <w:shd w:val="clear" w:color="auto" w:fill="5F497A" w:themeFill="accent4" w:themeFillShade="BF"/>
            <w:hideMark/>
          </w:tcPr>
          <w:p w14:paraId="540BC57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Replacement Reserve</w:t>
            </w:r>
          </w:p>
          <w:p w14:paraId="62A44F88" w14:textId="77777777" w:rsidR="00C8651E" w:rsidRPr="006471D6" w:rsidRDefault="00C8651E" w:rsidP="00C8651E">
            <w:pPr>
              <w:spacing w:line="240" w:lineRule="auto"/>
              <w:rPr>
                <w:rFonts w:eastAsia="Times New Roman" w:cs="Arial"/>
                <w:b/>
                <w:bCs/>
                <w:color w:val="FFFFFF"/>
                <w:sz w:val="20"/>
                <w:szCs w:val="20"/>
                <w:lang w:val="en-US" w:eastAsia="en-IE"/>
              </w:rPr>
            </w:pPr>
          </w:p>
          <w:p w14:paraId="548C0FAA"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(S_REP_ROI)</w:t>
            </w:r>
          </w:p>
          <w:p w14:paraId="1C41BEE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(S_MWMAX_ROI_GT)</w:t>
            </w:r>
          </w:p>
        </w:tc>
        <w:tc>
          <w:tcPr>
            <w:tcW w:w="702" w:type="dxa"/>
            <w:shd w:val="clear" w:color="auto" w:fill="CCC0D9" w:themeFill="accent4" w:themeFillTint="66"/>
            <w:hideMark/>
          </w:tcPr>
          <w:p w14:paraId="21449A94"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69" w:type="dxa"/>
            <w:shd w:val="clear" w:color="auto" w:fill="CCC0D9" w:themeFill="accent4" w:themeFillTint="66"/>
            <w:hideMark/>
          </w:tcPr>
          <w:p w14:paraId="5FEAD543"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X:&lt;=</w:t>
            </w:r>
          </w:p>
        </w:tc>
        <w:tc>
          <w:tcPr>
            <w:tcW w:w="1510" w:type="dxa"/>
            <w:shd w:val="clear" w:color="auto" w:fill="CCC0D9" w:themeFill="accent4" w:themeFillTint="66"/>
            <w:hideMark/>
          </w:tcPr>
          <w:p w14:paraId="4F045FB4" w14:textId="40E471E7" w:rsidR="00C8651E" w:rsidRPr="006471D6" w:rsidRDefault="00BF3D51"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See Description</w:t>
            </w:r>
          </w:p>
        </w:tc>
        <w:tc>
          <w:tcPr>
            <w:tcW w:w="1593" w:type="dxa"/>
            <w:shd w:val="clear" w:color="auto" w:fill="CCC0D9" w:themeFill="accent4" w:themeFillTint="66"/>
            <w:hideMark/>
          </w:tcPr>
          <w:p w14:paraId="75D85999" w14:textId="1109FAEC"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AT1, AT2, AT4, ED3, ED5, </w:t>
            </w:r>
            <w:r w:rsidR="00284756">
              <w:rPr>
                <w:rFonts w:eastAsia="Times New Roman" w:cs="Arial"/>
                <w:color w:val="000000"/>
                <w:sz w:val="20"/>
                <w:szCs w:val="20"/>
                <w:lang w:val="en-US" w:eastAsia="en-IE"/>
              </w:rPr>
              <w:t xml:space="preserve">FG2, IS3, </w:t>
            </w:r>
            <w:r w:rsidRPr="006471D6">
              <w:rPr>
                <w:rFonts w:eastAsia="Times New Roman" w:cs="Arial"/>
                <w:color w:val="000000"/>
                <w:sz w:val="20"/>
                <w:szCs w:val="20"/>
                <w:lang w:val="en-US" w:eastAsia="en-IE"/>
              </w:rPr>
              <w:t>RP1, RP2, TP1, TP3</w:t>
            </w:r>
            <w:r w:rsidR="00284756">
              <w:rPr>
                <w:rFonts w:eastAsia="Times New Roman" w:cs="Arial"/>
                <w:color w:val="000000"/>
                <w:sz w:val="20"/>
                <w:szCs w:val="20"/>
                <w:lang w:val="en-US" w:eastAsia="en-IE"/>
              </w:rPr>
              <w:t>,</w:t>
            </w:r>
            <w:r w:rsidRPr="006471D6">
              <w:rPr>
                <w:rFonts w:eastAsia="Times New Roman" w:cs="Arial"/>
                <w:color w:val="000000"/>
                <w:sz w:val="20"/>
                <w:szCs w:val="20"/>
                <w:lang w:val="en-US" w:eastAsia="en-IE"/>
              </w:rPr>
              <w:t xml:space="preserve"> PBA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PBB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00284756">
              <w:rPr>
                <w:rFonts w:eastAsia="Times New Roman" w:cs="Arial"/>
                <w:color w:val="000000"/>
                <w:sz w:val="20"/>
                <w:szCs w:val="20"/>
                <w:lang w:val="en-US" w:eastAsia="en-IE"/>
              </w:rPr>
              <w:t>, PB7</w:t>
            </w:r>
          </w:p>
        </w:tc>
        <w:tc>
          <w:tcPr>
            <w:tcW w:w="2005" w:type="dxa"/>
            <w:shd w:val="clear" w:color="auto" w:fill="CCC0D9" w:themeFill="accent4" w:themeFillTint="66"/>
            <w:hideMark/>
          </w:tcPr>
          <w:p w14:paraId="07F2414A" w14:textId="7BED740D" w:rsidR="00C8651E" w:rsidRPr="006471D6" w:rsidRDefault="00307738" w:rsidP="00C8651E">
            <w:pPr>
              <w:spacing w:line="240" w:lineRule="auto"/>
              <w:rPr>
                <w:rFonts w:eastAsia="Times New Roman" w:cs="Arial"/>
                <w:color w:val="000000"/>
                <w:sz w:val="20"/>
                <w:szCs w:val="20"/>
                <w:lang w:val="en-US" w:eastAsia="en-IE"/>
              </w:rPr>
            </w:pPr>
            <w:r w:rsidRPr="00A76D94">
              <w:t>Combined MW output of peaking units must be limited such that 325 MW remains available in Ireland at all times. The limit is subject to change based on the availability of the units, transmission constraints that may limit their output and on whether units PBA and/or PBB are operating in open cycle mode</w:t>
            </w:r>
            <w:r w:rsidR="00C8651E" w:rsidRPr="006471D6">
              <w:rPr>
                <w:rFonts w:eastAsia="Times New Roman" w:cs="Arial"/>
                <w:color w:val="000000"/>
                <w:sz w:val="20"/>
                <w:szCs w:val="20"/>
                <w:lang w:val="en-US" w:eastAsia="en-IE"/>
              </w:rPr>
              <w:t>.</w:t>
            </w:r>
          </w:p>
          <w:p w14:paraId="73BF6D5A" w14:textId="77777777" w:rsidR="00C8651E" w:rsidRPr="006471D6" w:rsidRDefault="00C8651E" w:rsidP="00C8651E">
            <w:pPr>
              <w:spacing w:line="240" w:lineRule="auto"/>
              <w:rPr>
                <w:rFonts w:eastAsia="Times New Roman" w:cs="Arial"/>
                <w:color w:val="000000"/>
                <w:sz w:val="20"/>
                <w:szCs w:val="20"/>
                <w:lang w:val="en-US" w:eastAsia="en-IE"/>
              </w:rPr>
            </w:pPr>
          </w:p>
          <w:p w14:paraId="11D2FBC0" w14:textId="651BE1E5"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See Scenario B</w:t>
            </w:r>
          </w:p>
        </w:tc>
      </w:tr>
      <w:tr w:rsidR="00C8651E" w:rsidRPr="00DD5295" w14:paraId="4B47D9FB" w14:textId="77777777" w:rsidTr="00760D0D">
        <w:trPr>
          <w:trHeight w:val="612"/>
        </w:trPr>
        <w:tc>
          <w:tcPr>
            <w:tcW w:w="2837" w:type="dxa"/>
            <w:shd w:val="clear" w:color="auto" w:fill="5F497A" w:themeFill="accent4" w:themeFillShade="BF"/>
            <w:hideMark/>
          </w:tcPr>
          <w:p w14:paraId="2A5CF05C"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Dublin Generation</w:t>
            </w:r>
          </w:p>
          <w:p w14:paraId="4A7DD61C" w14:textId="77777777" w:rsidR="00C8651E" w:rsidRPr="006471D6" w:rsidRDefault="00C8651E" w:rsidP="00C8651E">
            <w:pPr>
              <w:spacing w:line="240" w:lineRule="auto"/>
              <w:rPr>
                <w:rFonts w:eastAsia="Times New Roman" w:cs="Arial"/>
                <w:b/>
                <w:bCs/>
                <w:color w:val="FFFFFF"/>
                <w:sz w:val="20"/>
                <w:szCs w:val="20"/>
                <w:lang w:val="en-US" w:eastAsia="en-IE"/>
              </w:rPr>
            </w:pPr>
          </w:p>
          <w:p w14:paraId="588BBE19"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(S_NBMIN_DubNB2)</w:t>
            </w:r>
          </w:p>
        </w:tc>
        <w:tc>
          <w:tcPr>
            <w:tcW w:w="702" w:type="dxa"/>
            <w:shd w:val="clear" w:color="auto" w:fill="CCC0D9" w:themeFill="accent4" w:themeFillTint="66"/>
            <w:hideMark/>
          </w:tcPr>
          <w:p w14:paraId="04089B54"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NB</w:t>
            </w:r>
          </w:p>
        </w:tc>
        <w:tc>
          <w:tcPr>
            <w:tcW w:w="769" w:type="dxa"/>
            <w:shd w:val="clear" w:color="auto" w:fill="CCC0D9" w:themeFill="accent4" w:themeFillTint="66"/>
            <w:hideMark/>
          </w:tcPr>
          <w:p w14:paraId="593B9B9D"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10" w:type="dxa"/>
            <w:shd w:val="clear" w:color="auto" w:fill="CCC0D9" w:themeFill="accent4" w:themeFillTint="66"/>
            <w:hideMark/>
          </w:tcPr>
          <w:p w14:paraId="5ECDB56B" w14:textId="0AFF9EB4" w:rsidR="00C8651E" w:rsidRPr="006471D6" w:rsidRDefault="003926F6"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1</w:t>
            </w:r>
            <w:r w:rsidR="00C8651E" w:rsidRPr="006471D6">
              <w:rPr>
                <w:rFonts w:eastAsia="Times New Roman" w:cs="Arial"/>
                <w:color w:val="000000"/>
                <w:sz w:val="20"/>
                <w:szCs w:val="20"/>
                <w:lang w:val="en-US" w:eastAsia="en-IE"/>
              </w:rPr>
              <w:t xml:space="preserve"> Units</w:t>
            </w:r>
          </w:p>
        </w:tc>
        <w:tc>
          <w:tcPr>
            <w:tcW w:w="1593" w:type="dxa"/>
            <w:shd w:val="clear" w:color="auto" w:fill="CCC0D9" w:themeFill="accent4" w:themeFillTint="66"/>
            <w:hideMark/>
          </w:tcPr>
          <w:p w14:paraId="14B5AC7B" w14:textId="5C701403" w:rsidR="00C8651E" w:rsidRPr="006471D6" w:rsidRDefault="006D694D"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 xml:space="preserve">DB1, </w:t>
            </w:r>
            <w:r w:rsidR="00C8651E" w:rsidRPr="006471D6">
              <w:rPr>
                <w:rFonts w:eastAsia="Times New Roman" w:cs="Arial"/>
                <w:color w:val="000000"/>
                <w:sz w:val="20"/>
                <w:szCs w:val="20"/>
                <w:lang w:val="en-US" w:eastAsia="en-IE"/>
              </w:rPr>
              <w:t xml:space="preserve">HNC, HN2 </w:t>
            </w:r>
          </w:p>
        </w:tc>
        <w:tc>
          <w:tcPr>
            <w:tcW w:w="2005" w:type="dxa"/>
            <w:shd w:val="clear" w:color="auto" w:fill="CCC0D9" w:themeFill="accent4" w:themeFillTint="66"/>
            <w:hideMark/>
          </w:tcPr>
          <w:p w14:paraId="18A69FA9"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There must be at least 1 large generator on-load at all times in the Dublin area. Required for voltage control.</w:t>
            </w:r>
          </w:p>
        </w:tc>
      </w:tr>
      <w:tr w:rsidR="00C8651E" w:rsidRPr="00DD5295" w14:paraId="3FF773DC" w14:textId="77777777" w:rsidTr="00760D0D">
        <w:trPr>
          <w:trHeight w:val="1223"/>
        </w:trPr>
        <w:tc>
          <w:tcPr>
            <w:tcW w:w="2837" w:type="dxa"/>
            <w:shd w:val="clear" w:color="auto" w:fill="5F497A" w:themeFill="accent4" w:themeFillShade="BF"/>
          </w:tcPr>
          <w:p w14:paraId="1E8245E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lastRenderedPageBreak/>
              <w:t>Dublin Generation</w:t>
            </w:r>
          </w:p>
          <w:p w14:paraId="06BF9E76" w14:textId="77777777" w:rsidR="00C8651E" w:rsidRPr="006471D6" w:rsidRDefault="00C8651E" w:rsidP="00C8651E">
            <w:pPr>
              <w:spacing w:line="240" w:lineRule="auto"/>
              <w:rPr>
                <w:rFonts w:eastAsia="Times New Roman" w:cs="Arial"/>
                <w:b/>
                <w:bCs/>
                <w:color w:val="FFFFFF"/>
                <w:sz w:val="20"/>
                <w:szCs w:val="20"/>
                <w:lang w:val="en-US" w:eastAsia="en-IE"/>
              </w:rPr>
            </w:pPr>
          </w:p>
          <w:p w14:paraId="002EC08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(S_NBMIN_Dub_NB)</w:t>
            </w:r>
          </w:p>
        </w:tc>
        <w:tc>
          <w:tcPr>
            <w:tcW w:w="702" w:type="dxa"/>
            <w:shd w:val="clear" w:color="auto" w:fill="CCC0D9" w:themeFill="accent4" w:themeFillTint="66"/>
          </w:tcPr>
          <w:p w14:paraId="1C9DB718"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NB</w:t>
            </w:r>
          </w:p>
        </w:tc>
        <w:tc>
          <w:tcPr>
            <w:tcW w:w="769" w:type="dxa"/>
            <w:shd w:val="clear" w:color="auto" w:fill="CCC0D9" w:themeFill="accent4" w:themeFillTint="66"/>
          </w:tcPr>
          <w:p w14:paraId="6985CD5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10" w:type="dxa"/>
            <w:shd w:val="clear" w:color="auto" w:fill="CCC0D9" w:themeFill="accent4" w:themeFillTint="66"/>
          </w:tcPr>
          <w:p w14:paraId="4D235E9E" w14:textId="0B781677" w:rsidR="00C8651E" w:rsidRPr="006471D6" w:rsidRDefault="003926F6"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2</w:t>
            </w:r>
            <w:r w:rsidR="00C8651E" w:rsidRPr="006471D6">
              <w:rPr>
                <w:rFonts w:eastAsia="Times New Roman" w:cs="Arial"/>
                <w:color w:val="000000"/>
                <w:sz w:val="20"/>
                <w:szCs w:val="20"/>
                <w:lang w:val="en-US" w:eastAsia="en-IE"/>
              </w:rPr>
              <w:t xml:space="preserve"> Units</w:t>
            </w:r>
          </w:p>
        </w:tc>
        <w:tc>
          <w:tcPr>
            <w:tcW w:w="1593" w:type="dxa"/>
            <w:shd w:val="clear" w:color="auto" w:fill="CCC0D9" w:themeFill="accent4" w:themeFillTint="66"/>
          </w:tcPr>
          <w:p w14:paraId="60F1AF55" w14:textId="5B2F40E1" w:rsidR="00C8651E" w:rsidRPr="006471D6" w:rsidRDefault="006D694D"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 xml:space="preserve">DB1, </w:t>
            </w:r>
            <w:r w:rsidR="00C8651E" w:rsidRPr="006471D6">
              <w:rPr>
                <w:rFonts w:eastAsia="Times New Roman" w:cs="Arial"/>
                <w:color w:val="000000"/>
                <w:sz w:val="20"/>
                <w:szCs w:val="20"/>
                <w:lang w:val="en-US" w:eastAsia="en-IE"/>
              </w:rPr>
              <w:t xml:space="preserve">HNC, HN2, PBA </w:t>
            </w:r>
            <w:r w:rsidR="00C8651E" w:rsidRPr="006471D6">
              <w:rPr>
                <w:rFonts w:eastAsia="Times New Roman" w:cs="Arial"/>
                <w:color w:val="000000"/>
                <w:sz w:val="20"/>
                <w:szCs w:val="20"/>
                <w:lang w:val="en-US" w:eastAsia="en-IE"/>
              </w:rPr>
              <w:fldChar w:fldCharType="begin"/>
            </w:r>
            <w:r w:rsidR="00C8651E"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00C8651E"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00C8651E" w:rsidRPr="006471D6">
              <w:rPr>
                <w:rFonts w:eastAsia="Times New Roman" w:cs="Arial"/>
                <w:color w:val="000000"/>
                <w:sz w:val="20"/>
                <w:szCs w:val="20"/>
                <w:lang w:val="en-US" w:eastAsia="en-IE"/>
              </w:rPr>
              <w:fldChar w:fldCharType="end"/>
            </w:r>
            <w:r w:rsidR="00C8651E" w:rsidRPr="006471D6">
              <w:rPr>
                <w:rFonts w:eastAsia="Times New Roman" w:cs="Arial"/>
                <w:color w:val="000000"/>
                <w:sz w:val="20"/>
                <w:szCs w:val="20"/>
                <w:lang w:val="en-US" w:eastAsia="en-IE"/>
              </w:rPr>
              <w:t xml:space="preserve">, PBB </w:t>
            </w:r>
            <w:r w:rsidR="00C8651E" w:rsidRPr="006471D6">
              <w:rPr>
                <w:rFonts w:eastAsia="Times New Roman" w:cs="Arial"/>
                <w:color w:val="000000"/>
                <w:sz w:val="20"/>
                <w:szCs w:val="20"/>
                <w:lang w:val="en-US" w:eastAsia="en-IE"/>
              </w:rPr>
              <w:fldChar w:fldCharType="begin"/>
            </w:r>
            <w:r w:rsidR="00C8651E"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00C8651E"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00C8651E" w:rsidRPr="006471D6">
              <w:rPr>
                <w:rFonts w:eastAsia="Times New Roman" w:cs="Arial"/>
                <w:color w:val="000000"/>
                <w:sz w:val="20"/>
                <w:szCs w:val="20"/>
                <w:lang w:val="en-US" w:eastAsia="en-IE"/>
              </w:rPr>
              <w:fldChar w:fldCharType="end"/>
            </w:r>
          </w:p>
        </w:tc>
        <w:tc>
          <w:tcPr>
            <w:tcW w:w="2005" w:type="dxa"/>
            <w:shd w:val="clear" w:color="auto" w:fill="CCC0D9" w:themeFill="accent4" w:themeFillTint="66"/>
          </w:tcPr>
          <w:p w14:paraId="32E04B3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There must be at least 2 large generators on-load at all times in the Dublin area. Required for voltage control. This assumes EWIC is operational.</w:t>
            </w:r>
          </w:p>
          <w:p w14:paraId="61B22FB5" w14:textId="77777777" w:rsidR="00C8651E" w:rsidRPr="006471D6" w:rsidRDefault="00C8651E" w:rsidP="00C8651E">
            <w:pPr>
              <w:spacing w:line="240" w:lineRule="auto"/>
              <w:rPr>
                <w:rFonts w:eastAsia="Times New Roman" w:cs="Arial"/>
                <w:color w:val="000000"/>
                <w:sz w:val="20"/>
                <w:szCs w:val="20"/>
                <w:lang w:val="en-US" w:eastAsia="en-IE"/>
              </w:rPr>
            </w:pPr>
          </w:p>
          <w:p w14:paraId="0BDD0B79"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Note that during an outage of EWIC there must be at least 3 large generators on-load at all times in the Dublin area.</w:t>
            </w:r>
          </w:p>
          <w:p w14:paraId="3A0DD6D5" w14:textId="221787F8"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See Scenario B</w:t>
            </w:r>
          </w:p>
        </w:tc>
      </w:tr>
      <w:tr w:rsidR="00C8651E" w:rsidRPr="00DD5295" w14:paraId="0DA32B5F" w14:textId="77777777" w:rsidTr="00760D0D">
        <w:trPr>
          <w:trHeight w:val="1223"/>
        </w:trPr>
        <w:tc>
          <w:tcPr>
            <w:tcW w:w="2837" w:type="dxa"/>
            <w:shd w:val="clear" w:color="auto" w:fill="5F497A" w:themeFill="accent4" w:themeFillShade="BF"/>
          </w:tcPr>
          <w:p w14:paraId="13248788"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Dublin Generation</w:t>
            </w:r>
          </w:p>
          <w:p w14:paraId="7B702041" w14:textId="77777777" w:rsidR="00C8651E" w:rsidRPr="006471D6" w:rsidRDefault="00C8651E" w:rsidP="00C8651E">
            <w:pPr>
              <w:spacing w:line="240" w:lineRule="auto"/>
              <w:rPr>
                <w:rFonts w:eastAsia="Times New Roman" w:cs="Arial"/>
                <w:b/>
                <w:bCs/>
                <w:color w:val="FFFFFF"/>
                <w:sz w:val="20"/>
                <w:szCs w:val="20"/>
                <w:lang w:val="en-US" w:eastAsia="en-IE"/>
              </w:rPr>
            </w:pPr>
          </w:p>
          <w:p w14:paraId="17925221"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(S_NBMIN_DUB_L1)</w:t>
            </w:r>
          </w:p>
        </w:tc>
        <w:tc>
          <w:tcPr>
            <w:tcW w:w="702" w:type="dxa"/>
            <w:shd w:val="clear" w:color="auto" w:fill="CCC0D9" w:themeFill="accent4" w:themeFillTint="66"/>
          </w:tcPr>
          <w:p w14:paraId="636580D8"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NB </w:t>
            </w:r>
          </w:p>
        </w:tc>
        <w:tc>
          <w:tcPr>
            <w:tcW w:w="769" w:type="dxa"/>
            <w:shd w:val="clear" w:color="auto" w:fill="CCC0D9" w:themeFill="accent4" w:themeFillTint="66"/>
          </w:tcPr>
          <w:p w14:paraId="480CDBE6"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N:&gt;= </w:t>
            </w:r>
          </w:p>
        </w:tc>
        <w:tc>
          <w:tcPr>
            <w:tcW w:w="1510" w:type="dxa"/>
            <w:shd w:val="clear" w:color="auto" w:fill="CCC0D9" w:themeFill="accent4" w:themeFillTint="66"/>
          </w:tcPr>
          <w:p w14:paraId="305CE2F1"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2 Units if Ireland System Demand &gt;4000MW </w:t>
            </w:r>
          </w:p>
        </w:tc>
        <w:tc>
          <w:tcPr>
            <w:tcW w:w="1593" w:type="dxa"/>
            <w:shd w:val="clear" w:color="auto" w:fill="CCC0D9" w:themeFill="accent4" w:themeFillTint="66"/>
          </w:tcPr>
          <w:p w14:paraId="767B0FF7" w14:textId="0D421E62"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DB1, HNC, PBA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PBB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w:t>
            </w:r>
          </w:p>
        </w:tc>
        <w:tc>
          <w:tcPr>
            <w:tcW w:w="2005" w:type="dxa"/>
            <w:shd w:val="clear" w:color="auto" w:fill="CCC0D9" w:themeFill="accent4" w:themeFillTint="66"/>
          </w:tcPr>
          <w:p w14:paraId="6A205D74"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Requirement for 2 units to be on load when Ireland System Demand is greater than 4000 MW. This operational constraint is required for load flow control in the Dublin area. </w:t>
            </w:r>
          </w:p>
          <w:p w14:paraId="76AE2C8A"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This assumes EWIC is operational.</w:t>
            </w:r>
          </w:p>
          <w:p w14:paraId="12EF9E93" w14:textId="1E432745"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See Scenario B</w:t>
            </w:r>
          </w:p>
        </w:tc>
      </w:tr>
      <w:tr w:rsidR="00C8651E" w:rsidRPr="00DD5295" w14:paraId="28236F72" w14:textId="77777777" w:rsidTr="00760D0D">
        <w:trPr>
          <w:trHeight w:val="1223"/>
        </w:trPr>
        <w:tc>
          <w:tcPr>
            <w:tcW w:w="2837" w:type="dxa"/>
            <w:shd w:val="clear" w:color="auto" w:fill="5F497A" w:themeFill="accent4" w:themeFillShade="BF"/>
          </w:tcPr>
          <w:p w14:paraId="47C3974E"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Dublin Generation</w:t>
            </w:r>
          </w:p>
          <w:p w14:paraId="3590633A" w14:textId="77777777" w:rsidR="00C8651E" w:rsidRPr="006471D6" w:rsidRDefault="00C8651E" w:rsidP="00C8651E">
            <w:pPr>
              <w:spacing w:line="240" w:lineRule="auto"/>
              <w:rPr>
                <w:rFonts w:eastAsia="Times New Roman" w:cs="Arial"/>
                <w:b/>
                <w:bCs/>
                <w:color w:val="FFFFFF"/>
                <w:sz w:val="20"/>
                <w:szCs w:val="20"/>
                <w:lang w:val="en-US" w:eastAsia="en-IE"/>
              </w:rPr>
            </w:pPr>
          </w:p>
          <w:p w14:paraId="7F3B8461"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(S_NBMIN_DUB_L2)</w:t>
            </w:r>
          </w:p>
        </w:tc>
        <w:tc>
          <w:tcPr>
            <w:tcW w:w="702" w:type="dxa"/>
            <w:shd w:val="clear" w:color="auto" w:fill="CCC0D9" w:themeFill="accent4" w:themeFillTint="66"/>
          </w:tcPr>
          <w:p w14:paraId="2952750D"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NB </w:t>
            </w:r>
          </w:p>
        </w:tc>
        <w:tc>
          <w:tcPr>
            <w:tcW w:w="769" w:type="dxa"/>
            <w:shd w:val="clear" w:color="auto" w:fill="CCC0D9" w:themeFill="accent4" w:themeFillTint="66"/>
          </w:tcPr>
          <w:p w14:paraId="5B613848"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N:&gt;= </w:t>
            </w:r>
          </w:p>
        </w:tc>
        <w:tc>
          <w:tcPr>
            <w:tcW w:w="1510" w:type="dxa"/>
            <w:shd w:val="clear" w:color="auto" w:fill="CCC0D9" w:themeFill="accent4" w:themeFillTint="66"/>
          </w:tcPr>
          <w:p w14:paraId="3BB903B7" w14:textId="6E95D7EF"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3 Units </w:t>
            </w:r>
            <w:r w:rsidR="002939E8" w:rsidRPr="006471D6">
              <w:rPr>
                <w:rFonts w:eastAsia="Times New Roman" w:cs="Arial"/>
                <w:color w:val="000000"/>
                <w:sz w:val="20"/>
                <w:szCs w:val="20"/>
                <w:lang w:val="en-US" w:eastAsia="en-IE"/>
              </w:rPr>
              <w:t>if Ireland</w:t>
            </w:r>
            <w:r w:rsidRPr="006471D6">
              <w:rPr>
                <w:rFonts w:eastAsia="Times New Roman" w:cs="Arial"/>
                <w:color w:val="000000"/>
                <w:sz w:val="20"/>
                <w:szCs w:val="20"/>
                <w:lang w:val="en-US" w:eastAsia="en-IE"/>
              </w:rPr>
              <w:t xml:space="preserve"> System </w:t>
            </w:r>
            <w:r w:rsidR="002939E8" w:rsidRPr="006471D6">
              <w:rPr>
                <w:rFonts w:eastAsia="Times New Roman" w:cs="Arial"/>
                <w:color w:val="000000"/>
                <w:sz w:val="20"/>
                <w:szCs w:val="20"/>
                <w:lang w:val="en-US" w:eastAsia="en-IE"/>
              </w:rPr>
              <w:t>Demand &gt;</w:t>
            </w:r>
            <w:r w:rsidRPr="006471D6">
              <w:rPr>
                <w:rFonts w:eastAsia="Times New Roman" w:cs="Arial"/>
                <w:color w:val="000000"/>
                <w:sz w:val="20"/>
                <w:szCs w:val="20"/>
                <w:lang w:val="en-US" w:eastAsia="en-IE"/>
              </w:rPr>
              <w:t xml:space="preserve"> 4700 MW</w:t>
            </w:r>
          </w:p>
        </w:tc>
        <w:tc>
          <w:tcPr>
            <w:tcW w:w="1593" w:type="dxa"/>
            <w:shd w:val="clear" w:color="auto" w:fill="CCC0D9" w:themeFill="accent4" w:themeFillTint="66"/>
          </w:tcPr>
          <w:p w14:paraId="43D049FD" w14:textId="325F470F"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DB1, HNC, HN2, PBA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PBB </w:t>
            </w: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p>
        </w:tc>
        <w:tc>
          <w:tcPr>
            <w:tcW w:w="2005" w:type="dxa"/>
            <w:shd w:val="clear" w:color="auto" w:fill="CCC0D9" w:themeFill="accent4" w:themeFillTint="66"/>
          </w:tcPr>
          <w:p w14:paraId="038571FF" w14:textId="77777777" w:rsidR="009C2034"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Requirement for 3 units to be on load when Ireland System Demand is greater than 4700 MW. This operational constraint is required for load flow control in the Dublin area. This assumes EWIC</w:t>
            </w:r>
          </w:p>
          <w:p w14:paraId="23733A37" w14:textId="77777777" w:rsidR="009C2034" w:rsidRDefault="009C2034" w:rsidP="00C8651E">
            <w:pPr>
              <w:spacing w:line="240" w:lineRule="auto"/>
              <w:rPr>
                <w:rFonts w:eastAsia="Times New Roman" w:cs="Arial"/>
                <w:color w:val="000000"/>
                <w:sz w:val="20"/>
                <w:szCs w:val="20"/>
                <w:lang w:val="en-US" w:eastAsia="en-IE"/>
              </w:rPr>
            </w:pPr>
          </w:p>
          <w:p w14:paraId="28B345D4" w14:textId="3172FD7C" w:rsidR="00C8651E"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 is operational.</w:t>
            </w:r>
          </w:p>
          <w:p w14:paraId="008AA478" w14:textId="77777777" w:rsidR="00C8651E" w:rsidRPr="006471D6" w:rsidRDefault="00C8651E" w:rsidP="00C8651E">
            <w:pPr>
              <w:spacing w:line="240" w:lineRule="auto"/>
              <w:rPr>
                <w:rFonts w:eastAsia="Times New Roman" w:cs="Arial"/>
                <w:color w:val="000000"/>
                <w:sz w:val="20"/>
                <w:szCs w:val="20"/>
                <w:lang w:val="en-US" w:eastAsia="en-IE"/>
              </w:rPr>
            </w:pPr>
          </w:p>
          <w:p w14:paraId="61D449E3" w14:textId="0872D45B"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fldChar w:fldCharType="begin"/>
            </w:r>
            <w:r w:rsidRPr="006471D6">
              <w:rPr>
                <w:rFonts w:eastAsia="Times New Roman" w:cs="Arial"/>
                <w:color w:val="000000"/>
                <w:sz w:val="20"/>
                <w:szCs w:val="20"/>
                <w:lang w:val="en-US" w:eastAsia="en-IE"/>
              </w:rPr>
              <w:instrText xml:space="preserve"> REF _Ref10802243 \r </w:instrText>
            </w:r>
            <w:r w:rsidR="00DD5295">
              <w:rPr>
                <w:rFonts w:eastAsia="Times New Roman" w:cs="Arial"/>
                <w:color w:val="000000"/>
                <w:sz w:val="20"/>
                <w:szCs w:val="20"/>
                <w:lang w:val="en-US" w:eastAsia="en-IE"/>
              </w:rPr>
              <w:instrText xml:space="preserve"> \* MERGEFORMAT </w:instrText>
            </w:r>
            <w:r w:rsidRPr="006471D6">
              <w:rPr>
                <w:rFonts w:eastAsia="Times New Roman" w:cs="Arial"/>
                <w:color w:val="000000"/>
                <w:sz w:val="20"/>
                <w:szCs w:val="20"/>
                <w:lang w:val="en-US" w:eastAsia="en-IE"/>
              </w:rPr>
              <w:fldChar w:fldCharType="separate"/>
            </w:r>
            <w:r w:rsidR="00346D72">
              <w:rPr>
                <w:rFonts w:eastAsia="Times New Roman" w:cs="Arial"/>
                <w:color w:val="000000"/>
                <w:sz w:val="20"/>
                <w:szCs w:val="20"/>
                <w:lang w:val="en-US" w:eastAsia="en-IE"/>
              </w:rPr>
              <w:t></w:t>
            </w:r>
            <w:r w:rsidRPr="006471D6">
              <w:rPr>
                <w:rFonts w:eastAsia="Times New Roman" w:cs="Arial"/>
                <w:color w:val="000000"/>
                <w:sz w:val="20"/>
                <w:szCs w:val="20"/>
                <w:lang w:val="en-US" w:eastAsia="en-IE"/>
              </w:rPr>
              <w:fldChar w:fldCharType="end"/>
            </w:r>
            <w:r w:rsidRPr="006471D6">
              <w:rPr>
                <w:rFonts w:eastAsia="Times New Roman" w:cs="Arial"/>
                <w:color w:val="000000"/>
                <w:sz w:val="20"/>
                <w:szCs w:val="20"/>
                <w:lang w:val="en-US" w:eastAsia="en-IE"/>
              </w:rPr>
              <w:t xml:space="preserve"> See Scenario B</w:t>
            </w:r>
          </w:p>
        </w:tc>
      </w:tr>
      <w:tr w:rsidR="00C8651E" w:rsidRPr="00DD5295" w14:paraId="733035D2" w14:textId="77777777" w:rsidTr="00760D0D">
        <w:trPr>
          <w:trHeight w:val="1323"/>
        </w:trPr>
        <w:tc>
          <w:tcPr>
            <w:tcW w:w="2837" w:type="dxa"/>
            <w:shd w:val="clear" w:color="auto" w:fill="5F497A" w:themeFill="accent4" w:themeFillShade="BF"/>
            <w:hideMark/>
          </w:tcPr>
          <w:p w14:paraId="13BC4B7F"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lastRenderedPageBreak/>
              <w:t>Cork Generation</w:t>
            </w:r>
          </w:p>
          <w:p w14:paraId="39A8F79E" w14:textId="77777777" w:rsidR="00C8651E" w:rsidRPr="006471D6" w:rsidRDefault="00C8651E" w:rsidP="00C8651E">
            <w:pPr>
              <w:spacing w:line="240" w:lineRule="auto"/>
              <w:rPr>
                <w:rFonts w:eastAsia="Times New Roman" w:cs="Arial"/>
                <w:b/>
                <w:bCs/>
                <w:color w:val="FFFFFF"/>
                <w:sz w:val="20"/>
                <w:szCs w:val="20"/>
                <w:lang w:val="en-US" w:eastAsia="en-IE"/>
              </w:rPr>
            </w:pPr>
          </w:p>
          <w:p w14:paraId="22302FE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(S_MWMIN_CRK_MW) (S_MWMAX_CRK_MW)</w:t>
            </w:r>
          </w:p>
        </w:tc>
        <w:tc>
          <w:tcPr>
            <w:tcW w:w="702" w:type="dxa"/>
            <w:shd w:val="clear" w:color="auto" w:fill="CCC0D9" w:themeFill="accent4" w:themeFillTint="66"/>
            <w:hideMark/>
          </w:tcPr>
          <w:p w14:paraId="2DA9AF85"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69" w:type="dxa"/>
            <w:shd w:val="clear" w:color="auto" w:fill="CCC0D9" w:themeFill="accent4" w:themeFillTint="66"/>
            <w:hideMark/>
          </w:tcPr>
          <w:p w14:paraId="61BF408E"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B</w:t>
            </w:r>
          </w:p>
        </w:tc>
        <w:tc>
          <w:tcPr>
            <w:tcW w:w="1510" w:type="dxa"/>
            <w:shd w:val="clear" w:color="auto" w:fill="CCC0D9" w:themeFill="accent4" w:themeFillTint="66"/>
            <w:hideMark/>
          </w:tcPr>
          <w:p w14:paraId="011C6D1E" w14:textId="66586D71" w:rsidR="00C8651E" w:rsidRPr="006471D6" w:rsidRDefault="293B33BF" w:rsidP="00C8651E">
            <w:pPr>
              <w:spacing w:line="240" w:lineRule="auto"/>
              <w:rPr>
                <w:rFonts w:eastAsia="Times New Roman" w:cs="Arial"/>
                <w:color w:val="000000"/>
                <w:sz w:val="20"/>
                <w:szCs w:val="20"/>
                <w:lang w:val="en-US" w:eastAsia="en-IE"/>
              </w:rPr>
            </w:pPr>
            <w:r w:rsidRPr="79CF6AE4">
              <w:rPr>
                <w:rFonts w:eastAsia="Times New Roman" w:cs="Arial"/>
                <w:color w:val="000000" w:themeColor="text1"/>
                <w:sz w:val="20"/>
                <w:szCs w:val="20"/>
                <w:lang w:val="en-US" w:eastAsia="en-IE"/>
              </w:rPr>
              <w:t>-999</w:t>
            </w:r>
            <w:r w:rsidR="00C8651E" w:rsidRPr="79CF6AE4">
              <w:rPr>
                <w:rFonts w:eastAsia="Times New Roman" w:cs="Arial"/>
                <w:color w:val="000000" w:themeColor="text1"/>
                <w:sz w:val="20"/>
                <w:szCs w:val="20"/>
                <w:lang w:val="en-US" w:eastAsia="en-IE"/>
              </w:rPr>
              <w:t> MW</w:t>
            </w:r>
            <w:r w:rsidR="00C8651E" w:rsidRPr="7B81A5D0">
              <w:rPr>
                <w:rFonts w:eastAsia="Times New Roman" w:cs="Arial"/>
                <w:color w:val="000000" w:themeColor="text1"/>
                <w:sz w:val="20"/>
                <w:szCs w:val="20"/>
                <w:lang w:val="en-US" w:eastAsia="en-IE"/>
              </w:rPr>
              <w:t xml:space="preserve"> &lt;MW&lt; 1</w:t>
            </w:r>
            <w:r w:rsidR="2F2FE062" w:rsidRPr="7B81A5D0">
              <w:rPr>
                <w:rFonts w:eastAsia="Times New Roman" w:cs="Arial"/>
                <w:color w:val="000000" w:themeColor="text1"/>
                <w:sz w:val="20"/>
                <w:szCs w:val="20"/>
                <w:lang w:val="en-US" w:eastAsia="en-IE"/>
              </w:rPr>
              <w:t>37</w:t>
            </w:r>
            <w:r w:rsidR="00C8651E" w:rsidRPr="7B81A5D0">
              <w:rPr>
                <w:rFonts w:eastAsia="Times New Roman" w:cs="Arial"/>
                <w:color w:val="000000" w:themeColor="text1"/>
                <w:sz w:val="20"/>
                <w:szCs w:val="20"/>
                <w:lang w:val="en-US" w:eastAsia="en-IE"/>
              </w:rPr>
              <w:t>0 MW</w:t>
            </w:r>
          </w:p>
        </w:tc>
        <w:tc>
          <w:tcPr>
            <w:tcW w:w="1593" w:type="dxa"/>
            <w:shd w:val="clear" w:color="auto" w:fill="CCC0D9" w:themeFill="accent4" w:themeFillTint="66"/>
            <w:hideMark/>
          </w:tcPr>
          <w:p w14:paraId="3A92D018" w14:textId="0319D887" w:rsidR="00C8651E" w:rsidRPr="006471D6" w:rsidRDefault="00C8651E" w:rsidP="00C8651E">
            <w:pPr>
              <w:spacing w:line="240" w:lineRule="auto"/>
              <w:rPr>
                <w:rFonts w:eastAsia="Times New Roman" w:cs="Arial"/>
                <w:color w:val="000000"/>
                <w:sz w:val="20"/>
                <w:szCs w:val="20"/>
                <w:lang w:val="en-US" w:eastAsia="en-IE"/>
              </w:rPr>
            </w:pPr>
            <w:r w:rsidRPr="79CF6AE4">
              <w:rPr>
                <w:rFonts w:eastAsia="Times New Roman" w:cs="Arial"/>
                <w:color w:val="000000" w:themeColor="text1"/>
                <w:sz w:val="20"/>
                <w:szCs w:val="20"/>
                <w:lang w:val="en-US" w:eastAsia="en-IE"/>
              </w:rPr>
              <w:t xml:space="preserve">AD2, </w:t>
            </w:r>
            <w:r w:rsidR="00572286" w:rsidRPr="79CF6AE4">
              <w:rPr>
                <w:rFonts w:eastAsia="Times New Roman" w:cs="Arial"/>
                <w:color w:val="000000" w:themeColor="text1"/>
                <w:sz w:val="20"/>
                <w:szCs w:val="20"/>
                <w:lang w:val="en-US" w:eastAsia="en-IE"/>
              </w:rPr>
              <w:t xml:space="preserve">AD3. AD4, AD5, </w:t>
            </w:r>
            <w:r w:rsidRPr="79CF6AE4">
              <w:rPr>
                <w:rFonts w:eastAsia="Times New Roman" w:cs="Arial"/>
                <w:color w:val="000000" w:themeColor="text1"/>
                <w:sz w:val="20"/>
                <w:szCs w:val="20"/>
                <w:lang w:val="en-US" w:eastAsia="en-IE"/>
              </w:rPr>
              <w:t>AT1, AT2, AT4, WG1</w:t>
            </w:r>
          </w:p>
        </w:tc>
        <w:tc>
          <w:tcPr>
            <w:tcW w:w="2005" w:type="dxa"/>
            <w:shd w:val="clear" w:color="auto" w:fill="CCC0D9" w:themeFill="accent4" w:themeFillTint="66"/>
            <w:hideMark/>
          </w:tcPr>
          <w:p w14:paraId="2D460B67"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Generation restriction in the Cork area: this will be determined week ahead and available in the Weekly Operational Constraints Update.</w:t>
            </w:r>
          </w:p>
        </w:tc>
      </w:tr>
      <w:tr w:rsidR="00C8651E" w:rsidRPr="00DD5295" w14:paraId="20B866F5" w14:textId="77777777" w:rsidTr="00760D0D">
        <w:trPr>
          <w:trHeight w:val="1323"/>
        </w:trPr>
        <w:tc>
          <w:tcPr>
            <w:tcW w:w="2837" w:type="dxa"/>
            <w:shd w:val="clear" w:color="auto" w:fill="5F497A" w:themeFill="accent4" w:themeFillShade="BF"/>
          </w:tcPr>
          <w:p w14:paraId="1B8DBD77"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South Generation</w:t>
            </w:r>
          </w:p>
          <w:p w14:paraId="27AA4198" w14:textId="77777777" w:rsidR="00C8651E" w:rsidRPr="006471D6" w:rsidRDefault="00C8651E" w:rsidP="00C8651E">
            <w:pPr>
              <w:spacing w:line="240" w:lineRule="auto"/>
              <w:rPr>
                <w:rFonts w:eastAsia="Times New Roman" w:cs="Arial"/>
                <w:b/>
                <w:bCs/>
                <w:color w:val="FFFFFF"/>
                <w:sz w:val="20"/>
                <w:szCs w:val="20"/>
                <w:lang w:val="en-US" w:eastAsia="en-IE"/>
              </w:rPr>
            </w:pPr>
          </w:p>
          <w:p w14:paraId="49A3230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(S_MWMIN_STH_MW) (S_MWMAX_STH_MW)</w:t>
            </w:r>
          </w:p>
        </w:tc>
        <w:tc>
          <w:tcPr>
            <w:tcW w:w="702" w:type="dxa"/>
            <w:shd w:val="clear" w:color="auto" w:fill="CCC0D9" w:themeFill="accent4" w:themeFillTint="66"/>
          </w:tcPr>
          <w:p w14:paraId="1282E5D0"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69" w:type="dxa"/>
            <w:shd w:val="clear" w:color="auto" w:fill="CCC0D9" w:themeFill="accent4" w:themeFillTint="66"/>
          </w:tcPr>
          <w:p w14:paraId="42B7071F"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B</w:t>
            </w:r>
          </w:p>
        </w:tc>
        <w:tc>
          <w:tcPr>
            <w:tcW w:w="1510" w:type="dxa"/>
            <w:shd w:val="clear" w:color="auto" w:fill="CCC0D9" w:themeFill="accent4" w:themeFillTint="66"/>
          </w:tcPr>
          <w:p w14:paraId="029910B3" w14:textId="35181DED" w:rsidR="00C8651E" w:rsidRPr="006471D6" w:rsidRDefault="007F23D4" w:rsidP="00C8651E">
            <w:pPr>
              <w:spacing w:line="240" w:lineRule="auto"/>
              <w:rPr>
                <w:rFonts w:eastAsia="Times New Roman" w:cs="Arial"/>
                <w:color w:val="000000"/>
                <w:sz w:val="20"/>
                <w:szCs w:val="20"/>
                <w:lang w:val="en-US" w:eastAsia="en-IE"/>
              </w:rPr>
            </w:pPr>
            <w:r w:rsidRPr="79CF6AE4">
              <w:rPr>
                <w:rFonts w:eastAsia="Times New Roman" w:cs="Arial"/>
                <w:color w:val="000000" w:themeColor="text1"/>
                <w:sz w:val="20"/>
                <w:szCs w:val="20"/>
                <w:lang w:val="en-US" w:eastAsia="en-IE"/>
              </w:rPr>
              <w:t>-</w:t>
            </w:r>
            <w:r w:rsidR="48E77468" w:rsidRPr="79CF6AE4">
              <w:rPr>
                <w:rFonts w:eastAsia="Times New Roman" w:cs="Arial"/>
                <w:color w:val="000000" w:themeColor="text1"/>
                <w:sz w:val="20"/>
                <w:szCs w:val="20"/>
                <w:lang w:val="en-US" w:eastAsia="en-IE"/>
              </w:rPr>
              <w:t>99</w:t>
            </w:r>
            <w:r w:rsidRPr="79CF6AE4">
              <w:rPr>
                <w:rFonts w:eastAsia="Times New Roman" w:cs="Arial"/>
                <w:color w:val="000000" w:themeColor="text1"/>
                <w:sz w:val="20"/>
                <w:szCs w:val="20"/>
                <w:lang w:val="en-US" w:eastAsia="en-IE"/>
              </w:rPr>
              <w:t>9</w:t>
            </w:r>
            <w:r w:rsidR="00C8651E" w:rsidRPr="7B81A5D0">
              <w:rPr>
                <w:rFonts w:eastAsia="Times New Roman" w:cs="Arial"/>
                <w:color w:val="000000" w:themeColor="text1"/>
                <w:sz w:val="20"/>
                <w:szCs w:val="20"/>
                <w:lang w:val="en-US" w:eastAsia="en-IE"/>
              </w:rPr>
              <w:t xml:space="preserve"> MW &lt;MW&lt; </w:t>
            </w:r>
            <w:r w:rsidR="00895A96">
              <w:rPr>
                <w:rFonts w:eastAsia="Times New Roman" w:cs="Arial"/>
                <w:color w:val="000000" w:themeColor="text1"/>
                <w:sz w:val="20"/>
                <w:szCs w:val="20"/>
                <w:lang w:val="en-US" w:eastAsia="en-IE"/>
              </w:rPr>
              <w:t>2335</w:t>
            </w:r>
            <w:r w:rsidR="00C8651E" w:rsidRPr="7B81A5D0">
              <w:rPr>
                <w:rFonts w:eastAsia="Times New Roman" w:cs="Arial"/>
                <w:color w:val="000000" w:themeColor="text1"/>
                <w:sz w:val="20"/>
                <w:szCs w:val="20"/>
                <w:lang w:val="en-US" w:eastAsia="en-IE"/>
              </w:rPr>
              <w:t> MW</w:t>
            </w:r>
          </w:p>
        </w:tc>
        <w:tc>
          <w:tcPr>
            <w:tcW w:w="1593" w:type="dxa"/>
            <w:shd w:val="clear" w:color="auto" w:fill="CCC0D9" w:themeFill="accent4" w:themeFillTint="66"/>
          </w:tcPr>
          <w:p w14:paraId="45224DBD" w14:textId="773DFA6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sz w:val="20"/>
                <w:szCs w:val="20"/>
                <w:lang w:val="en-US" w:eastAsia="en-IE"/>
              </w:rPr>
              <w:t xml:space="preserve">AD2, AT1, AT2, AT4, </w:t>
            </w:r>
            <w:r w:rsidR="00572286" w:rsidRPr="79CF6AE4">
              <w:rPr>
                <w:rFonts w:eastAsia="Times New Roman" w:cs="Arial"/>
                <w:color w:val="000000" w:themeColor="text1"/>
                <w:sz w:val="20"/>
                <w:szCs w:val="20"/>
                <w:lang w:val="en-US" w:eastAsia="en-IE"/>
              </w:rPr>
              <w:t xml:space="preserve">AD3. AD4, AD5, </w:t>
            </w:r>
            <w:r w:rsidRPr="006471D6">
              <w:rPr>
                <w:rFonts w:eastAsia="Times New Roman" w:cs="Arial"/>
                <w:sz w:val="20"/>
                <w:szCs w:val="20"/>
                <w:lang w:val="en-US" w:eastAsia="en-IE"/>
              </w:rPr>
              <w:t>GI4, WG1</w:t>
            </w:r>
            <w:r w:rsidR="00C00BD1">
              <w:rPr>
                <w:rFonts w:eastAsia="Times New Roman" w:cs="Arial"/>
                <w:sz w:val="20"/>
                <w:szCs w:val="20"/>
                <w:lang w:val="en-US" w:eastAsia="en-IE"/>
              </w:rPr>
              <w:t>, GLK</w:t>
            </w:r>
          </w:p>
        </w:tc>
        <w:tc>
          <w:tcPr>
            <w:tcW w:w="2005" w:type="dxa"/>
            <w:shd w:val="clear" w:color="auto" w:fill="CCC0D9" w:themeFill="accent4" w:themeFillTint="66"/>
          </w:tcPr>
          <w:p w14:paraId="500D13AB" w14:textId="4039F6C6"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Generation restriction in the Southern Region: this will </w:t>
            </w:r>
            <w:r w:rsidR="00CA5BCC" w:rsidRPr="006471D6">
              <w:rPr>
                <w:rFonts w:eastAsia="Times New Roman" w:cs="Arial"/>
                <w:color w:val="000000"/>
                <w:sz w:val="20"/>
                <w:szCs w:val="20"/>
                <w:lang w:val="en-US" w:eastAsia="en-IE"/>
              </w:rPr>
              <w:t>be determined</w:t>
            </w:r>
            <w:r w:rsidRPr="006471D6">
              <w:rPr>
                <w:rFonts w:eastAsia="Times New Roman" w:cs="Arial"/>
                <w:color w:val="000000"/>
                <w:sz w:val="20"/>
                <w:szCs w:val="20"/>
                <w:lang w:val="en-US" w:eastAsia="en-IE"/>
              </w:rPr>
              <w:t xml:space="preserve"> week ahead and available in the Weekly Operational Constraints Update.</w:t>
            </w:r>
          </w:p>
        </w:tc>
      </w:tr>
      <w:tr w:rsidR="00C8651E" w:rsidRPr="00DD5295" w14:paraId="243F5067" w14:textId="77777777" w:rsidTr="00760D0D">
        <w:trPr>
          <w:trHeight w:val="1132"/>
        </w:trPr>
        <w:tc>
          <w:tcPr>
            <w:tcW w:w="2837" w:type="dxa"/>
            <w:shd w:val="clear" w:color="auto" w:fill="5F497A" w:themeFill="accent4" w:themeFillShade="BF"/>
            <w:hideMark/>
          </w:tcPr>
          <w:p w14:paraId="5D5284B1"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400 kV Network</w:t>
            </w:r>
          </w:p>
          <w:p w14:paraId="41B96347" w14:textId="77777777" w:rsidR="00C8651E" w:rsidRPr="006471D6" w:rsidRDefault="00C8651E" w:rsidP="00C8651E">
            <w:pPr>
              <w:spacing w:line="240" w:lineRule="auto"/>
              <w:rPr>
                <w:rFonts w:eastAsia="Times New Roman" w:cs="Arial"/>
                <w:b/>
                <w:bCs/>
                <w:color w:val="FFFFFF"/>
                <w:sz w:val="20"/>
                <w:szCs w:val="20"/>
                <w:lang w:val="en-US" w:eastAsia="en-IE"/>
              </w:rPr>
            </w:pPr>
          </w:p>
          <w:p w14:paraId="002260A1"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(S_NBMIN_MP_NB)</w:t>
            </w:r>
          </w:p>
        </w:tc>
        <w:tc>
          <w:tcPr>
            <w:tcW w:w="702" w:type="dxa"/>
            <w:shd w:val="clear" w:color="auto" w:fill="CCC0D9" w:themeFill="accent4" w:themeFillTint="66"/>
            <w:hideMark/>
          </w:tcPr>
          <w:p w14:paraId="41E1BF0E"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NB</w:t>
            </w:r>
          </w:p>
        </w:tc>
        <w:tc>
          <w:tcPr>
            <w:tcW w:w="769" w:type="dxa"/>
            <w:shd w:val="clear" w:color="auto" w:fill="CCC0D9" w:themeFill="accent4" w:themeFillTint="66"/>
            <w:hideMark/>
          </w:tcPr>
          <w:p w14:paraId="0C6B4944"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N:&gt;=</w:t>
            </w:r>
          </w:p>
        </w:tc>
        <w:tc>
          <w:tcPr>
            <w:tcW w:w="1510" w:type="dxa"/>
            <w:shd w:val="clear" w:color="auto" w:fill="CCC0D9" w:themeFill="accent4" w:themeFillTint="66"/>
            <w:hideMark/>
          </w:tcPr>
          <w:p w14:paraId="0AE67B04" w14:textId="77777777" w:rsidR="00C8651E" w:rsidRPr="006471D6" w:rsidRDefault="00C8651E" w:rsidP="00C8651E">
            <w:pPr>
              <w:autoSpaceDE w:val="0"/>
              <w:autoSpaceDN w:val="0"/>
              <w:adjustRightInd w:val="0"/>
              <w:spacing w:line="240" w:lineRule="auto"/>
              <w:rPr>
                <w:rFonts w:eastAsia="MS Mincho" w:cs="Arial"/>
                <w:color w:val="000000"/>
                <w:sz w:val="20"/>
                <w:lang w:val="en-GB" w:eastAsia="en-GB"/>
              </w:rPr>
            </w:pPr>
            <w:r w:rsidRPr="006471D6">
              <w:rPr>
                <w:rFonts w:eastAsia="MS Mincho" w:cs="Arial"/>
                <w:color w:val="000000"/>
                <w:sz w:val="20"/>
                <w:lang w:val="en-GB" w:eastAsia="en-GB"/>
              </w:rPr>
              <w:t>1 unit when Ireland wind &lt; 1,000 MW</w:t>
            </w:r>
          </w:p>
          <w:p w14:paraId="4709FC9A" w14:textId="77777777" w:rsidR="00C8651E" w:rsidRPr="006471D6" w:rsidRDefault="00C8651E" w:rsidP="00C8651E">
            <w:pPr>
              <w:spacing w:line="240" w:lineRule="auto"/>
              <w:rPr>
                <w:rFonts w:eastAsia="Times New Roman" w:cs="Arial"/>
                <w:color w:val="000000"/>
                <w:sz w:val="20"/>
                <w:szCs w:val="20"/>
                <w:lang w:val="en-US" w:eastAsia="en-IE"/>
              </w:rPr>
            </w:pPr>
          </w:p>
        </w:tc>
        <w:tc>
          <w:tcPr>
            <w:tcW w:w="1593" w:type="dxa"/>
            <w:shd w:val="clear" w:color="auto" w:fill="CCC0D9" w:themeFill="accent4" w:themeFillTint="66"/>
            <w:hideMark/>
          </w:tcPr>
          <w:p w14:paraId="652C89F8" w14:textId="0F703F1C" w:rsidR="00C8651E" w:rsidRPr="006471D6" w:rsidRDefault="00A20AC0"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 xml:space="preserve">MP5, </w:t>
            </w:r>
            <w:r w:rsidR="00C8651E" w:rsidRPr="006471D6">
              <w:rPr>
                <w:rFonts w:eastAsia="Times New Roman" w:cs="Arial"/>
                <w:color w:val="000000"/>
                <w:sz w:val="20"/>
                <w:szCs w:val="20"/>
                <w:lang w:val="en-US" w:eastAsia="en-IE"/>
              </w:rPr>
              <w:t>TYC</w:t>
            </w:r>
          </w:p>
        </w:tc>
        <w:tc>
          <w:tcPr>
            <w:tcW w:w="2005" w:type="dxa"/>
            <w:shd w:val="clear" w:color="auto" w:fill="CCC0D9" w:themeFill="accent4" w:themeFillTint="66"/>
            <w:hideMark/>
          </w:tcPr>
          <w:p w14:paraId="7109E912" w14:textId="6E438ACA" w:rsidR="00C8651E" w:rsidRPr="006471D6" w:rsidRDefault="00C8651E" w:rsidP="00990D01">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 xml:space="preserve">There must be at least one unit on load at all times; required to support the 400kV network. </w:t>
            </w:r>
          </w:p>
        </w:tc>
      </w:tr>
      <w:tr w:rsidR="00C8651E" w:rsidRPr="00DD5295" w14:paraId="6EC0ED02" w14:textId="77777777" w:rsidTr="00760D0D">
        <w:trPr>
          <w:trHeight w:val="2794"/>
        </w:trPr>
        <w:tc>
          <w:tcPr>
            <w:tcW w:w="2837" w:type="dxa"/>
            <w:shd w:val="clear" w:color="auto" w:fill="5F497A" w:themeFill="accent4" w:themeFillShade="BF"/>
            <w:hideMark/>
          </w:tcPr>
          <w:p w14:paraId="2BFC3272"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EWIC Interconnector</w:t>
            </w:r>
          </w:p>
          <w:p w14:paraId="05280DA5" w14:textId="77777777" w:rsidR="00C8651E" w:rsidRPr="006471D6" w:rsidRDefault="00C8651E" w:rsidP="00C8651E">
            <w:pPr>
              <w:spacing w:line="240" w:lineRule="auto"/>
              <w:rPr>
                <w:rFonts w:eastAsia="Times New Roman" w:cs="Arial"/>
                <w:b/>
                <w:bCs/>
                <w:color w:val="FFFFFF"/>
                <w:sz w:val="20"/>
                <w:szCs w:val="20"/>
                <w:lang w:val="en-US" w:eastAsia="en-IE"/>
              </w:rPr>
            </w:pPr>
          </w:p>
          <w:p w14:paraId="6CA01854"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(S_MWMIN_EWIC)</w:t>
            </w:r>
          </w:p>
          <w:p w14:paraId="54D240DB" w14:textId="77777777" w:rsidR="00C8651E" w:rsidRPr="006471D6" w:rsidRDefault="00C8651E" w:rsidP="00C8651E">
            <w:pPr>
              <w:spacing w:line="240" w:lineRule="auto"/>
              <w:rPr>
                <w:rFonts w:eastAsia="Times New Roman" w:cs="Arial"/>
                <w:b/>
                <w:bCs/>
                <w:color w:val="FFFFFF"/>
                <w:sz w:val="20"/>
                <w:szCs w:val="20"/>
                <w:lang w:val="en-US" w:eastAsia="en-IE"/>
              </w:rPr>
            </w:pPr>
            <w:r w:rsidRPr="006471D6">
              <w:rPr>
                <w:rFonts w:eastAsia="Times New Roman" w:cs="Arial"/>
                <w:b/>
                <w:bCs/>
                <w:color w:val="FFFFFF"/>
                <w:sz w:val="20"/>
                <w:szCs w:val="20"/>
                <w:lang w:val="en-US" w:eastAsia="en-IE"/>
              </w:rPr>
              <w:t>(S_MWMAX_EWIC)</w:t>
            </w:r>
          </w:p>
        </w:tc>
        <w:tc>
          <w:tcPr>
            <w:tcW w:w="702" w:type="dxa"/>
            <w:shd w:val="clear" w:color="auto" w:fill="CCC0D9" w:themeFill="accent4" w:themeFillTint="66"/>
            <w:hideMark/>
          </w:tcPr>
          <w:p w14:paraId="210EF298"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MW</w:t>
            </w:r>
          </w:p>
        </w:tc>
        <w:tc>
          <w:tcPr>
            <w:tcW w:w="769" w:type="dxa"/>
            <w:shd w:val="clear" w:color="auto" w:fill="CCC0D9" w:themeFill="accent4" w:themeFillTint="66"/>
            <w:hideMark/>
          </w:tcPr>
          <w:p w14:paraId="557D6D4F"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B</w:t>
            </w:r>
          </w:p>
        </w:tc>
        <w:tc>
          <w:tcPr>
            <w:tcW w:w="1510" w:type="dxa"/>
            <w:shd w:val="clear" w:color="auto" w:fill="CCC0D9" w:themeFill="accent4" w:themeFillTint="66"/>
            <w:hideMark/>
          </w:tcPr>
          <w:p w14:paraId="47D76377" w14:textId="25150066"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-526 &lt;MW&lt; 50</w:t>
            </w:r>
            <w:r w:rsidR="006209D3">
              <w:rPr>
                <w:rFonts w:eastAsia="Times New Roman" w:cs="Arial"/>
                <w:color w:val="000000"/>
                <w:sz w:val="20"/>
                <w:szCs w:val="20"/>
                <w:lang w:val="en-US" w:eastAsia="en-IE"/>
              </w:rPr>
              <w:t>4</w:t>
            </w:r>
          </w:p>
        </w:tc>
        <w:tc>
          <w:tcPr>
            <w:tcW w:w="1593" w:type="dxa"/>
            <w:shd w:val="clear" w:color="auto" w:fill="CCC0D9" w:themeFill="accent4" w:themeFillTint="66"/>
            <w:hideMark/>
          </w:tcPr>
          <w:p w14:paraId="2D0F980F" w14:textId="77777777"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EWIC Interconnector</w:t>
            </w:r>
            <w:r w:rsidRPr="006471D6">
              <w:rPr>
                <w:rFonts w:eastAsia="Times New Roman" w:cs="Arial"/>
                <w:color w:val="000000"/>
                <w:sz w:val="20"/>
                <w:szCs w:val="20"/>
                <w:vertAlign w:val="superscript"/>
                <w:lang w:val="en-US" w:eastAsia="en-IE"/>
              </w:rPr>
              <w:footnoteReference w:id="5"/>
            </w:r>
          </w:p>
        </w:tc>
        <w:tc>
          <w:tcPr>
            <w:tcW w:w="2005" w:type="dxa"/>
            <w:shd w:val="clear" w:color="auto" w:fill="CCC0D9" w:themeFill="accent4" w:themeFillTint="66"/>
            <w:hideMark/>
          </w:tcPr>
          <w:p w14:paraId="2259EC09" w14:textId="2303ABE8" w:rsidR="00C8651E" w:rsidRPr="006471D6" w:rsidRDefault="00C8651E" w:rsidP="00C8651E">
            <w:pPr>
              <w:spacing w:line="240" w:lineRule="auto"/>
              <w:rPr>
                <w:rFonts w:eastAsia="Times New Roman" w:cs="Arial"/>
                <w:color w:val="000000"/>
                <w:sz w:val="20"/>
                <w:szCs w:val="20"/>
                <w:lang w:val="en-US" w:eastAsia="en-IE"/>
              </w:rPr>
            </w:pPr>
            <w:r w:rsidRPr="006471D6">
              <w:rPr>
                <w:rFonts w:eastAsia="Times New Roman" w:cs="Arial"/>
                <w:color w:val="000000"/>
                <w:sz w:val="20"/>
                <w:szCs w:val="20"/>
                <w:lang w:val="en-US" w:eastAsia="en-IE"/>
              </w:rPr>
              <w:t>It ensures that all flows do not exceed an import of 50</w:t>
            </w:r>
            <w:r w:rsidR="006209D3">
              <w:rPr>
                <w:rFonts w:eastAsia="Times New Roman" w:cs="Arial"/>
                <w:color w:val="000000"/>
                <w:sz w:val="20"/>
                <w:szCs w:val="20"/>
                <w:lang w:val="en-US" w:eastAsia="en-IE"/>
              </w:rPr>
              <w:t>4</w:t>
            </w:r>
            <w:r w:rsidRPr="006471D6">
              <w:rPr>
                <w:rFonts w:eastAsia="Times New Roman" w:cs="Arial"/>
                <w:color w:val="000000"/>
                <w:sz w:val="20"/>
                <w:szCs w:val="20"/>
                <w:lang w:val="en-US" w:eastAsia="en-IE"/>
              </w:rPr>
              <w:t xml:space="preserve">MW to Ireland and an export of 526MW to GB (values taken from </w:t>
            </w:r>
            <w:proofErr w:type="spellStart"/>
            <w:r w:rsidRPr="006471D6">
              <w:rPr>
                <w:rFonts w:eastAsia="Times New Roman" w:cs="Arial"/>
                <w:color w:val="000000"/>
                <w:sz w:val="20"/>
                <w:szCs w:val="20"/>
                <w:lang w:val="en-US" w:eastAsia="en-IE"/>
              </w:rPr>
              <w:t>Portan</w:t>
            </w:r>
            <w:proofErr w:type="spellEnd"/>
            <w:r w:rsidRPr="006471D6">
              <w:rPr>
                <w:rFonts w:eastAsia="Times New Roman" w:cs="Arial"/>
                <w:color w:val="000000"/>
                <w:sz w:val="20"/>
                <w:szCs w:val="20"/>
                <w:lang w:val="en-US" w:eastAsia="en-IE"/>
              </w:rPr>
              <w:t xml:space="preserve">). This is required to ensure that the limits are respected. </w:t>
            </w:r>
          </w:p>
        </w:tc>
      </w:tr>
      <w:tr w:rsidR="00253360" w:rsidRPr="00DD5295" w14:paraId="67A4B214" w14:textId="77777777" w:rsidTr="00760D0D">
        <w:trPr>
          <w:trHeight w:val="2034"/>
        </w:trPr>
        <w:tc>
          <w:tcPr>
            <w:tcW w:w="2837" w:type="dxa"/>
            <w:shd w:val="clear" w:color="auto" w:fill="5F497A" w:themeFill="accent4" w:themeFillShade="BF"/>
          </w:tcPr>
          <w:p w14:paraId="4F252CDB" w14:textId="150C84D1" w:rsidR="00253360" w:rsidRDefault="00253360" w:rsidP="00C8651E">
            <w:pPr>
              <w:spacing w:line="240" w:lineRule="auto"/>
              <w:rPr>
                <w:rFonts w:eastAsia="Times New Roman" w:cs="Arial"/>
                <w:b/>
                <w:bCs/>
                <w:color w:val="FFFFFF"/>
                <w:sz w:val="20"/>
                <w:szCs w:val="20"/>
                <w:lang w:val="en-US" w:eastAsia="en-IE"/>
              </w:rPr>
            </w:pPr>
            <w:r>
              <w:rPr>
                <w:rFonts w:eastAsia="Times New Roman" w:cs="Arial"/>
                <w:b/>
                <w:bCs/>
                <w:color w:val="FFFFFF"/>
                <w:sz w:val="20"/>
                <w:szCs w:val="20"/>
                <w:lang w:val="en-US" w:eastAsia="en-IE"/>
              </w:rPr>
              <w:t>Moneypoint Generation</w:t>
            </w:r>
          </w:p>
          <w:p w14:paraId="1C500EE9" w14:textId="77777777" w:rsidR="00253360" w:rsidRDefault="00253360" w:rsidP="00C8651E">
            <w:pPr>
              <w:spacing w:line="240" w:lineRule="auto"/>
              <w:rPr>
                <w:rFonts w:eastAsia="Times New Roman" w:cs="Arial"/>
                <w:b/>
                <w:bCs/>
                <w:color w:val="FFFFFF"/>
                <w:sz w:val="20"/>
                <w:szCs w:val="20"/>
                <w:lang w:val="en-US" w:eastAsia="en-IE"/>
              </w:rPr>
            </w:pPr>
          </w:p>
          <w:p w14:paraId="13597A03" w14:textId="56B33720" w:rsidR="00253360" w:rsidRPr="006471D6" w:rsidRDefault="00253360" w:rsidP="00C8651E">
            <w:pPr>
              <w:spacing w:line="240" w:lineRule="auto"/>
              <w:rPr>
                <w:rFonts w:eastAsia="Times New Roman" w:cs="Arial"/>
                <w:b/>
                <w:bCs/>
                <w:color w:val="FFFFFF"/>
                <w:sz w:val="20"/>
                <w:szCs w:val="20"/>
                <w:lang w:val="en-US" w:eastAsia="en-IE"/>
              </w:rPr>
            </w:pPr>
            <w:r>
              <w:rPr>
                <w:rFonts w:eastAsia="Times New Roman" w:cs="Arial"/>
                <w:b/>
                <w:bCs/>
                <w:color w:val="FFFFFF"/>
                <w:sz w:val="20"/>
                <w:szCs w:val="20"/>
                <w:lang w:val="en-US" w:eastAsia="en-IE"/>
              </w:rPr>
              <w:t>(MP5_NB)</w:t>
            </w:r>
          </w:p>
        </w:tc>
        <w:tc>
          <w:tcPr>
            <w:tcW w:w="702" w:type="dxa"/>
            <w:shd w:val="clear" w:color="auto" w:fill="CCC0D9" w:themeFill="accent4" w:themeFillTint="66"/>
          </w:tcPr>
          <w:p w14:paraId="6AAA7CC2" w14:textId="020CA85F" w:rsidR="00253360" w:rsidRPr="006471D6" w:rsidRDefault="00253360"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NB</w:t>
            </w:r>
          </w:p>
        </w:tc>
        <w:tc>
          <w:tcPr>
            <w:tcW w:w="769" w:type="dxa"/>
            <w:shd w:val="clear" w:color="auto" w:fill="CCC0D9" w:themeFill="accent4" w:themeFillTint="66"/>
          </w:tcPr>
          <w:p w14:paraId="29811D1B" w14:textId="2A1C9B7E" w:rsidR="00253360" w:rsidRPr="006471D6" w:rsidRDefault="00232AD5"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N:&lt;=</w:t>
            </w:r>
          </w:p>
        </w:tc>
        <w:tc>
          <w:tcPr>
            <w:tcW w:w="1510" w:type="dxa"/>
            <w:shd w:val="clear" w:color="auto" w:fill="CCC0D9" w:themeFill="accent4" w:themeFillTint="66"/>
          </w:tcPr>
          <w:p w14:paraId="59466D99" w14:textId="0C340E21" w:rsidR="00253360" w:rsidRPr="006471D6" w:rsidRDefault="00232AD5"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1 Unit</w:t>
            </w:r>
          </w:p>
        </w:tc>
        <w:tc>
          <w:tcPr>
            <w:tcW w:w="1593" w:type="dxa"/>
            <w:shd w:val="clear" w:color="auto" w:fill="CCC0D9" w:themeFill="accent4" w:themeFillTint="66"/>
          </w:tcPr>
          <w:p w14:paraId="7DE769C9" w14:textId="0E89A33B" w:rsidR="00253360" w:rsidRPr="006471D6" w:rsidRDefault="00232AD5"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MP2, MP5</w:t>
            </w:r>
          </w:p>
        </w:tc>
        <w:tc>
          <w:tcPr>
            <w:tcW w:w="2005" w:type="dxa"/>
            <w:shd w:val="clear" w:color="auto" w:fill="CCC0D9" w:themeFill="accent4" w:themeFillTint="66"/>
          </w:tcPr>
          <w:p w14:paraId="31D230BE" w14:textId="513DC3FB" w:rsidR="00253360" w:rsidRPr="006471D6" w:rsidRDefault="00232AD5" w:rsidP="00C8651E">
            <w:pPr>
              <w:spacing w:line="240" w:lineRule="auto"/>
              <w:rPr>
                <w:rFonts w:eastAsia="Times New Roman" w:cs="Arial"/>
                <w:color w:val="000000"/>
                <w:sz w:val="20"/>
                <w:szCs w:val="20"/>
                <w:lang w:val="en-US" w:eastAsia="en-IE"/>
              </w:rPr>
            </w:pPr>
            <w:r>
              <w:rPr>
                <w:rFonts w:eastAsia="Times New Roman" w:cs="Arial"/>
                <w:color w:val="000000"/>
                <w:sz w:val="20"/>
                <w:szCs w:val="20"/>
                <w:lang w:val="en-US" w:eastAsia="en-IE"/>
              </w:rPr>
              <w:t>Moneypoint units 2 and 5 cannot be run simultaneously due to station arrangements.</w:t>
            </w:r>
          </w:p>
        </w:tc>
      </w:tr>
    </w:tbl>
    <w:p w14:paraId="4AE930B7" w14:textId="77777777" w:rsidR="007B77B6" w:rsidRDefault="007B77B6" w:rsidP="004F6CB9">
      <w:pPr>
        <w:pStyle w:val="EGStyleGuide-Subheadline"/>
        <w:rPr>
          <w:rFonts w:eastAsia="MS Gothic"/>
        </w:rPr>
      </w:pPr>
      <w:bookmarkStart w:id="10" w:name="_Toc67669744"/>
    </w:p>
    <w:p w14:paraId="3B046C37" w14:textId="77777777" w:rsidR="007B77B6" w:rsidRDefault="007B77B6">
      <w:pPr>
        <w:spacing w:after="200"/>
        <w:rPr>
          <w:rFonts w:eastAsia="MS Gothic" w:cs="Arial"/>
          <w:b/>
          <w:bCs/>
          <w:color w:val="157C85"/>
          <w:sz w:val="24"/>
          <w:szCs w:val="24"/>
          <w:lang w:val="en-GB" w:eastAsia="ja-JP"/>
        </w:rPr>
      </w:pPr>
      <w:r>
        <w:rPr>
          <w:rFonts w:eastAsia="MS Gothic"/>
        </w:rPr>
        <w:br w:type="page"/>
      </w:r>
    </w:p>
    <w:p w14:paraId="59427641" w14:textId="6EFEAB74" w:rsidR="00C35BC7" w:rsidRPr="00B82D24" w:rsidRDefault="00C35BC7" w:rsidP="004F6CB9">
      <w:pPr>
        <w:pStyle w:val="EGStyleGuide-Subheadline"/>
        <w:rPr>
          <w:rFonts w:eastAsia="MS Gothic"/>
        </w:rPr>
      </w:pPr>
      <w:r w:rsidRPr="00B82D24">
        <w:rPr>
          <w:rFonts w:eastAsia="MS Gothic"/>
        </w:rPr>
        <w:lastRenderedPageBreak/>
        <w:t xml:space="preserve">System Constraints </w:t>
      </w:r>
    </w:p>
    <w:p w14:paraId="65BF6E2F" w14:textId="77777777" w:rsidR="00C35BC7" w:rsidRPr="00DD5295" w:rsidRDefault="00C35BC7" w:rsidP="00C35BC7">
      <w:pPr>
        <w:pStyle w:val="Heading3"/>
        <w:rPr>
          <w:rFonts w:eastAsia="MS Gothic" w:cs="Arial"/>
          <w:lang w:val="en-GB" w:eastAsia="en-GB"/>
        </w:rPr>
      </w:pPr>
      <w:r w:rsidRPr="00DD5295">
        <w:rPr>
          <w:rFonts w:eastAsia="MS Gothic" w:cs="Arial"/>
          <w:lang w:val="en-GB" w:eastAsia="en-GB"/>
        </w:rPr>
        <w:t xml:space="preserve">Tie Line Limits </w:t>
      </w:r>
    </w:p>
    <w:p w14:paraId="7BF2E15B" w14:textId="77777777" w:rsidR="00C35BC7" w:rsidRPr="00B82D24" w:rsidRDefault="00C35BC7" w:rsidP="00C35BC7">
      <w:pPr>
        <w:spacing w:line="240" w:lineRule="auto"/>
        <w:jc w:val="both"/>
        <w:rPr>
          <w:rFonts w:eastAsia="MS Mincho" w:cs="Arial"/>
          <w:lang w:val="en-US" w:eastAsia="ja-JP"/>
        </w:rPr>
      </w:pPr>
      <w:r w:rsidRPr="00B82D24">
        <w:rPr>
          <w:rFonts w:eastAsia="MS Mincho" w:cs="Arial"/>
          <w:lang w:val="en-US" w:eastAsia="ja-JP"/>
        </w:rPr>
        <w:t xml:space="preserve">Tie line flows in both directions have physical limits, the maximum flow that can be sustained without breaching system security rules (line overloads, voltage limits, system stability etc.) after a credible transmission or generation event. The limits are referred to as the Total Transfer Capacity (TTC) comprising of two values: N-S and S-N.  For more information on Inter-Area Flow (North-South Tie Line) Constraints follow link: </w:t>
      </w:r>
    </w:p>
    <w:p w14:paraId="2FBC498F" w14:textId="77777777" w:rsidR="00C35BC7" w:rsidRPr="00B82D24" w:rsidRDefault="00C35BC7" w:rsidP="00C35BC7">
      <w:pPr>
        <w:spacing w:line="240" w:lineRule="auto"/>
        <w:jc w:val="both"/>
        <w:rPr>
          <w:rFonts w:eastAsia="MS Mincho" w:cs="Arial"/>
          <w:lang w:val="en-US" w:eastAsia="ja-JP"/>
        </w:rPr>
      </w:pPr>
      <w:hyperlink r:id="rId16" w:history="1">
        <w:r w:rsidRPr="00B82D24">
          <w:rPr>
            <w:rFonts w:eastAsia="MS Mincho" w:cs="Arial"/>
            <w:color w:val="0000FF"/>
            <w:u w:val="single"/>
            <w:lang w:val="en-US" w:eastAsia="ja-JP"/>
          </w:rPr>
          <w:t>https://www.sem-o.com/documents/general-publications/Information_Note_on_Inter-Area_Flow_Constraints.pdf</w:t>
        </w:r>
      </w:hyperlink>
    </w:p>
    <w:p w14:paraId="655EC332" w14:textId="77777777" w:rsidR="00C35BC7" w:rsidRPr="00B82D24" w:rsidRDefault="00C35BC7" w:rsidP="00C35BC7">
      <w:pPr>
        <w:spacing w:line="240" w:lineRule="auto"/>
        <w:jc w:val="both"/>
        <w:rPr>
          <w:rFonts w:eastAsia="MS Mincho" w:cs="Arial"/>
          <w:sz w:val="24"/>
          <w:szCs w:val="24"/>
          <w:lang w:val="en-US" w:eastAsia="ja-JP"/>
        </w:rPr>
      </w:pPr>
      <w:r w:rsidRPr="00B82D24">
        <w:rPr>
          <w:rFonts w:eastAsia="MS Mincho" w:cs="Arial"/>
          <w:lang w:val="en-US" w:eastAsia="ja-JP"/>
        </w:rPr>
        <w:t xml:space="preserve">  </w:t>
      </w:r>
    </w:p>
    <w:p w14:paraId="7F73439B" w14:textId="77777777" w:rsidR="00C35BC7" w:rsidRPr="00DD5295" w:rsidRDefault="00C35BC7" w:rsidP="00C35BC7">
      <w:pPr>
        <w:pStyle w:val="Heading3"/>
        <w:rPr>
          <w:rFonts w:eastAsia="MS Gothic" w:cs="Arial"/>
          <w:lang w:val="en-GB" w:eastAsia="en-GB"/>
        </w:rPr>
      </w:pPr>
      <w:r w:rsidRPr="00DD5295">
        <w:rPr>
          <w:rFonts w:eastAsia="MS Gothic" w:cs="Arial"/>
          <w:lang w:val="en-GB" w:eastAsia="en-GB"/>
        </w:rPr>
        <w:t>Non-Synchronous Generation</w:t>
      </w:r>
    </w:p>
    <w:p w14:paraId="03F58779" w14:textId="7A24651E" w:rsidR="00C35BC7" w:rsidRPr="00B82D24" w:rsidRDefault="00C35BC7" w:rsidP="00C35BC7">
      <w:pPr>
        <w:autoSpaceDE w:val="0"/>
        <w:autoSpaceDN w:val="0"/>
        <w:adjustRightInd w:val="0"/>
        <w:spacing w:line="240" w:lineRule="auto"/>
        <w:jc w:val="both"/>
        <w:rPr>
          <w:rFonts w:eastAsia="MS Mincho" w:cs="Arial"/>
          <w:color w:val="000000"/>
          <w:lang w:val="en-GB" w:eastAsia="en-GB"/>
        </w:rPr>
      </w:pPr>
      <w:r w:rsidRPr="00B82D24">
        <w:rPr>
          <w:rFonts w:eastAsia="MS Mincho" w:cs="Arial"/>
          <w:color w:val="000000"/>
          <w:lang w:val="en-GB" w:eastAsia="en-GB"/>
        </w:rPr>
        <w:t>To ensure the secure, stable operation of the power system, it is necessary to limit the level of non-synchronous generation of the system</w:t>
      </w:r>
      <w:r w:rsidR="00CE603F" w:rsidRPr="00B82D24">
        <w:rPr>
          <w:rFonts w:eastAsia="MS Mincho" w:cs="Arial"/>
          <w:color w:val="000000"/>
          <w:lang w:val="en-GB" w:eastAsia="en-GB"/>
        </w:rPr>
        <w:t xml:space="preserve">. </w:t>
      </w:r>
      <w:r w:rsidRPr="00B82D24">
        <w:rPr>
          <w:rFonts w:eastAsia="MS Mincho" w:cs="Arial"/>
          <w:color w:val="000000"/>
          <w:lang w:val="en-GB" w:eastAsia="en-GB"/>
        </w:rPr>
        <w:t>The System Non-Synchronous Penetration (SNSP) is a measure of the non-synchronous generation on the system at an instant in time i.e. the non-synchronous generation and net interconnector imports as a percentage of the demand and net interconnector exports (where “Demand” includes pump storage consumption when in pumping mode)</w:t>
      </w:r>
      <w:r w:rsidR="00CE603F" w:rsidRPr="00B82D24">
        <w:rPr>
          <w:rFonts w:eastAsia="MS Mincho" w:cs="Arial"/>
          <w:color w:val="000000"/>
          <w:lang w:val="en-GB" w:eastAsia="en-GB"/>
        </w:rPr>
        <w:t xml:space="preserve">. </w:t>
      </w:r>
    </w:p>
    <w:p w14:paraId="7D5AF1AA" w14:textId="77777777" w:rsidR="00C35BC7" w:rsidRPr="00B82D24" w:rsidRDefault="00C35BC7" w:rsidP="00C35BC7">
      <w:pPr>
        <w:autoSpaceDE w:val="0"/>
        <w:autoSpaceDN w:val="0"/>
        <w:adjustRightInd w:val="0"/>
        <w:spacing w:line="240" w:lineRule="auto"/>
        <w:jc w:val="both"/>
        <w:rPr>
          <w:rFonts w:eastAsia="MS Mincho" w:cs="Arial"/>
          <w:color w:val="000000"/>
          <w:lang w:val="en-GB" w:eastAsia="en-GB"/>
        </w:rPr>
      </w:pPr>
    </w:p>
    <w:p w14:paraId="6DA15C52" w14:textId="77777777" w:rsidR="00C35BC7" w:rsidRPr="00DD5295" w:rsidRDefault="00C35BC7" w:rsidP="00C35BC7">
      <w:pPr>
        <w:pStyle w:val="Heading3"/>
        <w:rPr>
          <w:rFonts w:eastAsia="MS Gothic" w:cs="Arial"/>
          <w:lang w:val="en-GB" w:eastAsia="en-GB"/>
        </w:rPr>
      </w:pPr>
      <w:r w:rsidRPr="00DD5295">
        <w:rPr>
          <w:rFonts w:eastAsia="MS Gothic" w:cs="Arial"/>
          <w:lang w:val="en-GB" w:eastAsia="en-GB"/>
        </w:rPr>
        <w:t>Ramping Margin Constraints</w:t>
      </w:r>
    </w:p>
    <w:p w14:paraId="625FA67B" w14:textId="77777777" w:rsidR="00C35BC7" w:rsidRPr="00B82D24" w:rsidRDefault="00C35BC7" w:rsidP="00C35BC7">
      <w:pPr>
        <w:autoSpaceDE w:val="0"/>
        <w:autoSpaceDN w:val="0"/>
        <w:adjustRightInd w:val="0"/>
        <w:spacing w:line="240" w:lineRule="auto"/>
        <w:jc w:val="both"/>
        <w:rPr>
          <w:rFonts w:eastAsia="MS Mincho" w:cs="Arial"/>
          <w:color w:val="000000"/>
          <w:lang w:val="en-GB" w:eastAsia="en-GB"/>
        </w:rPr>
      </w:pPr>
      <w:r w:rsidRPr="00B82D24">
        <w:rPr>
          <w:rFonts w:eastAsia="MS Mincho" w:cs="Arial"/>
          <w:color w:val="000000"/>
          <w:lang w:val="en-GB" w:eastAsia="en-GB"/>
        </w:rPr>
        <w:t>The Ramping Margin Constraints maintain a level of dispatchable generation and demand to mitigate renewable forecast error.</w:t>
      </w:r>
    </w:p>
    <w:p w14:paraId="0A829DB8" w14:textId="77777777" w:rsidR="00C35BC7" w:rsidRPr="00DD5295" w:rsidRDefault="00C35BC7" w:rsidP="00C35BC7">
      <w:pPr>
        <w:autoSpaceDE w:val="0"/>
        <w:autoSpaceDN w:val="0"/>
        <w:adjustRightInd w:val="0"/>
        <w:spacing w:line="240" w:lineRule="auto"/>
        <w:jc w:val="both"/>
        <w:rPr>
          <w:rFonts w:eastAsia="MS Mincho" w:cs="Arial"/>
          <w:color w:val="000000"/>
          <w:sz w:val="24"/>
          <w:szCs w:val="24"/>
          <w:lang w:val="en-GB" w:eastAsia="en-GB"/>
        </w:rPr>
      </w:pPr>
    </w:p>
    <w:tbl>
      <w:tblPr>
        <w:tblStyle w:val="TableGrid1"/>
        <w:tblW w:w="0" w:type="auto"/>
        <w:jc w:val="center"/>
        <w:tblLook w:val="04A0" w:firstRow="1" w:lastRow="0" w:firstColumn="1" w:lastColumn="0" w:noHBand="0" w:noVBand="1"/>
      </w:tblPr>
      <w:tblGrid>
        <w:gridCol w:w="2093"/>
        <w:gridCol w:w="3055"/>
        <w:gridCol w:w="1800"/>
        <w:gridCol w:w="1800"/>
      </w:tblGrid>
      <w:tr w:rsidR="00C35BC7" w:rsidRPr="00B82D24" w14:paraId="7A38CE13" w14:textId="77777777" w:rsidTr="00760D0D">
        <w:trPr>
          <w:jc w:val="center"/>
        </w:trPr>
        <w:tc>
          <w:tcPr>
            <w:tcW w:w="2093" w:type="dxa"/>
            <w:shd w:val="clear" w:color="auto" w:fill="BFBFBF" w:themeFill="background1" w:themeFillShade="BF"/>
          </w:tcPr>
          <w:p w14:paraId="4FE957F0" w14:textId="77777777" w:rsidR="00C35BC7" w:rsidRPr="00B82D24" w:rsidRDefault="00C35BC7" w:rsidP="006A78CA">
            <w:pPr>
              <w:jc w:val="both"/>
              <w:rPr>
                <w:rFonts w:cs="Arial"/>
                <w:sz w:val="24"/>
                <w:szCs w:val="24"/>
              </w:rPr>
            </w:pPr>
            <w:r w:rsidRPr="00B82D24">
              <w:rPr>
                <w:rFonts w:cs="Arial"/>
                <w:sz w:val="24"/>
                <w:szCs w:val="24"/>
              </w:rPr>
              <w:t>Classification</w:t>
            </w:r>
          </w:p>
        </w:tc>
        <w:tc>
          <w:tcPr>
            <w:tcW w:w="3055" w:type="dxa"/>
            <w:shd w:val="clear" w:color="auto" w:fill="BFBFBF" w:themeFill="background1" w:themeFillShade="BF"/>
          </w:tcPr>
          <w:p w14:paraId="45DF5F97" w14:textId="77777777" w:rsidR="00C35BC7" w:rsidRPr="00B82D24" w:rsidRDefault="00C35BC7" w:rsidP="006A78CA">
            <w:pPr>
              <w:jc w:val="both"/>
              <w:rPr>
                <w:rFonts w:cs="Arial"/>
                <w:sz w:val="24"/>
                <w:szCs w:val="24"/>
              </w:rPr>
            </w:pPr>
            <w:r w:rsidRPr="00B82D24">
              <w:rPr>
                <w:rFonts w:cs="Arial"/>
                <w:sz w:val="24"/>
                <w:szCs w:val="24"/>
              </w:rPr>
              <w:t>Category</w:t>
            </w:r>
          </w:p>
        </w:tc>
        <w:tc>
          <w:tcPr>
            <w:tcW w:w="1800" w:type="dxa"/>
            <w:shd w:val="clear" w:color="auto" w:fill="BFBFBF" w:themeFill="background1" w:themeFillShade="BF"/>
          </w:tcPr>
          <w:p w14:paraId="2562EFAF" w14:textId="77777777" w:rsidR="00C35BC7" w:rsidRPr="00B82D24" w:rsidRDefault="00C35BC7" w:rsidP="006A78CA">
            <w:pPr>
              <w:jc w:val="both"/>
              <w:rPr>
                <w:rFonts w:cs="Arial"/>
                <w:sz w:val="24"/>
                <w:szCs w:val="24"/>
              </w:rPr>
            </w:pPr>
            <w:r w:rsidRPr="00B82D24">
              <w:rPr>
                <w:rFonts w:cs="Arial"/>
                <w:sz w:val="24"/>
                <w:szCs w:val="24"/>
              </w:rPr>
              <w:t>Delivered within</w:t>
            </w:r>
          </w:p>
        </w:tc>
        <w:tc>
          <w:tcPr>
            <w:tcW w:w="1800" w:type="dxa"/>
            <w:shd w:val="clear" w:color="auto" w:fill="BFBFBF" w:themeFill="background1" w:themeFillShade="BF"/>
          </w:tcPr>
          <w:p w14:paraId="5F91DF85" w14:textId="77777777" w:rsidR="00C35BC7" w:rsidRPr="00B82D24" w:rsidRDefault="00C35BC7" w:rsidP="006A78CA">
            <w:pPr>
              <w:jc w:val="both"/>
              <w:rPr>
                <w:rFonts w:cs="Arial"/>
                <w:sz w:val="24"/>
                <w:szCs w:val="24"/>
              </w:rPr>
            </w:pPr>
            <w:r w:rsidRPr="00B82D24">
              <w:rPr>
                <w:rFonts w:cs="Arial"/>
                <w:sz w:val="24"/>
                <w:szCs w:val="24"/>
              </w:rPr>
              <w:t>Maintained for</w:t>
            </w:r>
          </w:p>
        </w:tc>
      </w:tr>
      <w:tr w:rsidR="00C35BC7" w:rsidRPr="00B82D24" w14:paraId="6F78547A" w14:textId="77777777" w:rsidTr="00760D0D">
        <w:trPr>
          <w:jc w:val="center"/>
        </w:trPr>
        <w:tc>
          <w:tcPr>
            <w:tcW w:w="2093" w:type="dxa"/>
            <w:vMerge w:val="restart"/>
          </w:tcPr>
          <w:p w14:paraId="7046AA28" w14:textId="77777777" w:rsidR="00C35BC7" w:rsidRPr="00B82D24" w:rsidRDefault="00C35BC7" w:rsidP="006A78CA">
            <w:pPr>
              <w:jc w:val="both"/>
              <w:rPr>
                <w:rFonts w:cs="Arial"/>
                <w:sz w:val="24"/>
                <w:szCs w:val="24"/>
              </w:rPr>
            </w:pPr>
            <w:r w:rsidRPr="00B82D24">
              <w:rPr>
                <w:rFonts w:cs="Arial"/>
                <w:sz w:val="24"/>
                <w:szCs w:val="24"/>
              </w:rPr>
              <w:t>Ramping Margin</w:t>
            </w:r>
          </w:p>
        </w:tc>
        <w:tc>
          <w:tcPr>
            <w:tcW w:w="3055" w:type="dxa"/>
          </w:tcPr>
          <w:p w14:paraId="61FAB917" w14:textId="77777777" w:rsidR="00C35BC7" w:rsidRPr="00B82D24" w:rsidRDefault="00C35BC7" w:rsidP="006A78CA">
            <w:pPr>
              <w:jc w:val="both"/>
              <w:rPr>
                <w:rFonts w:cs="Arial"/>
                <w:sz w:val="24"/>
                <w:szCs w:val="24"/>
              </w:rPr>
            </w:pPr>
            <w:r w:rsidRPr="00B82D24">
              <w:rPr>
                <w:rFonts w:cs="Arial"/>
                <w:sz w:val="24"/>
                <w:szCs w:val="24"/>
              </w:rPr>
              <w:t>Ramping Margin 1 (RM1)</w:t>
            </w:r>
          </w:p>
        </w:tc>
        <w:tc>
          <w:tcPr>
            <w:tcW w:w="1800" w:type="dxa"/>
          </w:tcPr>
          <w:p w14:paraId="6A9B8B3C" w14:textId="77777777" w:rsidR="00C35BC7" w:rsidRPr="00B82D24" w:rsidRDefault="00C35BC7" w:rsidP="006A78CA">
            <w:pPr>
              <w:jc w:val="both"/>
              <w:rPr>
                <w:rFonts w:cs="Arial"/>
                <w:sz w:val="24"/>
                <w:szCs w:val="24"/>
              </w:rPr>
            </w:pPr>
            <w:r w:rsidRPr="00B82D24">
              <w:rPr>
                <w:rFonts w:cs="Arial"/>
                <w:sz w:val="24"/>
                <w:szCs w:val="24"/>
              </w:rPr>
              <w:t>1 Hours</w:t>
            </w:r>
          </w:p>
        </w:tc>
        <w:tc>
          <w:tcPr>
            <w:tcW w:w="1800" w:type="dxa"/>
          </w:tcPr>
          <w:p w14:paraId="6C395B81" w14:textId="77777777" w:rsidR="00C35BC7" w:rsidRPr="00B82D24" w:rsidRDefault="00C35BC7" w:rsidP="006A78CA">
            <w:pPr>
              <w:jc w:val="both"/>
              <w:rPr>
                <w:rFonts w:cs="Arial"/>
                <w:sz w:val="24"/>
                <w:szCs w:val="24"/>
              </w:rPr>
            </w:pPr>
            <w:r w:rsidRPr="00B82D24">
              <w:rPr>
                <w:rFonts w:cs="Arial"/>
                <w:sz w:val="24"/>
                <w:szCs w:val="24"/>
              </w:rPr>
              <w:t>2 Hours</w:t>
            </w:r>
          </w:p>
        </w:tc>
      </w:tr>
      <w:tr w:rsidR="00C35BC7" w:rsidRPr="00B82D24" w14:paraId="72F849AA" w14:textId="77777777" w:rsidTr="00760D0D">
        <w:trPr>
          <w:jc w:val="center"/>
        </w:trPr>
        <w:tc>
          <w:tcPr>
            <w:tcW w:w="2093" w:type="dxa"/>
            <w:vMerge/>
          </w:tcPr>
          <w:p w14:paraId="764DCCD2" w14:textId="77777777" w:rsidR="00C35BC7" w:rsidRPr="00B82D24" w:rsidRDefault="00C35BC7" w:rsidP="006A78CA">
            <w:pPr>
              <w:jc w:val="both"/>
              <w:rPr>
                <w:rFonts w:cs="Arial"/>
                <w:sz w:val="24"/>
                <w:szCs w:val="24"/>
              </w:rPr>
            </w:pPr>
          </w:p>
        </w:tc>
        <w:tc>
          <w:tcPr>
            <w:tcW w:w="3055" w:type="dxa"/>
          </w:tcPr>
          <w:p w14:paraId="21B781E9" w14:textId="77777777" w:rsidR="00C35BC7" w:rsidRPr="00B82D24" w:rsidRDefault="00C35BC7" w:rsidP="006A78CA">
            <w:pPr>
              <w:jc w:val="both"/>
              <w:rPr>
                <w:rFonts w:cs="Arial"/>
                <w:sz w:val="24"/>
                <w:szCs w:val="24"/>
              </w:rPr>
            </w:pPr>
            <w:r w:rsidRPr="00B82D24">
              <w:rPr>
                <w:rFonts w:cs="Arial"/>
                <w:sz w:val="24"/>
                <w:szCs w:val="24"/>
              </w:rPr>
              <w:t>Ramping Margin 3 (RM3)</w:t>
            </w:r>
          </w:p>
        </w:tc>
        <w:tc>
          <w:tcPr>
            <w:tcW w:w="1800" w:type="dxa"/>
          </w:tcPr>
          <w:p w14:paraId="17FF9799" w14:textId="77777777" w:rsidR="00C35BC7" w:rsidRPr="00B82D24" w:rsidRDefault="00C35BC7" w:rsidP="006A78CA">
            <w:pPr>
              <w:jc w:val="both"/>
              <w:rPr>
                <w:rFonts w:cs="Arial"/>
                <w:sz w:val="24"/>
                <w:szCs w:val="24"/>
              </w:rPr>
            </w:pPr>
            <w:r w:rsidRPr="00B82D24">
              <w:rPr>
                <w:rFonts w:cs="Arial"/>
                <w:sz w:val="24"/>
                <w:szCs w:val="24"/>
              </w:rPr>
              <w:t>3 Hours</w:t>
            </w:r>
          </w:p>
        </w:tc>
        <w:tc>
          <w:tcPr>
            <w:tcW w:w="1800" w:type="dxa"/>
          </w:tcPr>
          <w:p w14:paraId="436774CA" w14:textId="77777777" w:rsidR="00C35BC7" w:rsidRPr="00B82D24" w:rsidRDefault="00C35BC7" w:rsidP="006A78CA">
            <w:pPr>
              <w:jc w:val="both"/>
              <w:rPr>
                <w:rFonts w:cs="Arial"/>
                <w:sz w:val="24"/>
                <w:szCs w:val="24"/>
              </w:rPr>
            </w:pPr>
            <w:r w:rsidRPr="00B82D24">
              <w:rPr>
                <w:rFonts w:cs="Arial"/>
                <w:sz w:val="24"/>
                <w:szCs w:val="24"/>
              </w:rPr>
              <w:t>5 Hours</w:t>
            </w:r>
          </w:p>
        </w:tc>
      </w:tr>
      <w:tr w:rsidR="00C35BC7" w:rsidRPr="00B82D24" w14:paraId="1AA886BB" w14:textId="77777777" w:rsidTr="00760D0D">
        <w:trPr>
          <w:jc w:val="center"/>
        </w:trPr>
        <w:tc>
          <w:tcPr>
            <w:tcW w:w="2093" w:type="dxa"/>
            <w:vMerge/>
          </w:tcPr>
          <w:p w14:paraId="3A2EE842" w14:textId="77777777" w:rsidR="00C35BC7" w:rsidRPr="00B82D24" w:rsidRDefault="00C35BC7" w:rsidP="006A78CA">
            <w:pPr>
              <w:jc w:val="both"/>
              <w:rPr>
                <w:rFonts w:cs="Arial"/>
                <w:sz w:val="24"/>
                <w:szCs w:val="24"/>
              </w:rPr>
            </w:pPr>
          </w:p>
        </w:tc>
        <w:tc>
          <w:tcPr>
            <w:tcW w:w="3055" w:type="dxa"/>
          </w:tcPr>
          <w:p w14:paraId="3490FC3A" w14:textId="77777777" w:rsidR="00C35BC7" w:rsidRPr="00B82D24" w:rsidRDefault="00C35BC7" w:rsidP="006A78CA">
            <w:pPr>
              <w:jc w:val="both"/>
              <w:rPr>
                <w:rFonts w:cs="Arial"/>
                <w:sz w:val="24"/>
                <w:szCs w:val="24"/>
              </w:rPr>
            </w:pPr>
            <w:r w:rsidRPr="00B82D24">
              <w:rPr>
                <w:rFonts w:cs="Arial"/>
                <w:sz w:val="24"/>
                <w:szCs w:val="24"/>
              </w:rPr>
              <w:t>Ramping Margin 8 (RM8)</w:t>
            </w:r>
          </w:p>
        </w:tc>
        <w:tc>
          <w:tcPr>
            <w:tcW w:w="1800" w:type="dxa"/>
          </w:tcPr>
          <w:p w14:paraId="39290527" w14:textId="77777777" w:rsidR="00C35BC7" w:rsidRPr="00B82D24" w:rsidRDefault="00C35BC7" w:rsidP="006A78CA">
            <w:pPr>
              <w:jc w:val="both"/>
              <w:rPr>
                <w:rFonts w:cs="Arial"/>
                <w:sz w:val="24"/>
                <w:szCs w:val="24"/>
              </w:rPr>
            </w:pPr>
            <w:r w:rsidRPr="00B82D24">
              <w:rPr>
                <w:rFonts w:cs="Arial"/>
                <w:sz w:val="24"/>
                <w:szCs w:val="24"/>
              </w:rPr>
              <w:t>8 Hours</w:t>
            </w:r>
          </w:p>
        </w:tc>
        <w:tc>
          <w:tcPr>
            <w:tcW w:w="1800" w:type="dxa"/>
          </w:tcPr>
          <w:p w14:paraId="75B778F7" w14:textId="77777777" w:rsidR="00C35BC7" w:rsidRPr="00B82D24" w:rsidRDefault="00C35BC7" w:rsidP="006A78CA">
            <w:pPr>
              <w:jc w:val="both"/>
              <w:rPr>
                <w:rFonts w:cs="Arial"/>
                <w:sz w:val="24"/>
                <w:szCs w:val="24"/>
              </w:rPr>
            </w:pPr>
            <w:r w:rsidRPr="00B82D24">
              <w:rPr>
                <w:rFonts w:cs="Arial"/>
                <w:sz w:val="24"/>
                <w:szCs w:val="24"/>
              </w:rPr>
              <w:t>8 Hours</w:t>
            </w:r>
          </w:p>
        </w:tc>
      </w:tr>
    </w:tbl>
    <w:p w14:paraId="4E457618" w14:textId="77777777" w:rsidR="00C35BC7" w:rsidRPr="00B82D24" w:rsidRDefault="00C35BC7" w:rsidP="00C35BC7">
      <w:pPr>
        <w:autoSpaceDE w:val="0"/>
        <w:autoSpaceDN w:val="0"/>
        <w:adjustRightInd w:val="0"/>
        <w:spacing w:line="240" w:lineRule="auto"/>
        <w:jc w:val="both"/>
        <w:rPr>
          <w:rFonts w:eastAsia="MS Mincho" w:cs="Arial"/>
          <w:color w:val="000000"/>
          <w:lang w:val="en-GB" w:eastAsia="en-GB"/>
        </w:rPr>
      </w:pPr>
    </w:p>
    <w:p w14:paraId="59D05F78" w14:textId="0DB3F4A3" w:rsidR="00C35BC7" w:rsidRPr="00B82D24" w:rsidRDefault="00C35BC7" w:rsidP="00C35BC7">
      <w:pPr>
        <w:spacing w:line="240" w:lineRule="auto"/>
        <w:jc w:val="both"/>
        <w:rPr>
          <w:rFonts w:eastAsia="MS Mincho" w:cs="Arial"/>
          <w:lang w:val="en-US" w:eastAsia="ja-JP"/>
        </w:rPr>
      </w:pPr>
      <w:r w:rsidRPr="00B82D24">
        <w:rPr>
          <w:rFonts w:eastAsia="MS Mincho" w:cs="Arial"/>
          <w:i/>
          <w:u w:val="single"/>
          <w:lang w:val="en-US" w:eastAsia="ja-JP"/>
        </w:rPr>
        <w:t>Ramping Margin 1</w:t>
      </w:r>
      <w:r w:rsidRPr="00B82D24">
        <w:rPr>
          <w:rFonts w:eastAsia="MS Mincho" w:cs="Arial"/>
          <w:lang w:val="en-US" w:eastAsia="ja-JP"/>
        </w:rPr>
        <w:t xml:space="preserve"> is the increased MW output or reduction in demand, a unit can provide, within one hour of receiving a dispatch instruction and maintaining that MW output for a further two hours after the </w:t>
      </w:r>
      <w:r w:rsidR="00CA5BCC" w:rsidRPr="00B82D24">
        <w:rPr>
          <w:rFonts w:eastAsia="MS Mincho" w:cs="Arial"/>
          <w:lang w:val="en-US" w:eastAsia="ja-JP"/>
        </w:rPr>
        <w:t>one-hour</w:t>
      </w:r>
      <w:r w:rsidRPr="00B82D24">
        <w:rPr>
          <w:rFonts w:eastAsia="MS Mincho" w:cs="Arial"/>
          <w:lang w:val="en-US" w:eastAsia="ja-JP"/>
        </w:rPr>
        <w:t xml:space="preserve"> period has elapsed.</w:t>
      </w:r>
    </w:p>
    <w:p w14:paraId="29EB55E3" w14:textId="22349E99" w:rsidR="00C35BC7" w:rsidRPr="00B82D24" w:rsidRDefault="00C35BC7" w:rsidP="00C35BC7">
      <w:pPr>
        <w:spacing w:line="240" w:lineRule="auto"/>
        <w:jc w:val="both"/>
        <w:rPr>
          <w:rFonts w:eastAsia="MS Mincho" w:cs="Arial"/>
          <w:lang w:val="en-US" w:eastAsia="ja-JP"/>
        </w:rPr>
      </w:pPr>
      <w:r w:rsidRPr="00B82D24">
        <w:rPr>
          <w:rFonts w:eastAsia="MS Mincho" w:cs="Arial"/>
          <w:i/>
          <w:u w:val="single"/>
          <w:lang w:val="en-US" w:eastAsia="ja-JP"/>
        </w:rPr>
        <w:t>Ramping Margin 3</w:t>
      </w:r>
      <w:r w:rsidRPr="00B82D24">
        <w:rPr>
          <w:rFonts w:eastAsia="MS Mincho" w:cs="Arial"/>
          <w:lang w:val="en-US" w:eastAsia="ja-JP"/>
        </w:rPr>
        <w:t xml:space="preserve"> is the increased MW output or reduction in demand, a unit can provide, within three hours of receiving a dispatch instruction and maintaining that MW output for a further five hours after the </w:t>
      </w:r>
      <w:r w:rsidR="00CA5BCC" w:rsidRPr="00B82D24">
        <w:rPr>
          <w:rFonts w:eastAsia="MS Mincho" w:cs="Arial"/>
          <w:lang w:val="en-US" w:eastAsia="ja-JP"/>
        </w:rPr>
        <w:t>three-hour</w:t>
      </w:r>
      <w:r w:rsidRPr="00B82D24">
        <w:rPr>
          <w:rFonts w:eastAsia="MS Mincho" w:cs="Arial"/>
          <w:lang w:val="en-US" w:eastAsia="ja-JP"/>
        </w:rPr>
        <w:t xml:space="preserve"> period has elapsed.</w:t>
      </w:r>
    </w:p>
    <w:p w14:paraId="444AB065" w14:textId="597D3DDC" w:rsidR="00C35BC7" w:rsidRPr="00B82D24" w:rsidRDefault="00C35BC7" w:rsidP="00C35BC7">
      <w:pPr>
        <w:spacing w:line="240" w:lineRule="auto"/>
        <w:jc w:val="both"/>
        <w:rPr>
          <w:rFonts w:eastAsia="MS Mincho" w:cs="Arial"/>
          <w:lang w:val="en-US" w:eastAsia="ja-JP"/>
        </w:rPr>
      </w:pPr>
      <w:r w:rsidRPr="00B82D24">
        <w:rPr>
          <w:rFonts w:eastAsia="MS Mincho" w:cs="Arial"/>
          <w:i/>
          <w:u w:val="single"/>
          <w:lang w:val="en-US" w:eastAsia="ja-JP"/>
        </w:rPr>
        <w:t>Ramping Margin 8</w:t>
      </w:r>
      <w:r w:rsidRPr="00B82D24">
        <w:rPr>
          <w:rFonts w:eastAsia="MS Mincho" w:cs="Arial"/>
          <w:lang w:val="en-US" w:eastAsia="ja-JP"/>
        </w:rPr>
        <w:t xml:space="preserve"> is the increased MW output or reduction in demand, a unit can provide, within eight hours of receiving a dispatch instruction and maintaining that MW output for a further eight hours after the </w:t>
      </w:r>
      <w:r w:rsidR="00CA5BCC" w:rsidRPr="00B82D24">
        <w:rPr>
          <w:rFonts w:eastAsia="MS Mincho" w:cs="Arial"/>
          <w:lang w:val="en-US" w:eastAsia="ja-JP"/>
        </w:rPr>
        <w:t>eight-hour</w:t>
      </w:r>
      <w:r w:rsidRPr="00B82D24">
        <w:rPr>
          <w:rFonts w:eastAsia="MS Mincho" w:cs="Arial"/>
          <w:lang w:val="en-US" w:eastAsia="ja-JP"/>
        </w:rPr>
        <w:t xml:space="preserve"> period has elapsed.</w:t>
      </w:r>
    </w:p>
    <w:p w14:paraId="005DDEBF" w14:textId="77777777" w:rsidR="00C35BC7" w:rsidRPr="00DD5295" w:rsidRDefault="00C35BC7" w:rsidP="00C35BC7">
      <w:pPr>
        <w:autoSpaceDE w:val="0"/>
        <w:autoSpaceDN w:val="0"/>
        <w:adjustRightInd w:val="0"/>
        <w:spacing w:line="240" w:lineRule="auto"/>
        <w:jc w:val="both"/>
        <w:rPr>
          <w:rFonts w:eastAsia="MS Mincho" w:cs="Arial"/>
          <w:color w:val="000000"/>
          <w:lang w:val="en-GB" w:eastAsia="en-GB"/>
        </w:rPr>
      </w:pPr>
    </w:p>
    <w:p w14:paraId="560F8FC6" w14:textId="77777777" w:rsidR="00C35BC7" w:rsidRPr="00B82D24" w:rsidRDefault="00C35BC7" w:rsidP="00C35BC7">
      <w:pPr>
        <w:pStyle w:val="Heading3"/>
        <w:rPr>
          <w:rFonts w:eastAsia="MS Gothic" w:cs="Arial"/>
          <w:lang w:val="en-GB" w:eastAsia="en-GB"/>
        </w:rPr>
      </w:pPr>
      <w:r w:rsidRPr="00B82D24">
        <w:rPr>
          <w:rFonts w:eastAsia="MS Gothic" w:cs="Arial"/>
          <w:lang w:val="en-GB" w:eastAsia="en-GB"/>
        </w:rPr>
        <w:t>Adverse Weather and Increased System Risk</w:t>
      </w:r>
    </w:p>
    <w:p w14:paraId="2E0B8356" w14:textId="77777777" w:rsidR="00C35BC7" w:rsidRPr="00B82D24" w:rsidRDefault="00C35BC7" w:rsidP="00C35BC7">
      <w:pPr>
        <w:spacing w:line="240" w:lineRule="auto"/>
        <w:jc w:val="both"/>
        <w:rPr>
          <w:rFonts w:eastAsia="MS Mincho" w:cs="Arial"/>
          <w:lang w:val="en-GB" w:eastAsia="ja-JP"/>
        </w:rPr>
      </w:pPr>
      <w:r w:rsidRPr="00B82D24">
        <w:rPr>
          <w:rFonts w:eastAsia="MS Mincho" w:cs="Arial"/>
          <w:lang w:val="en-GB" w:eastAsia="ja-JP"/>
        </w:rPr>
        <w:t>During periods of adverse weather or where there is an increased system risk (e.g. high impact generator or interconnector testing), the TSOs may implement measures to mitigate the consequences of this risk. Such measures may include but not limited to scheduling additional reserve and running units out of merit.</w:t>
      </w:r>
    </w:p>
    <w:p w14:paraId="724AFE97" w14:textId="77777777" w:rsidR="00C35BC7" w:rsidRPr="00B82D24" w:rsidRDefault="00C35BC7" w:rsidP="00C35BC7">
      <w:pPr>
        <w:spacing w:line="240" w:lineRule="auto"/>
        <w:jc w:val="both"/>
        <w:rPr>
          <w:rFonts w:eastAsia="MS Mincho" w:cs="Arial"/>
          <w:lang w:val="en-GB" w:eastAsia="ja-JP"/>
        </w:rPr>
      </w:pPr>
    </w:p>
    <w:p w14:paraId="3E6C822E" w14:textId="77777777" w:rsidR="008D63BA" w:rsidRPr="00B82D24" w:rsidRDefault="008D63BA" w:rsidP="008D63BA">
      <w:pPr>
        <w:spacing w:line="240" w:lineRule="auto"/>
        <w:jc w:val="both"/>
        <w:rPr>
          <w:rFonts w:eastAsia="MS Mincho" w:cs="Arial"/>
          <w:lang w:val="en-GB" w:eastAsia="en-GB"/>
        </w:rPr>
      </w:pPr>
      <w:r w:rsidRPr="00B82D24">
        <w:rPr>
          <w:rFonts w:eastAsia="MS Mincho" w:cs="Arial"/>
          <w:lang w:val="en-GB" w:eastAsia="ja-JP"/>
        </w:rPr>
        <w:t xml:space="preserve">Any changes to operational constraints will be notified through the </w:t>
      </w:r>
      <w:r w:rsidRPr="00B82D24">
        <w:rPr>
          <w:rFonts w:eastAsia="MS Mincho" w:cs="Arial"/>
          <w:lang w:val="en-GB" w:eastAsia="en-GB"/>
        </w:rPr>
        <w:t>Weekly Operational Constraints Process.</w:t>
      </w:r>
    </w:p>
    <w:p w14:paraId="4E777EA6" w14:textId="45D827A5" w:rsidR="00C35BC7" w:rsidRDefault="00C35BC7">
      <w:pPr>
        <w:spacing w:after="200"/>
        <w:rPr>
          <w:rFonts w:eastAsia="MS Mincho" w:cs="Arial"/>
          <w:b/>
          <w:bCs/>
          <w:color w:val="157C85"/>
          <w:sz w:val="24"/>
          <w:szCs w:val="24"/>
          <w:lang w:val="en-GB" w:eastAsia="ja-JP"/>
        </w:rPr>
      </w:pPr>
    </w:p>
    <w:p w14:paraId="503C00CC" w14:textId="21CFD161" w:rsidR="004A634C" w:rsidRPr="006471D6" w:rsidRDefault="004A634C" w:rsidP="004F6CB9">
      <w:pPr>
        <w:pStyle w:val="EGStyleGuide-Subheadline"/>
        <w:rPr>
          <w:rFonts w:eastAsia="MS Mincho"/>
        </w:rPr>
      </w:pPr>
      <w:r w:rsidRPr="0065255B">
        <w:rPr>
          <w:rFonts w:eastAsia="MS Mincho"/>
        </w:rPr>
        <w:lastRenderedPageBreak/>
        <w:t xml:space="preserve">Operating Reserve Requirements </w:t>
      </w:r>
    </w:p>
    <w:p w14:paraId="28F76FB2" w14:textId="77777777" w:rsidR="004A634C" w:rsidRPr="006471D6" w:rsidRDefault="004A634C" w:rsidP="004A634C">
      <w:pPr>
        <w:spacing w:line="240" w:lineRule="auto"/>
        <w:rPr>
          <w:rFonts w:eastAsia="MS Mincho" w:cs="Arial"/>
          <w:sz w:val="24"/>
          <w:szCs w:val="24"/>
          <w:lang w:val="en-US" w:eastAsia="ja-JP"/>
        </w:rPr>
      </w:pPr>
      <w:r w:rsidRPr="006471D6">
        <w:rPr>
          <w:rFonts w:eastAsia="MS Mincho" w:cs="Arial"/>
          <w:sz w:val="24"/>
          <w:szCs w:val="24"/>
          <w:lang w:val="en-US" w:eastAsia="ja-JP"/>
        </w:rPr>
        <w:t>The following tables show the operating reserve requirements on an all-island basis and in each jurisdiction.</w:t>
      </w:r>
    </w:p>
    <w:p w14:paraId="3784D47C" w14:textId="77777777" w:rsidR="004A634C" w:rsidRPr="006471D6" w:rsidRDefault="004A634C" w:rsidP="004A634C">
      <w:pPr>
        <w:spacing w:line="240" w:lineRule="auto"/>
        <w:rPr>
          <w:rFonts w:eastAsia="MS Mincho" w:cs="Arial"/>
          <w:sz w:val="24"/>
          <w:szCs w:val="24"/>
          <w:lang w:val="en-US" w:eastAsia="ja-JP"/>
        </w:rPr>
      </w:pPr>
    </w:p>
    <w:tbl>
      <w:tblPr>
        <w:tblStyle w:val="TableGrid2"/>
        <w:tblW w:w="4946" w:type="pct"/>
        <w:tblLook w:val="04A0" w:firstRow="1" w:lastRow="0" w:firstColumn="1" w:lastColumn="0" w:noHBand="0" w:noVBand="1"/>
      </w:tblPr>
      <w:tblGrid>
        <w:gridCol w:w="1864"/>
        <w:gridCol w:w="2549"/>
        <w:gridCol w:w="2675"/>
        <w:gridCol w:w="2161"/>
      </w:tblGrid>
      <w:tr w:rsidR="004A634C" w:rsidRPr="00DD5295" w14:paraId="63B93641" w14:textId="77777777" w:rsidTr="00760D0D">
        <w:tc>
          <w:tcPr>
            <w:tcW w:w="1008" w:type="pct"/>
            <w:shd w:val="clear" w:color="auto" w:fill="BFBFBF" w:themeFill="background1" w:themeFillShade="BF"/>
          </w:tcPr>
          <w:p w14:paraId="7DD86432" w14:textId="77777777" w:rsidR="004A634C" w:rsidRPr="006471D6" w:rsidRDefault="004A634C" w:rsidP="000E083D">
            <w:pPr>
              <w:autoSpaceDE w:val="0"/>
              <w:autoSpaceDN w:val="0"/>
              <w:adjustRightInd w:val="0"/>
              <w:jc w:val="center"/>
              <w:rPr>
                <w:rFonts w:cs="Arial"/>
                <w:b/>
                <w:color w:val="000000"/>
                <w:sz w:val="24"/>
                <w:szCs w:val="28"/>
                <w:lang w:val="en-GB" w:eastAsia="en-GB"/>
              </w:rPr>
            </w:pPr>
            <w:r w:rsidRPr="006471D6">
              <w:rPr>
                <w:rFonts w:cs="Arial"/>
                <w:b/>
                <w:color w:val="000000"/>
                <w:sz w:val="24"/>
                <w:szCs w:val="28"/>
                <w:lang w:val="en-GB" w:eastAsia="en-GB"/>
              </w:rPr>
              <w:t>Category</w:t>
            </w:r>
          </w:p>
        </w:tc>
        <w:tc>
          <w:tcPr>
            <w:tcW w:w="1378" w:type="pct"/>
            <w:shd w:val="clear" w:color="auto" w:fill="BFBFBF" w:themeFill="background1" w:themeFillShade="BF"/>
          </w:tcPr>
          <w:p w14:paraId="7188D97B" w14:textId="77777777" w:rsidR="004A634C" w:rsidRPr="006471D6" w:rsidRDefault="004A634C" w:rsidP="000E083D">
            <w:pPr>
              <w:autoSpaceDE w:val="0"/>
              <w:autoSpaceDN w:val="0"/>
              <w:adjustRightInd w:val="0"/>
              <w:jc w:val="center"/>
              <w:rPr>
                <w:rFonts w:cs="Arial"/>
                <w:b/>
                <w:color w:val="000000"/>
                <w:sz w:val="24"/>
                <w:szCs w:val="28"/>
                <w:lang w:val="en-GB" w:eastAsia="en-GB"/>
              </w:rPr>
            </w:pPr>
            <w:r w:rsidRPr="006471D6">
              <w:rPr>
                <w:rFonts w:cs="Arial"/>
                <w:b/>
                <w:color w:val="000000"/>
                <w:sz w:val="24"/>
                <w:szCs w:val="28"/>
                <w:lang w:val="en-GB" w:eastAsia="en-GB"/>
              </w:rPr>
              <w:t>All Island Requirement % Largest In-Feed</w:t>
            </w:r>
          </w:p>
        </w:tc>
        <w:tc>
          <w:tcPr>
            <w:tcW w:w="1446" w:type="pct"/>
            <w:shd w:val="clear" w:color="auto" w:fill="BFBFBF" w:themeFill="background1" w:themeFillShade="BF"/>
          </w:tcPr>
          <w:p w14:paraId="2A0C45B0" w14:textId="77777777" w:rsidR="004A634C" w:rsidRPr="006471D6" w:rsidRDefault="004A634C" w:rsidP="000E083D">
            <w:pPr>
              <w:autoSpaceDE w:val="0"/>
              <w:autoSpaceDN w:val="0"/>
              <w:adjustRightInd w:val="0"/>
              <w:jc w:val="center"/>
              <w:rPr>
                <w:rFonts w:cs="Arial"/>
                <w:b/>
                <w:color w:val="000000"/>
                <w:sz w:val="24"/>
                <w:szCs w:val="24"/>
                <w:lang w:val="en-GB" w:eastAsia="en-GB"/>
              </w:rPr>
            </w:pPr>
          </w:p>
          <w:tbl>
            <w:tblPr>
              <w:tblW w:w="0" w:type="auto"/>
              <w:tblBorders>
                <w:top w:val="nil"/>
                <w:left w:val="nil"/>
                <w:bottom w:val="nil"/>
                <w:right w:val="nil"/>
              </w:tblBorders>
              <w:tblLook w:val="0000" w:firstRow="0" w:lastRow="0" w:firstColumn="0" w:lastColumn="0" w:noHBand="0" w:noVBand="0"/>
            </w:tblPr>
            <w:tblGrid>
              <w:gridCol w:w="2459"/>
            </w:tblGrid>
            <w:tr w:rsidR="004A634C" w:rsidRPr="00DD5295" w14:paraId="538E3E5A" w14:textId="77777777" w:rsidTr="00760D0D">
              <w:trPr>
                <w:trHeight w:val="906"/>
              </w:trPr>
              <w:tc>
                <w:tcPr>
                  <w:tcW w:w="0" w:type="auto"/>
                </w:tcPr>
                <w:p w14:paraId="33DA2A1C" w14:textId="77777777" w:rsidR="004A634C" w:rsidRPr="006471D6" w:rsidRDefault="004A634C" w:rsidP="000E083D">
                  <w:pPr>
                    <w:autoSpaceDE w:val="0"/>
                    <w:autoSpaceDN w:val="0"/>
                    <w:adjustRightInd w:val="0"/>
                    <w:spacing w:line="240" w:lineRule="auto"/>
                    <w:jc w:val="center"/>
                    <w:rPr>
                      <w:rFonts w:eastAsia="MS Mincho" w:cs="Arial"/>
                      <w:b/>
                      <w:color w:val="000000"/>
                      <w:sz w:val="24"/>
                      <w:szCs w:val="28"/>
                      <w:lang w:val="en-GB" w:eastAsia="en-GB"/>
                    </w:rPr>
                  </w:pPr>
                  <w:r w:rsidRPr="006471D6">
                    <w:rPr>
                      <w:rFonts w:eastAsia="MS Mincho" w:cs="Arial"/>
                      <w:b/>
                      <w:color w:val="000000"/>
                      <w:sz w:val="24"/>
                      <w:szCs w:val="28"/>
                      <w:lang w:val="en-GB" w:eastAsia="en-GB"/>
                    </w:rPr>
                    <w:t>Ireland Minimum</w:t>
                  </w:r>
                  <w:r w:rsidRPr="006471D6">
                    <w:rPr>
                      <w:rFonts w:eastAsia="MS Mincho" w:cs="Arial"/>
                      <w:b/>
                      <w:color w:val="000000"/>
                      <w:sz w:val="24"/>
                      <w:szCs w:val="28"/>
                      <w:vertAlign w:val="superscript"/>
                      <w:lang w:val="en-GB" w:eastAsia="en-GB"/>
                    </w:rPr>
                    <w:t>1</w:t>
                  </w:r>
                  <w:r w:rsidRPr="006471D6">
                    <w:rPr>
                      <w:rFonts w:eastAsia="MS Mincho" w:cs="Arial"/>
                      <w:b/>
                      <w:color w:val="000000"/>
                      <w:sz w:val="24"/>
                      <w:szCs w:val="18"/>
                      <w:lang w:val="en-GB" w:eastAsia="en-GB"/>
                    </w:rPr>
                    <w:t xml:space="preserve"> </w:t>
                  </w:r>
                  <w:r w:rsidRPr="006471D6">
                    <w:rPr>
                      <w:rFonts w:eastAsia="MS Mincho" w:cs="Arial"/>
                      <w:b/>
                      <w:color w:val="000000"/>
                      <w:sz w:val="24"/>
                      <w:szCs w:val="28"/>
                      <w:lang w:val="en-GB" w:eastAsia="en-GB"/>
                    </w:rPr>
                    <w:t>(MW)</w:t>
                  </w:r>
                </w:p>
              </w:tc>
            </w:tr>
          </w:tbl>
          <w:p w14:paraId="12FAD5CB" w14:textId="77777777" w:rsidR="004A634C" w:rsidRPr="006471D6" w:rsidRDefault="004A634C" w:rsidP="000E083D">
            <w:pPr>
              <w:autoSpaceDE w:val="0"/>
              <w:autoSpaceDN w:val="0"/>
              <w:adjustRightInd w:val="0"/>
              <w:jc w:val="center"/>
              <w:rPr>
                <w:rFonts w:cs="Arial"/>
                <w:b/>
                <w:color w:val="000000"/>
                <w:sz w:val="24"/>
                <w:szCs w:val="28"/>
                <w:lang w:val="en-GB" w:eastAsia="en-GB"/>
              </w:rPr>
            </w:pPr>
          </w:p>
        </w:tc>
        <w:tc>
          <w:tcPr>
            <w:tcW w:w="1168" w:type="pct"/>
            <w:shd w:val="clear" w:color="auto" w:fill="BFBFBF" w:themeFill="background1" w:themeFillShade="BF"/>
          </w:tcPr>
          <w:p w14:paraId="3BE89115" w14:textId="77777777" w:rsidR="004A634C" w:rsidRPr="006471D6" w:rsidRDefault="004A634C" w:rsidP="000E083D">
            <w:pPr>
              <w:autoSpaceDE w:val="0"/>
              <w:autoSpaceDN w:val="0"/>
              <w:adjustRightInd w:val="0"/>
              <w:jc w:val="center"/>
              <w:rPr>
                <w:rFonts w:cs="Arial"/>
                <w:b/>
                <w:color w:val="000000"/>
                <w:sz w:val="24"/>
                <w:szCs w:val="24"/>
                <w:lang w:val="en-GB" w:eastAsia="en-GB"/>
              </w:rPr>
            </w:pPr>
          </w:p>
          <w:p w14:paraId="66F1C255" w14:textId="328CBDF6" w:rsidR="004A634C" w:rsidRPr="006471D6" w:rsidRDefault="00E80255" w:rsidP="000E083D">
            <w:pPr>
              <w:autoSpaceDE w:val="0"/>
              <w:autoSpaceDN w:val="0"/>
              <w:adjustRightInd w:val="0"/>
              <w:jc w:val="center"/>
              <w:rPr>
                <w:rFonts w:cs="Arial"/>
                <w:b/>
                <w:color w:val="000000"/>
                <w:sz w:val="24"/>
                <w:szCs w:val="28"/>
                <w:lang w:val="en-GB" w:eastAsia="en-GB"/>
              </w:rPr>
            </w:pPr>
            <w:r w:rsidRPr="00B82D24">
              <w:rPr>
                <w:rFonts w:cs="Arial"/>
                <w:b/>
                <w:color w:val="000000"/>
                <w:sz w:val="24"/>
                <w:szCs w:val="28"/>
                <w:lang w:val="en-GB" w:eastAsia="en-GB"/>
              </w:rPr>
              <w:t>Northern Ireland Minimum (MW)</w:t>
            </w:r>
          </w:p>
        </w:tc>
      </w:tr>
      <w:tr w:rsidR="004A634C" w:rsidRPr="00DD5295" w14:paraId="5D287F79" w14:textId="77777777" w:rsidTr="00760D0D">
        <w:tc>
          <w:tcPr>
            <w:tcW w:w="1008" w:type="pct"/>
          </w:tcPr>
          <w:p w14:paraId="536353B9"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POR</w:t>
            </w:r>
          </w:p>
        </w:tc>
        <w:tc>
          <w:tcPr>
            <w:tcW w:w="1378" w:type="pct"/>
          </w:tcPr>
          <w:p w14:paraId="248FC091"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75%</w:t>
            </w:r>
            <w:r w:rsidRPr="006471D6">
              <w:rPr>
                <w:rFonts w:cs="Arial"/>
                <w:color w:val="000000"/>
                <w:sz w:val="24"/>
                <w:szCs w:val="28"/>
                <w:vertAlign w:val="superscript"/>
                <w:lang w:val="en-GB" w:eastAsia="en-GB"/>
              </w:rPr>
              <w:t>3</w:t>
            </w:r>
            <w:r w:rsidRPr="006471D6">
              <w:rPr>
                <w:rFonts w:cs="Arial"/>
                <w:color w:val="000000"/>
                <w:sz w:val="24"/>
                <w:szCs w:val="28"/>
                <w:lang w:val="en-GB" w:eastAsia="en-GB"/>
              </w:rPr>
              <w:t xml:space="preserve"> (S_PRM_TOT)</w:t>
            </w:r>
          </w:p>
        </w:tc>
        <w:tc>
          <w:tcPr>
            <w:tcW w:w="1446" w:type="pct"/>
          </w:tcPr>
          <w:p w14:paraId="39DB44C8"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155/ 150 (S_PRM_ROI)</w:t>
            </w:r>
          </w:p>
        </w:tc>
        <w:tc>
          <w:tcPr>
            <w:tcW w:w="1168" w:type="pct"/>
          </w:tcPr>
          <w:p w14:paraId="2BEA78C9"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50 (S_PRM_NI)</w:t>
            </w:r>
          </w:p>
        </w:tc>
      </w:tr>
      <w:tr w:rsidR="004A634C" w:rsidRPr="00DD5295" w14:paraId="096D6847" w14:textId="77777777" w:rsidTr="00760D0D">
        <w:tc>
          <w:tcPr>
            <w:tcW w:w="1008" w:type="pct"/>
          </w:tcPr>
          <w:p w14:paraId="75AF3798"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Regulating Sources POR</w:t>
            </w:r>
            <w:r w:rsidRPr="006471D6">
              <w:rPr>
                <w:rFonts w:cs="Arial"/>
                <w:color w:val="000000"/>
                <w:sz w:val="24"/>
                <w:szCs w:val="28"/>
                <w:vertAlign w:val="superscript"/>
                <w:lang w:val="en-GB" w:eastAsia="en-GB"/>
              </w:rPr>
              <w:t>2</w:t>
            </w:r>
          </w:p>
        </w:tc>
        <w:tc>
          <w:tcPr>
            <w:tcW w:w="1378" w:type="pct"/>
          </w:tcPr>
          <w:p w14:paraId="5DF4BEF9" w14:textId="77777777" w:rsidR="004A634C" w:rsidRPr="006471D6" w:rsidRDefault="004A634C" w:rsidP="000E083D">
            <w:pPr>
              <w:autoSpaceDE w:val="0"/>
              <w:autoSpaceDN w:val="0"/>
              <w:adjustRightInd w:val="0"/>
              <w:jc w:val="center"/>
              <w:rPr>
                <w:rFonts w:cs="Arial"/>
                <w:color w:val="000000"/>
                <w:sz w:val="24"/>
                <w:szCs w:val="28"/>
                <w:lang w:val="en-GB" w:eastAsia="en-GB"/>
              </w:rPr>
            </w:pPr>
          </w:p>
        </w:tc>
        <w:tc>
          <w:tcPr>
            <w:tcW w:w="1446" w:type="pct"/>
          </w:tcPr>
          <w:p w14:paraId="114F40EF" w14:textId="7F9EF4A7" w:rsidR="004A634C" w:rsidRPr="006471D6" w:rsidRDefault="003D2F35" w:rsidP="000E083D">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75</w:t>
            </w:r>
            <w:r w:rsidR="004A634C" w:rsidRPr="006471D6">
              <w:rPr>
                <w:rFonts w:cs="Arial"/>
                <w:color w:val="000000"/>
                <w:sz w:val="24"/>
                <w:szCs w:val="28"/>
                <w:lang w:val="en-GB" w:eastAsia="en-GB"/>
              </w:rPr>
              <w:t>/ 75 (S_PRM_ROI)</w:t>
            </w:r>
          </w:p>
        </w:tc>
        <w:tc>
          <w:tcPr>
            <w:tcW w:w="1168" w:type="pct"/>
          </w:tcPr>
          <w:p w14:paraId="287AC893"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50 (S_PRM_NI)</w:t>
            </w:r>
          </w:p>
        </w:tc>
      </w:tr>
      <w:tr w:rsidR="004A634C" w:rsidRPr="00DD5295" w14:paraId="1EEE8CA5" w14:textId="77777777" w:rsidTr="00760D0D">
        <w:tc>
          <w:tcPr>
            <w:tcW w:w="1008" w:type="pct"/>
          </w:tcPr>
          <w:p w14:paraId="45461A19"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SOR</w:t>
            </w:r>
          </w:p>
        </w:tc>
        <w:tc>
          <w:tcPr>
            <w:tcW w:w="1378" w:type="pct"/>
          </w:tcPr>
          <w:p w14:paraId="2D6414AA"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75%</w:t>
            </w:r>
            <w:r w:rsidRPr="006471D6">
              <w:rPr>
                <w:rFonts w:cs="Arial"/>
                <w:color w:val="000000"/>
                <w:sz w:val="24"/>
                <w:szCs w:val="28"/>
                <w:vertAlign w:val="superscript"/>
                <w:lang w:val="en-GB" w:eastAsia="en-GB"/>
              </w:rPr>
              <w:t>4</w:t>
            </w:r>
            <w:r w:rsidRPr="006471D6">
              <w:rPr>
                <w:rFonts w:cs="Arial"/>
                <w:color w:val="000000"/>
                <w:sz w:val="24"/>
                <w:szCs w:val="28"/>
                <w:lang w:val="en-GB" w:eastAsia="en-GB"/>
              </w:rPr>
              <w:t xml:space="preserve"> (S_SEC_TOT)</w:t>
            </w:r>
          </w:p>
        </w:tc>
        <w:tc>
          <w:tcPr>
            <w:tcW w:w="1446" w:type="pct"/>
          </w:tcPr>
          <w:p w14:paraId="73798097"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155/ 150 (S_SEC_ROI)</w:t>
            </w:r>
          </w:p>
        </w:tc>
        <w:tc>
          <w:tcPr>
            <w:tcW w:w="1168" w:type="pct"/>
          </w:tcPr>
          <w:p w14:paraId="174721F6" w14:textId="77777777" w:rsidR="004A634C" w:rsidRPr="006471D6" w:rsidRDefault="004A634C" w:rsidP="000E083D">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50 (S_SEC_NI)</w:t>
            </w:r>
          </w:p>
        </w:tc>
      </w:tr>
      <w:tr w:rsidR="00E62D81" w:rsidRPr="00DD5295" w14:paraId="11ADAC19" w14:textId="77777777" w:rsidTr="00760D0D">
        <w:tc>
          <w:tcPr>
            <w:tcW w:w="1008" w:type="pct"/>
          </w:tcPr>
          <w:p w14:paraId="2CB28189" w14:textId="3C05C7C4"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 xml:space="preserve">Regulating Sources </w:t>
            </w:r>
            <w:r>
              <w:rPr>
                <w:rFonts w:cs="Arial"/>
                <w:color w:val="000000"/>
                <w:sz w:val="24"/>
                <w:szCs w:val="28"/>
                <w:lang w:val="en-GB" w:eastAsia="en-GB"/>
              </w:rPr>
              <w:t>S</w:t>
            </w:r>
            <w:r w:rsidRPr="006471D6">
              <w:rPr>
                <w:rFonts w:cs="Arial"/>
                <w:color w:val="000000"/>
                <w:sz w:val="24"/>
                <w:szCs w:val="28"/>
                <w:lang w:val="en-GB" w:eastAsia="en-GB"/>
              </w:rPr>
              <w:t>OR</w:t>
            </w:r>
            <w:r w:rsidRPr="006471D6">
              <w:rPr>
                <w:rFonts w:cs="Arial"/>
                <w:color w:val="000000"/>
                <w:sz w:val="24"/>
                <w:szCs w:val="28"/>
                <w:vertAlign w:val="superscript"/>
                <w:lang w:val="en-GB" w:eastAsia="en-GB"/>
              </w:rPr>
              <w:t>2</w:t>
            </w:r>
          </w:p>
        </w:tc>
        <w:tc>
          <w:tcPr>
            <w:tcW w:w="1378" w:type="pct"/>
          </w:tcPr>
          <w:p w14:paraId="57202F9F" w14:textId="77777777" w:rsidR="00E62D81" w:rsidRPr="006471D6" w:rsidRDefault="00E62D81" w:rsidP="00E62D81">
            <w:pPr>
              <w:autoSpaceDE w:val="0"/>
              <w:autoSpaceDN w:val="0"/>
              <w:adjustRightInd w:val="0"/>
              <w:jc w:val="center"/>
              <w:rPr>
                <w:rFonts w:cs="Arial"/>
                <w:color w:val="000000"/>
                <w:sz w:val="24"/>
                <w:szCs w:val="28"/>
                <w:lang w:val="en-GB" w:eastAsia="en-GB"/>
              </w:rPr>
            </w:pPr>
          </w:p>
        </w:tc>
        <w:tc>
          <w:tcPr>
            <w:tcW w:w="1446" w:type="pct"/>
          </w:tcPr>
          <w:p w14:paraId="08CFD236" w14:textId="351F2ECE"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75/75 (S_</w:t>
            </w:r>
            <w:r w:rsidR="00615198">
              <w:rPr>
                <w:rFonts w:cs="Arial"/>
                <w:color w:val="000000"/>
                <w:sz w:val="24"/>
                <w:szCs w:val="28"/>
                <w:lang w:val="en-GB" w:eastAsia="en-GB"/>
              </w:rPr>
              <w:t>SEC</w:t>
            </w:r>
            <w:r>
              <w:rPr>
                <w:rFonts w:cs="Arial"/>
                <w:color w:val="000000"/>
                <w:sz w:val="24"/>
                <w:szCs w:val="28"/>
                <w:lang w:val="en-GB" w:eastAsia="en-GB"/>
              </w:rPr>
              <w:t>_ROI)</w:t>
            </w:r>
          </w:p>
        </w:tc>
        <w:tc>
          <w:tcPr>
            <w:tcW w:w="1168" w:type="pct"/>
          </w:tcPr>
          <w:p w14:paraId="27C0273A" w14:textId="08535F05"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50 (S_</w:t>
            </w:r>
            <w:r w:rsidR="00615198">
              <w:rPr>
                <w:rFonts w:cs="Arial"/>
                <w:color w:val="000000"/>
                <w:sz w:val="24"/>
                <w:szCs w:val="28"/>
                <w:lang w:val="en-GB" w:eastAsia="en-GB"/>
              </w:rPr>
              <w:t>SEC</w:t>
            </w:r>
            <w:r>
              <w:rPr>
                <w:rFonts w:cs="Arial"/>
                <w:color w:val="000000"/>
                <w:sz w:val="24"/>
                <w:szCs w:val="28"/>
                <w:lang w:val="en-GB" w:eastAsia="en-GB"/>
              </w:rPr>
              <w:t>_NI)</w:t>
            </w:r>
          </w:p>
        </w:tc>
      </w:tr>
      <w:tr w:rsidR="00E62D81" w:rsidRPr="00DD5295" w14:paraId="6ACBB778" w14:textId="77777777" w:rsidTr="00760D0D">
        <w:tc>
          <w:tcPr>
            <w:tcW w:w="1008" w:type="pct"/>
          </w:tcPr>
          <w:p w14:paraId="40966B36"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 xml:space="preserve">TOR1 </w:t>
            </w:r>
          </w:p>
        </w:tc>
        <w:tc>
          <w:tcPr>
            <w:tcW w:w="1378" w:type="pct"/>
          </w:tcPr>
          <w:p w14:paraId="659BC537"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100% (S_TR1_TOT)</w:t>
            </w:r>
          </w:p>
        </w:tc>
        <w:tc>
          <w:tcPr>
            <w:tcW w:w="1446" w:type="pct"/>
          </w:tcPr>
          <w:p w14:paraId="23E9BD94"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155/ 150 (S_TR1_ROI)</w:t>
            </w:r>
          </w:p>
        </w:tc>
        <w:tc>
          <w:tcPr>
            <w:tcW w:w="1168" w:type="pct"/>
          </w:tcPr>
          <w:p w14:paraId="591A8E23"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50 (S_TR1_NI)</w:t>
            </w:r>
          </w:p>
        </w:tc>
      </w:tr>
      <w:tr w:rsidR="00E62D81" w:rsidRPr="00DD5295" w14:paraId="52E51670" w14:textId="77777777" w:rsidTr="00760D0D">
        <w:tc>
          <w:tcPr>
            <w:tcW w:w="1008" w:type="pct"/>
          </w:tcPr>
          <w:p w14:paraId="7E9B6D80" w14:textId="2A95B926"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Regulating Sources TOR1</w:t>
            </w:r>
            <w:r>
              <w:rPr>
                <w:rFonts w:cs="Arial"/>
                <w:color w:val="000000"/>
                <w:sz w:val="24"/>
                <w:szCs w:val="28"/>
                <w:vertAlign w:val="superscript"/>
                <w:lang w:val="en-GB" w:eastAsia="en-GB"/>
              </w:rPr>
              <w:t>2</w:t>
            </w:r>
          </w:p>
        </w:tc>
        <w:tc>
          <w:tcPr>
            <w:tcW w:w="1378" w:type="pct"/>
          </w:tcPr>
          <w:p w14:paraId="2BC4B666" w14:textId="77777777" w:rsidR="00E62D81" w:rsidRPr="006471D6" w:rsidRDefault="00E62D81" w:rsidP="00E62D81">
            <w:pPr>
              <w:autoSpaceDE w:val="0"/>
              <w:autoSpaceDN w:val="0"/>
              <w:adjustRightInd w:val="0"/>
              <w:jc w:val="center"/>
              <w:rPr>
                <w:rFonts w:cs="Arial"/>
                <w:color w:val="000000"/>
                <w:sz w:val="24"/>
                <w:szCs w:val="28"/>
                <w:lang w:val="en-GB" w:eastAsia="en-GB"/>
              </w:rPr>
            </w:pPr>
          </w:p>
        </w:tc>
        <w:tc>
          <w:tcPr>
            <w:tcW w:w="1446" w:type="pct"/>
          </w:tcPr>
          <w:p w14:paraId="34961F7A" w14:textId="0170EF8E"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87/87 (S_</w:t>
            </w:r>
            <w:r w:rsidR="00615198">
              <w:rPr>
                <w:rFonts w:cs="Arial"/>
                <w:color w:val="000000"/>
                <w:sz w:val="24"/>
                <w:szCs w:val="28"/>
                <w:lang w:val="en-GB" w:eastAsia="en-GB"/>
              </w:rPr>
              <w:t>TR1</w:t>
            </w:r>
            <w:r>
              <w:rPr>
                <w:rFonts w:cs="Arial"/>
                <w:color w:val="000000"/>
                <w:sz w:val="24"/>
                <w:szCs w:val="28"/>
                <w:lang w:val="en-GB" w:eastAsia="en-GB"/>
              </w:rPr>
              <w:t>_ROI)</w:t>
            </w:r>
          </w:p>
        </w:tc>
        <w:tc>
          <w:tcPr>
            <w:tcW w:w="1168" w:type="pct"/>
          </w:tcPr>
          <w:p w14:paraId="7E425C8A" w14:textId="64A2B88E"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50 (S_</w:t>
            </w:r>
            <w:r w:rsidR="00615198">
              <w:rPr>
                <w:rFonts w:cs="Arial"/>
                <w:color w:val="000000"/>
                <w:sz w:val="24"/>
                <w:szCs w:val="28"/>
                <w:lang w:val="en-GB" w:eastAsia="en-GB"/>
              </w:rPr>
              <w:t>TR1</w:t>
            </w:r>
            <w:r>
              <w:rPr>
                <w:rFonts w:cs="Arial"/>
                <w:color w:val="000000"/>
                <w:sz w:val="24"/>
                <w:szCs w:val="28"/>
                <w:lang w:val="en-GB" w:eastAsia="en-GB"/>
              </w:rPr>
              <w:t>_NI)</w:t>
            </w:r>
          </w:p>
        </w:tc>
      </w:tr>
      <w:tr w:rsidR="00E62D81" w:rsidRPr="00DD5295" w14:paraId="2D764089" w14:textId="77777777" w:rsidTr="00760D0D">
        <w:tc>
          <w:tcPr>
            <w:tcW w:w="1008" w:type="pct"/>
          </w:tcPr>
          <w:p w14:paraId="244A5FDF"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 xml:space="preserve">TOR2 </w:t>
            </w:r>
          </w:p>
        </w:tc>
        <w:tc>
          <w:tcPr>
            <w:tcW w:w="1378" w:type="pct"/>
          </w:tcPr>
          <w:p w14:paraId="544CA96E"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100% (S_TR2_TOT)</w:t>
            </w:r>
          </w:p>
        </w:tc>
        <w:tc>
          <w:tcPr>
            <w:tcW w:w="1446" w:type="pct"/>
          </w:tcPr>
          <w:p w14:paraId="1C0CBC60"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155/ 150 (S_TR2_ROI)</w:t>
            </w:r>
          </w:p>
        </w:tc>
        <w:tc>
          <w:tcPr>
            <w:tcW w:w="1168" w:type="pct"/>
          </w:tcPr>
          <w:p w14:paraId="2FA3796E" w14:textId="77777777" w:rsidR="00E62D81" w:rsidRPr="006471D6" w:rsidRDefault="00E62D81" w:rsidP="00E62D81">
            <w:pPr>
              <w:autoSpaceDE w:val="0"/>
              <w:autoSpaceDN w:val="0"/>
              <w:adjustRightInd w:val="0"/>
              <w:jc w:val="center"/>
              <w:rPr>
                <w:rFonts w:cs="Arial"/>
                <w:color w:val="000000"/>
                <w:sz w:val="24"/>
                <w:szCs w:val="28"/>
                <w:lang w:val="en-GB" w:eastAsia="en-GB"/>
              </w:rPr>
            </w:pPr>
            <w:r w:rsidRPr="006471D6">
              <w:rPr>
                <w:rFonts w:cs="Arial"/>
                <w:color w:val="000000"/>
                <w:sz w:val="24"/>
                <w:szCs w:val="28"/>
                <w:lang w:val="en-GB" w:eastAsia="en-GB"/>
              </w:rPr>
              <w:t>50 (S_TR2_NI)</w:t>
            </w:r>
          </w:p>
        </w:tc>
      </w:tr>
      <w:tr w:rsidR="00E62D81" w:rsidRPr="00DD5295" w14:paraId="61AE24E3" w14:textId="77777777" w:rsidTr="00760D0D">
        <w:tc>
          <w:tcPr>
            <w:tcW w:w="1008" w:type="pct"/>
          </w:tcPr>
          <w:p w14:paraId="7B09DB19" w14:textId="1355D1DC"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Regulating Sources TOR2</w:t>
            </w:r>
            <w:r>
              <w:rPr>
                <w:rFonts w:cs="Arial"/>
                <w:color w:val="000000"/>
                <w:sz w:val="24"/>
                <w:szCs w:val="28"/>
                <w:vertAlign w:val="superscript"/>
                <w:lang w:val="en-GB" w:eastAsia="en-GB"/>
              </w:rPr>
              <w:t>2</w:t>
            </w:r>
          </w:p>
        </w:tc>
        <w:tc>
          <w:tcPr>
            <w:tcW w:w="1378" w:type="pct"/>
          </w:tcPr>
          <w:p w14:paraId="44273A47" w14:textId="77777777" w:rsidR="00E62D81" w:rsidRPr="006471D6" w:rsidRDefault="00E62D81" w:rsidP="00E62D81">
            <w:pPr>
              <w:autoSpaceDE w:val="0"/>
              <w:autoSpaceDN w:val="0"/>
              <w:adjustRightInd w:val="0"/>
              <w:jc w:val="center"/>
              <w:rPr>
                <w:rFonts w:cs="Arial"/>
                <w:color w:val="000000"/>
                <w:sz w:val="24"/>
                <w:szCs w:val="28"/>
                <w:lang w:val="en-GB" w:eastAsia="en-GB"/>
              </w:rPr>
            </w:pPr>
          </w:p>
        </w:tc>
        <w:tc>
          <w:tcPr>
            <w:tcW w:w="1446" w:type="pct"/>
          </w:tcPr>
          <w:p w14:paraId="2FF39AB9" w14:textId="518F129A"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87/87 (S_</w:t>
            </w:r>
            <w:r w:rsidR="00615198">
              <w:rPr>
                <w:rFonts w:cs="Arial"/>
                <w:color w:val="000000"/>
                <w:sz w:val="24"/>
                <w:szCs w:val="28"/>
                <w:lang w:val="en-GB" w:eastAsia="en-GB"/>
              </w:rPr>
              <w:t>TR2</w:t>
            </w:r>
            <w:r>
              <w:rPr>
                <w:rFonts w:cs="Arial"/>
                <w:color w:val="000000"/>
                <w:sz w:val="24"/>
                <w:szCs w:val="28"/>
                <w:lang w:val="en-GB" w:eastAsia="en-GB"/>
              </w:rPr>
              <w:t>_ROI)</w:t>
            </w:r>
          </w:p>
        </w:tc>
        <w:tc>
          <w:tcPr>
            <w:tcW w:w="1168" w:type="pct"/>
          </w:tcPr>
          <w:p w14:paraId="2F837862" w14:textId="78C97C47" w:rsidR="00E62D81" w:rsidRPr="006471D6" w:rsidRDefault="00E62D81" w:rsidP="00E62D81">
            <w:pPr>
              <w:autoSpaceDE w:val="0"/>
              <w:autoSpaceDN w:val="0"/>
              <w:adjustRightInd w:val="0"/>
              <w:jc w:val="center"/>
              <w:rPr>
                <w:rFonts w:cs="Arial"/>
                <w:color w:val="000000"/>
                <w:sz w:val="24"/>
                <w:szCs w:val="28"/>
                <w:lang w:val="en-GB" w:eastAsia="en-GB"/>
              </w:rPr>
            </w:pPr>
            <w:r>
              <w:rPr>
                <w:rFonts w:cs="Arial"/>
                <w:color w:val="000000"/>
                <w:sz w:val="24"/>
                <w:szCs w:val="28"/>
                <w:lang w:val="en-GB" w:eastAsia="en-GB"/>
              </w:rPr>
              <w:t>50 (S_</w:t>
            </w:r>
            <w:r w:rsidR="00615198">
              <w:rPr>
                <w:rFonts w:cs="Arial"/>
                <w:color w:val="000000"/>
                <w:sz w:val="24"/>
                <w:szCs w:val="28"/>
                <w:lang w:val="en-GB" w:eastAsia="en-GB"/>
              </w:rPr>
              <w:t>TR2</w:t>
            </w:r>
            <w:r>
              <w:rPr>
                <w:rFonts w:cs="Arial"/>
                <w:color w:val="000000"/>
                <w:sz w:val="24"/>
                <w:szCs w:val="28"/>
                <w:lang w:val="en-GB" w:eastAsia="en-GB"/>
              </w:rPr>
              <w:t>_NI)</w:t>
            </w:r>
          </w:p>
        </w:tc>
      </w:tr>
    </w:tbl>
    <w:p w14:paraId="45055212" w14:textId="77777777" w:rsidR="00C35BC7" w:rsidRDefault="00C35BC7" w:rsidP="004A634C">
      <w:pPr>
        <w:autoSpaceDE w:val="0"/>
        <w:autoSpaceDN w:val="0"/>
        <w:adjustRightInd w:val="0"/>
        <w:spacing w:line="240" w:lineRule="auto"/>
        <w:ind w:firstLine="720"/>
        <w:rPr>
          <w:rFonts w:eastAsia="MS Mincho" w:cs="Arial"/>
          <w:color w:val="000000"/>
          <w:sz w:val="20"/>
          <w:szCs w:val="20"/>
          <w:lang w:val="en-GB" w:eastAsia="en-GB"/>
        </w:rPr>
      </w:pPr>
    </w:p>
    <w:p w14:paraId="2C969DDD" w14:textId="77777777" w:rsidR="004A634C" w:rsidRPr="006471D6" w:rsidRDefault="004A634C" w:rsidP="004A634C">
      <w:pPr>
        <w:autoSpaceDE w:val="0"/>
        <w:autoSpaceDN w:val="0"/>
        <w:adjustRightInd w:val="0"/>
        <w:spacing w:line="240" w:lineRule="auto"/>
        <w:ind w:firstLine="720"/>
        <w:rPr>
          <w:rFonts w:eastAsia="MS Mincho" w:cs="Arial"/>
          <w:color w:val="000000"/>
          <w:sz w:val="20"/>
          <w:szCs w:val="20"/>
          <w:lang w:val="en-GB" w:eastAsia="en-GB"/>
        </w:rPr>
      </w:pPr>
      <w:r w:rsidRPr="006471D6">
        <w:rPr>
          <w:rFonts w:eastAsia="MS Mincho" w:cs="Arial"/>
          <w:color w:val="000000"/>
          <w:sz w:val="20"/>
          <w:szCs w:val="20"/>
          <w:lang w:val="en-GB" w:eastAsia="en-GB"/>
        </w:rPr>
        <w:t xml:space="preserve">1. Ireland Lower values apply for when there is at least one pump storage unit in pump mode. </w:t>
      </w:r>
    </w:p>
    <w:p w14:paraId="2932F5D0" w14:textId="77777777" w:rsidR="004A634C" w:rsidRPr="006471D6" w:rsidRDefault="004A634C" w:rsidP="004A634C">
      <w:pPr>
        <w:autoSpaceDE w:val="0"/>
        <w:autoSpaceDN w:val="0"/>
        <w:adjustRightInd w:val="0"/>
        <w:spacing w:line="240" w:lineRule="auto"/>
        <w:ind w:firstLine="720"/>
        <w:rPr>
          <w:rFonts w:eastAsia="MS Mincho" w:cs="Arial"/>
          <w:color w:val="000000"/>
          <w:sz w:val="20"/>
          <w:szCs w:val="20"/>
          <w:lang w:val="en-GB" w:eastAsia="en-GB"/>
        </w:rPr>
      </w:pPr>
      <w:r w:rsidRPr="006471D6">
        <w:rPr>
          <w:rFonts w:eastAsia="MS Mincho" w:cs="Arial"/>
          <w:color w:val="000000"/>
          <w:sz w:val="20"/>
          <w:szCs w:val="20"/>
          <w:lang w:val="en-GB" w:eastAsia="en-GB"/>
        </w:rPr>
        <w:t xml:space="preserve">2. Minimum values of POR in each jurisdiction must be supplied from regulating sources </w:t>
      </w:r>
    </w:p>
    <w:p w14:paraId="230CEDD4" w14:textId="77777777" w:rsidR="004A634C" w:rsidRPr="006471D6" w:rsidRDefault="004A634C" w:rsidP="004A634C">
      <w:pPr>
        <w:autoSpaceDE w:val="0"/>
        <w:autoSpaceDN w:val="0"/>
        <w:adjustRightInd w:val="0"/>
        <w:spacing w:line="240" w:lineRule="auto"/>
        <w:ind w:left="720"/>
        <w:rPr>
          <w:rFonts w:eastAsia="MS Mincho" w:cs="Arial"/>
          <w:color w:val="000000"/>
          <w:sz w:val="20"/>
          <w:szCs w:val="20"/>
          <w:lang w:val="en-GB" w:eastAsia="en-GB"/>
        </w:rPr>
      </w:pPr>
      <w:r w:rsidRPr="006471D6">
        <w:rPr>
          <w:rFonts w:eastAsia="MS Mincho" w:cs="Arial"/>
          <w:color w:val="000000"/>
          <w:sz w:val="20"/>
          <w:szCs w:val="20"/>
          <w:lang w:val="en-GB" w:eastAsia="en-GB"/>
        </w:rPr>
        <w:t>3. At times more than 75% POR is held All Island (up to 80%) in order to maintain system security standards based on transient security analysis (this will remain under review by the TSOs).</w:t>
      </w:r>
    </w:p>
    <w:p w14:paraId="420C9982" w14:textId="77777777" w:rsidR="004A634C" w:rsidRPr="006471D6" w:rsidRDefault="004A634C" w:rsidP="004A634C">
      <w:pPr>
        <w:autoSpaceDE w:val="0"/>
        <w:autoSpaceDN w:val="0"/>
        <w:adjustRightInd w:val="0"/>
        <w:spacing w:line="240" w:lineRule="auto"/>
        <w:ind w:left="720"/>
        <w:rPr>
          <w:rFonts w:eastAsia="MS Mincho" w:cs="Arial"/>
          <w:color w:val="000000"/>
          <w:sz w:val="20"/>
          <w:szCs w:val="20"/>
          <w:lang w:val="en-GB" w:eastAsia="en-GB"/>
        </w:rPr>
      </w:pPr>
      <w:r w:rsidRPr="006471D6">
        <w:rPr>
          <w:rFonts w:eastAsia="MS Mincho" w:cs="Arial"/>
          <w:color w:val="000000"/>
          <w:sz w:val="20"/>
          <w:szCs w:val="20"/>
          <w:lang w:val="en-GB" w:eastAsia="en-GB"/>
        </w:rPr>
        <w:t>4. At times more than 75% SOR is held All Island (up to 100%) in order to maintain system security standards based on real-time transient security analysis (this will remain under review by the TSOs).</w:t>
      </w:r>
    </w:p>
    <w:p w14:paraId="25D608C2" w14:textId="3CA0363A" w:rsidR="004A634C" w:rsidRPr="006471D6" w:rsidRDefault="004A634C" w:rsidP="00D7043D">
      <w:pPr>
        <w:pStyle w:val="Heading3"/>
        <w:rPr>
          <w:rFonts w:eastAsia="MS Gothic" w:cs="Arial"/>
          <w:sz w:val="24"/>
          <w:szCs w:val="24"/>
          <w:lang w:val="en-GB" w:eastAsia="en-GB"/>
        </w:rPr>
      </w:pPr>
      <w:r w:rsidRPr="006471D6">
        <w:rPr>
          <w:rFonts w:eastAsia="MS Gothic" w:cs="Arial"/>
          <w:sz w:val="24"/>
          <w:szCs w:val="24"/>
          <w:lang w:val="en-GB" w:eastAsia="en-GB"/>
        </w:rPr>
        <w:t>Operating Reserve Definitions</w:t>
      </w:r>
    </w:p>
    <w:tbl>
      <w:tblPr>
        <w:tblStyle w:val="TableGrid1"/>
        <w:tblW w:w="0" w:type="auto"/>
        <w:tblLook w:val="04A0" w:firstRow="1" w:lastRow="0" w:firstColumn="1" w:lastColumn="0" w:noHBand="0" w:noVBand="1"/>
      </w:tblPr>
      <w:tblGrid>
        <w:gridCol w:w="2063"/>
        <w:gridCol w:w="2406"/>
        <w:gridCol w:w="2405"/>
        <w:gridCol w:w="2476"/>
      </w:tblGrid>
      <w:tr w:rsidR="004A634C" w:rsidRPr="00DD5295" w14:paraId="4E6CA638" w14:textId="77777777" w:rsidTr="00760D0D">
        <w:tc>
          <w:tcPr>
            <w:tcW w:w="2082" w:type="dxa"/>
            <w:shd w:val="clear" w:color="auto" w:fill="BFBFBF" w:themeFill="background1" w:themeFillShade="BF"/>
          </w:tcPr>
          <w:p w14:paraId="623925A4" w14:textId="77777777" w:rsidR="004A634C" w:rsidRPr="006471D6" w:rsidRDefault="004A634C" w:rsidP="000E083D">
            <w:pPr>
              <w:jc w:val="center"/>
              <w:rPr>
                <w:rFonts w:cs="Arial"/>
                <w:b/>
                <w:sz w:val="24"/>
                <w:szCs w:val="28"/>
              </w:rPr>
            </w:pPr>
            <w:r w:rsidRPr="006471D6">
              <w:rPr>
                <w:rFonts w:cs="Arial"/>
                <w:b/>
                <w:sz w:val="24"/>
                <w:szCs w:val="28"/>
              </w:rPr>
              <w:t>Classification</w:t>
            </w:r>
          </w:p>
        </w:tc>
        <w:tc>
          <w:tcPr>
            <w:tcW w:w="2473" w:type="dxa"/>
            <w:shd w:val="clear" w:color="auto" w:fill="BFBFBF" w:themeFill="background1" w:themeFillShade="BF"/>
          </w:tcPr>
          <w:p w14:paraId="4565EE14" w14:textId="77777777" w:rsidR="004A634C" w:rsidRPr="006471D6" w:rsidRDefault="004A634C" w:rsidP="000E083D">
            <w:pPr>
              <w:jc w:val="center"/>
              <w:rPr>
                <w:rFonts w:cs="Arial"/>
                <w:sz w:val="24"/>
                <w:szCs w:val="24"/>
              </w:rPr>
            </w:pPr>
            <w:r w:rsidRPr="006471D6">
              <w:rPr>
                <w:rFonts w:cs="Arial"/>
                <w:b/>
                <w:sz w:val="24"/>
                <w:szCs w:val="28"/>
              </w:rPr>
              <w:t>Category</w:t>
            </w:r>
          </w:p>
        </w:tc>
        <w:tc>
          <w:tcPr>
            <w:tcW w:w="2476" w:type="dxa"/>
            <w:shd w:val="clear" w:color="auto" w:fill="BFBFBF" w:themeFill="background1" w:themeFillShade="BF"/>
          </w:tcPr>
          <w:p w14:paraId="726B4583" w14:textId="77777777" w:rsidR="004A634C" w:rsidRPr="006471D6" w:rsidRDefault="004A634C" w:rsidP="000E083D">
            <w:pPr>
              <w:jc w:val="center"/>
              <w:rPr>
                <w:rFonts w:cs="Arial"/>
                <w:b/>
                <w:sz w:val="24"/>
                <w:szCs w:val="28"/>
              </w:rPr>
            </w:pPr>
            <w:r w:rsidRPr="006471D6">
              <w:rPr>
                <w:rFonts w:cs="Arial"/>
                <w:b/>
                <w:sz w:val="24"/>
                <w:szCs w:val="28"/>
              </w:rPr>
              <w:t>Delivered By</w:t>
            </w:r>
          </w:p>
        </w:tc>
        <w:tc>
          <w:tcPr>
            <w:tcW w:w="2541" w:type="dxa"/>
            <w:shd w:val="clear" w:color="auto" w:fill="BFBFBF" w:themeFill="background1" w:themeFillShade="BF"/>
          </w:tcPr>
          <w:p w14:paraId="1856A109" w14:textId="77777777" w:rsidR="004A634C" w:rsidRPr="006471D6" w:rsidRDefault="004A634C" w:rsidP="000E083D">
            <w:pPr>
              <w:jc w:val="center"/>
              <w:rPr>
                <w:rFonts w:cs="Arial"/>
                <w:b/>
                <w:sz w:val="24"/>
                <w:szCs w:val="28"/>
              </w:rPr>
            </w:pPr>
            <w:r w:rsidRPr="006471D6">
              <w:rPr>
                <w:rFonts w:cs="Arial"/>
                <w:b/>
                <w:sz w:val="24"/>
                <w:szCs w:val="28"/>
              </w:rPr>
              <w:t>Maintained Until</w:t>
            </w:r>
          </w:p>
        </w:tc>
      </w:tr>
      <w:tr w:rsidR="004A634C" w:rsidRPr="00DD5295" w14:paraId="439D0F47" w14:textId="77777777" w:rsidTr="00760D0D">
        <w:tc>
          <w:tcPr>
            <w:tcW w:w="2082" w:type="dxa"/>
            <w:vMerge w:val="restart"/>
          </w:tcPr>
          <w:p w14:paraId="393184EA" w14:textId="77777777" w:rsidR="004A634C" w:rsidRPr="006471D6" w:rsidRDefault="004A634C" w:rsidP="000E083D">
            <w:pPr>
              <w:jc w:val="center"/>
              <w:rPr>
                <w:rFonts w:cs="Arial"/>
                <w:sz w:val="24"/>
                <w:szCs w:val="28"/>
              </w:rPr>
            </w:pPr>
            <w:r w:rsidRPr="006471D6">
              <w:rPr>
                <w:rFonts w:cs="Arial"/>
                <w:sz w:val="24"/>
                <w:szCs w:val="28"/>
              </w:rPr>
              <w:t>Frequency Containment Reserves</w:t>
            </w:r>
          </w:p>
        </w:tc>
        <w:tc>
          <w:tcPr>
            <w:tcW w:w="2473" w:type="dxa"/>
          </w:tcPr>
          <w:p w14:paraId="3BC4E54B" w14:textId="77777777" w:rsidR="004A634C" w:rsidRPr="006471D6" w:rsidRDefault="004A634C" w:rsidP="000E083D">
            <w:pPr>
              <w:jc w:val="center"/>
              <w:rPr>
                <w:rFonts w:cs="Arial"/>
                <w:sz w:val="24"/>
                <w:szCs w:val="28"/>
              </w:rPr>
            </w:pPr>
            <w:r w:rsidRPr="006471D6">
              <w:rPr>
                <w:rFonts w:cs="Arial"/>
                <w:sz w:val="24"/>
                <w:szCs w:val="28"/>
              </w:rPr>
              <w:t xml:space="preserve">Primary </w:t>
            </w:r>
            <w:r w:rsidRPr="006471D6">
              <w:rPr>
                <w:rFonts w:cs="Arial"/>
                <w:sz w:val="24"/>
              </w:rPr>
              <w:t>(POR)</w:t>
            </w:r>
          </w:p>
        </w:tc>
        <w:tc>
          <w:tcPr>
            <w:tcW w:w="2476" w:type="dxa"/>
          </w:tcPr>
          <w:p w14:paraId="0B9D3163" w14:textId="77777777" w:rsidR="004A634C" w:rsidRPr="006471D6" w:rsidRDefault="004A634C" w:rsidP="000E083D">
            <w:pPr>
              <w:jc w:val="center"/>
              <w:rPr>
                <w:rFonts w:cs="Arial"/>
                <w:sz w:val="24"/>
                <w:szCs w:val="28"/>
              </w:rPr>
            </w:pPr>
            <w:r w:rsidRPr="006471D6">
              <w:rPr>
                <w:rFonts w:cs="Arial"/>
                <w:sz w:val="24"/>
                <w:szCs w:val="28"/>
              </w:rPr>
              <w:t>5 seconds</w:t>
            </w:r>
          </w:p>
        </w:tc>
        <w:tc>
          <w:tcPr>
            <w:tcW w:w="2541" w:type="dxa"/>
          </w:tcPr>
          <w:p w14:paraId="287C4CDA" w14:textId="77777777" w:rsidR="004A634C" w:rsidRPr="006471D6" w:rsidRDefault="004A634C" w:rsidP="000E083D">
            <w:pPr>
              <w:jc w:val="center"/>
              <w:rPr>
                <w:rFonts w:cs="Arial"/>
                <w:sz w:val="24"/>
                <w:szCs w:val="28"/>
              </w:rPr>
            </w:pPr>
            <w:r w:rsidRPr="006471D6">
              <w:rPr>
                <w:rFonts w:cs="Arial"/>
                <w:sz w:val="24"/>
                <w:szCs w:val="28"/>
              </w:rPr>
              <w:t>15 seconds</w:t>
            </w:r>
          </w:p>
        </w:tc>
      </w:tr>
      <w:tr w:rsidR="004A634C" w:rsidRPr="00DD5295" w14:paraId="10883584" w14:textId="77777777" w:rsidTr="00760D0D">
        <w:tc>
          <w:tcPr>
            <w:tcW w:w="2082" w:type="dxa"/>
            <w:vMerge/>
          </w:tcPr>
          <w:p w14:paraId="7B5FE697" w14:textId="77777777" w:rsidR="004A634C" w:rsidRPr="006471D6" w:rsidRDefault="004A634C" w:rsidP="000E083D">
            <w:pPr>
              <w:jc w:val="center"/>
              <w:rPr>
                <w:rFonts w:cs="Arial"/>
                <w:sz w:val="24"/>
                <w:szCs w:val="28"/>
              </w:rPr>
            </w:pPr>
          </w:p>
        </w:tc>
        <w:tc>
          <w:tcPr>
            <w:tcW w:w="2473" w:type="dxa"/>
          </w:tcPr>
          <w:p w14:paraId="291E19DB" w14:textId="77777777" w:rsidR="004A634C" w:rsidRPr="006471D6" w:rsidRDefault="004A634C" w:rsidP="000E083D">
            <w:pPr>
              <w:jc w:val="center"/>
              <w:rPr>
                <w:rFonts w:cs="Arial"/>
                <w:sz w:val="24"/>
                <w:szCs w:val="28"/>
              </w:rPr>
            </w:pPr>
            <w:r w:rsidRPr="006471D6">
              <w:rPr>
                <w:rFonts w:cs="Arial"/>
                <w:sz w:val="24"/>
                <w:szCs w:val="28"/>
              </w:rPr>
              <w:t xml:space="preserve">Secondary </w:t>
            </w:r>
            <w:r w:rsidRPr="006471D6">
              <w:rPr>
                <w:rFonts w:cs="Arial"/>
                <w:sz w:val="24"/>
              </w:rPr>
              <w:t>(SOR)</w:t>
            </w:r>
          </w:p>
        </w:tc>
        <w:tc>
          <w:tcPr>
            <w:tcW w:w="2476" w:type="dxa"/>
          </w:tcPr>
          <w:p w14:paraId="02D2A8B9" w14:textId="77777777" w:rsidR="004A634C" w:rsidRPr="006471D6" w:rsidRDefault="004A634C" w:rsidP="000E083D">
            <w:pPr>
              <w:jc w:val="center"/>
              <w:rPr>
                <w:rFonts w:cs="Arial"/>
                <w:sz w:val="24"/>
                <w:szCs w:val="28"/>
              </w:rPr>
            </w:pPr>
            <w:r w:rsidRPr="006471D6">
              <w:rPr>
                <w:rFonts w:cs="Arial"/>
                <w:sz w:val="24"/>
                <w:szCs w:val="28"/>
              </w:rPr>
              <w:t>15 seconds</w:t>
            </w:r>
          </w:p>
        </w:tc>
        <w:tc>
          <w:tcPr>
            <w:tcW w:w="2541" w:type="dxa"/>
          </w:tcPr>
          <w:p w14:paraId="669F8397" w14:textId="77777777" w:rsidR="004A634C" w:rsidRPr="006471D6" w:rsidRDefault="004A634C" w:rsidP="000E083D">
            <w:pPr>
              <w:jc w:val="center"/>
              <w:rPr>
                <w:rFonts w:cs="Arial"/>
                <w:sz w:val="24"/>
                <w:szCs w:val="28"/>
              </w:rPr>
            </w:pPr>
            <w:r w:rsidRPr="006471D6">
              <w:rPr>
                <w:rFonts w:cs="Arial"/>
                <w:sz w:val="24"/>
                <w:szCs w:val="28"/>
              </w:rPr>
              <w:t>90 seconds</w:t>
            </w:r>
          </w:p>
        </w:tc>
      </w:tr>
      <w:tr w:rsidR="004A634C" w:rsidRPr="00DD5295" w14:paraId="7322425A" w14:textId="77777777" w:rsidTr="00760D0D">
        <w:tc>
          <w:tcPr>
            <w:tcW w:w="2082" w:type="dxa"/>
            <w:vMerge w:val="restart"/>
          </w:tcPr>
          <w:p w14:paraId="5479C485" w14:textId="77777777" w:rsidR="004A634C" w:rsidRPr="006471D6" w:rsidRDefault="004A634C" w:rsidP="000E083D">
            <w:pPr>
              <w:jc w:val="center"/>
              <w:rPr>
                <w:rFonts w:cs="Arial"/>
                <w:sz w:val="24"/>
                <w:szCs w:val="28"/>
              </w:rPr>
            </w:pPr>
            <w:r w:rsidRPr="006471D6">
              <w:rPr>
                <w:rFonts w:cs="Arial"/>
                <w:sz w:val="24"/>
                <w:szCs w:val="28"/>
              </w:rPr>
              <w:t>Frequency Restoration Reserves</w:t>
            </w:r>
          </w:p>
        </w:tc>
        <w:tc>
          <w:tcPr>
            <w:tcW w:w="2473" w:type="dxa"/>
          </w:tcPr>
          <w:p w14:paraId="5E750BAA" w14:textId="77777777" w:rsidR="004A634C" w:rsidRPr="006471D6" w:rsidRDefault="004A634C" w:rsidP="000E083D">
            <w:pPr>
              <w:jc w:val="center"/>
              <w:rPr>
                <w:rFonts w:cs="Arial"/>
                <w:sz w:val="24"/>
                <w:szCs w:val="28"/>
              </w:rPr>
            </w:pPr>
            <w:r w:rsidRPr="006471D6">
              <w:rPr>
                <w:rFonts w:cs="Arial"/>
                <w:sz w:val="24"/>
                <w:szCs w:val="28"/>
              </w:rPr>
              <w:t xml:space="preserve">Tertiary 1 </w:t>
            </w:r>
            <w:r w:rsidRPr="006471D6">
              <w:rPr>
                <w:rFonts w:cs="Arial"/>
                <w:sz w:val="24"/>
              </w:rPr>
              <w:t>(TOR1)</w:t>
            </w:r>
          </w:p>
        </w:tc>
        <w:tc>
          <w:tcPr>
            <w:tcW w:w="2476" w:type="dxa"/>
          </w:tcPr>
          <w:p w14:paraId="4B4D616F" w14:textId="77777777" w:rsidR="004A634C" w:rsidRPr="006471D6" w:rsidRDefault="004A634C" w:rsidP="000E083D">
            <w:pPr>
              <w:jc w:val="center"/>
              <w:rPr>
                <w:rFonts w:cs="Arial"/>
                <w:sz w:val="24"/>
                <w:szCs w:val="28"/>
              </w:rPr>
            </w:pPr>
            <w:r w:rsidRPr="006471D6">
              <w:rPr>
                <w:rFonts w:cs="Arial"/>
                <w:sz w:val="24"/>
                <w:szCs w:val="28"/>
              </w:rPr>
              <w:t>90 seconds</w:t>
            </w:r>
          </w:p>
        </w:tc>
        <w:tc>
          <w:tcPr>
            <w:tcW w:w="2541" w:type="dxa"/>
          </w:tcPr>
          <w:p w14:paraId="729FAFA5" w14:textId="77777777" w:rsidR="004A634C" w:rsidRPr="006471D6" w:rsidRDefault="004A634C" w:rsidP="000E083D">
            <w:pPr>
              <w:jc w:val="center"/>
              <w:rPr>
                <w:rFonts w:cs="Arial"/>
                <w:sz w:val="24"/>
                <w:szCs w:val="28"/>
              </w:rPr>
            </w:pPr>
            <w:r w:rsidRPr="006471D6">
              <w:rPr>
                <w:rFonts w:cs="Arial"/>
                <w:sz w:val="24"/>
                <w:szCs w:val="28"/>
              </w:rPr>
              <w:t>5 minutes</w:t>
            </w:r>
          </w:p>
        </w:tc>
      </w:tr>
      <w:tr w:rsidR="004A634C" w:rsidRPr="00DD5295" w14:paraId="4952114D" w14:textId="77777777" w:rsidTr="00760D0D">
        <w:tc>
          <w:tcPr>
            <w:tcW w:w="2082" w:type="dxa"/>
            <w:vMerge/>
          </w:tcPr>
          <w:p w14:paraId="045868D1" w14:textId="77777777" w:rsidR="004A634C" w:rsidRPr="006471D6" w:rsidRDefault="004A634C" w:rsidP="000E083D">
            <w:pPr>
              <w:jc w:val="center"/>
              <w:rPr>
                <w:rFonts w:cs="Arial"/>
                <w:sz w:val="24"/>
                <w:szCs w:val="28"/>
              </w:rPr>
            </w:pPr>
          </w:p>
        </w:tc>
        <w:tc>
          <w:tcPr>
            <w:tcW w:w="2473" w:type="dxa"/>
          </w:tcPr>
          <w:p w14:paraId="4EB9BF9D" w14:textId="77777777" w:rsidR="004A634C" w:rsidRPr="006471D6" w:rsidRDefault="004A634C" w:rsidP="000E083D">
            <w:pPr>
              <w:jc w:val="center"/>
              <w:rPr>
                <w:rFonts w:cs="Arial"/>
                <w:sz w:val="24"/>
                <w:szCs w:val="28"/>
              </w:rPr>
            </w:pPr>
            <w:r w:rsidRPr="006471D6">
              <w:rPr>
                <w:rFonts w:cs="Arial"/>
                <w:sz w:val="24"/>
                <w:szCs w:val="28"/>
              </w:rPr>
              <w:t xml:space="preserve">Tertiary 2 </w:t>
            </w:r>
            <w:r w:rsidRPr="006471D6">
              <w:rPr>
                <w:rFonts w:cs="Arial"/>
                <w:sz w:val="24"/>
              </w:rPr>
              <w:t>(TOR2)</w:t>
            </w:r>
          </w:p>
        </w:tc>
        <w:tc>
          <w:tcPr>
            <w:tcW w:w="2476" w:type="dxa"/>
          </w:tcPr>
          <w:p w14:paraId="46F8D1E3" w14:textId="77777777" w:rsidR="004A634C" w:rsidRPr="006471D6" w:rsidRDefault="004A634C" w:rsidP="000E083D">
            <w:pPr>
              <w:jc w:val="center"/>
              <w:rPr>
                <w:rFonts w:cs="Arial"/>
                <w:sz w:val="24"/>
                <w:szCs w:val="28"/>
              </w:rPr>
            </w:pPr>
            <w:r w:rsidRPr="006471D6">
              <w:rPr>
                <w:rFonts w:cs="Arial"/>
                <w:sz w:val="24"/>
                <w:szCs w:val="28"/>
              </w:rPr>
              <w:t>5 minutes</w:t>
            </w:r>
          </w:p>
        </w:tc>
        <w:tc>
          <w:tcPr>
            <w:tcW w:w="2541" w:type="dxa"/>
          </w:tcPr>
          <w:p w14:paraId="5298C1DD" w14:textId="77777777" w:rsidR="004A634C" w:rsidRPr="006471D6" w:rsidRDefault="004A634C" w:rsidP="000E083D">
            <w:pPr>
              <w:jc w:val="center"/>
              <w:rPr>
                <w:rFonts w:cs="Arial"/>
                <w:sz w:val="24"/>
                <w:szCs w:val="28"/>
              </w:rPr>
            </w:pPr>
            <w:r w:rsidRPr="006471D6">
              <w:rPr>
                <w:rFonts w:cs="Arial"/>
                <w:sz w:val="24"/>
                <w:szCs w:val="28"/>
              </w:rPr>
              <w:t>20 minutes</w:t>
            </w:r>
          </w:p>
        </w:tc>
      </w:tr>
    </w:tbl>
    <w:p w14:paraId="6C6EA4E4" w14:textId="77777777" w:rsidR="004A634C" w:rsidRPr="006471D6" w:rsidRDefault="004A634C" w:rsidP="004A634C">
      <w:pPr>
        <w:spacing w:line="240" w:lineRule="auto"/>
        <w:rPr>
          <w:rFonts w:eastAsia="MS Mincho" w:cs="Arial"/>
          <w:color w:val="1F497D"/>
          <w:sz w:val="24"/>
          <w:szCs w:val="24"/>
          <w:lang w:val="en-US" w:eastAsia="ja-JP"/>
        </w:rPr>
      </w:pPr>
    </w:p>
    <w:p w14:paraId="6BB8AA93" w14:textId="715AF749" w:rsidR="004A634C" w:rsidRPr="006471D6" w:rsidRDefault="004A634C" w:rsidP="7DD35E56">
      <w:pPr>
        <w:spacing w:line="240" w:lineRule="auto"/>
        <w:jc w:val="both"/>
        <w:rPr>
          <w:rFonts w:eastAsia="MS Mincho" w:cs="Arial"/>
          <w:lang w:eastAsia="ja-JP"/>
        </w:rPr>
      </w:pPr>
      <w:r w:rsidRPr="7DD35E56">
        <w:rPr>
          <w:rFonts w:eastAsia="MS Mincho" w:cs="Arial"/>
          <w:lang w:eastAsia="ja-JP"/>
        </w:rPr>
        <w:t>Frequency Containment Reserves (FCR) means the active power reserves available to contain system frequency after the occurrence of an imbalance, and for EirGrid and SONI shall include Primary Operating Reserve (POR</w:t>
      </w:r>
      <w:r w:rsidR="00CA5BCC" w:rsidRPr="7DD35E56">
        <w:rPr>
          <w:rFonts w:eastAsia="MS Mincho" w:cs="Arial"/>
          <w:lang w:eastAsia="ja-JP"/>
        </w:rPr>
        <w:t>),</w:t>
      </w:r>
      <w:r w:rsidRPr="7DD35E56">
        <w:rPr>
          <w:rFonts w:eastAsia="MS Mincho" w:cs="Arial"/>
          <w:lang w:eastAsia="ja-JP"/>
        </w:rPr>
        <w:t xml:space="preserve"> and Secondary Operating Reserve (SOR) as defined in the EirGrid and SONI Grid Codes.</w:t>
      </w:r>
    </w:p>
    <w:p w14:paraId="2674AB09" w14:textId="77777777" w:rsidR="004A634C" w:rsidRPr="006471D6" w:rsidRDefault="004A634C" w:rsidP="004A634C">
      <w:pPr>
        <w:spacing w:line="240" w:lineRule="auto"/>
        <w:jc w:val="both"/>
        <w:rPr>
          <w:rFonts w:eastAsia="MS Mincho" w:cs="Arial"/>
          <w:szCs w:val="24"/>
          <w:lang w:val="en-US" w:eastAsia="ja-JP"/>
        </w:rPr>
      </w:pPr>
    </w:p>
    <w:p w14:paraId="64D245D2" w14:textId="73CB72A4" w:rsidR="004A634C" w:rsidRPr="006471D6" w:rsidRDefault="004A634C" w:rsidP="7DD35E56">
      <w:pPr>
        <w:spacing w:line="240" w:lineRule="auto"/>
        <w:jc w:val="both"/>
        <w:rPr>
          <w:rFonts w:eastAsia="MS Mincho" w:cs="Arial"/>
          <w:lang w:eastAsia="ja-JP"/>
        </w:rPr>
      </w:pPr>
      <w:r w:rsidRPr="7DD35E56">
        <w:rPr>
          <w:rFonts w:eastAsia="MS Mincho" w:cs="Arial"/>
          <w:lang w:eastAsia="ja-JP"/>
        </w:rPr>
        <w:t>Frequency Restoration Reserves (FRR) means the active power reserves available to restore system frequency to the nominal frequency, and for EirGrid and SONI shall include Tertiary Operating Reserve 1 (TOR 1</w:t>
      </w:r>
      <w:r w:rsidR="00CA5BCC" w:rsidRPr="7DD35E56">
        <w:rPr>
          <w:rFonts w:eastAsia="MS Mincho" w:cs="Arial"/>
          <w:lang w:eastAsia="ja-JP"/>
        </w:rPr>
        <w:t>),</w:t>
      </w:r>
      <w:r w:rsidRPr="7DD35E56">
        <w:rPr>
          <w:rFonts w:eastAsia="MS Mincho" w:cs="Arial"/>
          <w:lang w:eastAsia="ja-JP"/>
        </w:rPr>
        <w:t xml:space="preserve"> and Tertiary Operating Reserve 2 (TOR 2) as defined in the EirGrid and SONI Grid Codes.</w:t>
      </w:r>
    </w:p>
    <w:p w14:paraId="71CD630D" w14:textId="77777777" w:rsidR="004A634C" w:rsidRPr="006471D6" w:rsidRDefault="004A634C" w:rsidP="004A634C">
      <w:pPr>
        <w:spacing w:line="240" w:lineRule="auto"/>
        <w:jc w:val="both"/>
        <w:rPr>
          <w:rFonts w:eastAsia="MS Mincho" w:cs="Arial"/>
          <w:szCs w:val="24"/>
          <w:lang w:val="en-US" w:eastAsia="ja-JP"/>
        </w:rPr>
      </w:pPr>
    </w:p>
    <w:p w14:paraId="6F5DDAC9" w14:textId="77777777" w:rsidR="004A634C" w:rsidRPr="006471D6" w:rsidRDefault="004A634C" w:rsidP="004A634C">
      <w:pPr>
        <w:spacing w:line="240" w:lineRule="auto"/>
        <w:jc w:val="both"/>
        <w:rPr>
          <w:rFonts w:eastAsia="MS Mincho" w:cs="Arial"/>
          <w:szCs w:val="24"/>
          <w:lang w:val="en-US" w:eastAsia="ja-JP"/>
        </w:rPr>
      </w:pPr>
      <w:r w:rsidRPr="006471D6">
        <w:rPr>
          <w:rFonts w:eastAsia="MS Mincho" w:cs="Arial"/>
          <w:szCs w:val="24"/>
          <w:lang w:val="en-US" w:eastAsia="ja-JP"/>
        </w:rPr>
        <w:t>Replacement Reserves (RR) means the active power reserves available to restore or support the required level of FRR to be prepared for additional system imbalances, including generation reserves. For the IE/NI synchronous area to progressively restore the activated FCR and FRR, and for EirGrid and SONI shall include Replacement Reserve as defined in the EirGrid and SONI Grid Codes.</w:t>
      </w:r>
    </w:p>
    <w:p w14:paraId="7E9F54F7" w14:textId="77777777" w:rsidR="004A634C" w:rsidRPr="006471D6" w:rsidRDefault="004A634C" w:rsidP="004A634C">
      <w:pPr>
        <w:spacing w:line="240" w:lineRule="auto"/>
        <w:rPr>
          <w:rFonts w:eastAsia="MS Mincho" w:cs="Arial"/>
          <w:color w:val="1F497D"/>
          <w:sz w:val="24"/>
          <w:szCs w:val="24"/>
          <w:lang w:val="en-US" w:eastAsia="ja-JP"/>
        </w:rPr>
      </w:pPr>
    </w:p>
    <w:p w14:paraId="418B82FD" w14:textId="77777777" w:rsidR="004A634C" w:rsidRPr="006471D6" w:rsidRDefault="004A634C" w:rsidP="004A634C">
      <w:pPr>
        <w:spacing w:line="240" w:lineRule="auto"/>
        <w:rPr>
          <w:rFonts w:eastAsia="MS Mincho" w:cs="Arial"/>
          <w:sz w:val="28"/>
          <w:szCs w:val="28"/>
          <w:lang w:val="en-US" w:eastAsia="ja-JP"/>
        </w:rPr>
      </w:pPr>
    </w:p>
    <w:p w14:paraId="202CF61C" w14:textId="694D2D8D" w:rsidR="004A634C" w:rsidRPr="00DD5295" w:rsidRDefault="004A634C" w:rsidP="00D7043D">
      <w:pPr>
        <w:pStyle w:val="Heading3"/>
        <w:rPr>
          <w:rFonts w:eastAsia="MS Gothic" w:cs="Arial"/>
          <w:lang w:val="en-GB" w:eastAsia="en-GB"/>
        </w:rPr>
      </w:pPr>
      <w:r w:rsidRPr="00DD5295">
        <w:rPr>
          <w:rFonts w:eastAsia="MS Gothic" w:cs="Arial"/>
          <w:lang w:val="en-GB" w:eastAsia="en-GB"/>
        </w:rPr>
        <w:t>Source of Reserve</w:t>
      </w:r>
    </w:p>
    <w:tbl>
      <w:tblPr>
        <w:tblStyle w:val="TableGrid1"/>
        <w:tblW w:w="0" w:type="auto"/>
        <w:tblLook w:val="04A0" w:firstRow="1" w:lastRow="0" w:firstColumn="1" w:lastColumn="0" w:noHBand="0" w:noVBand="1"/>
      </w:tblPr>
      <w:tblGrid>
        <w:gridCol w:w="3112"/>
        <w:gridCol w:w="3119"/>
        <w:gridCol w:w="3119"/>
      </w:tblGrid>
      <w:tr w:rsidR="004A634C" w:rsidRPr="00DD5295" w14:paraId="7314C8C1" w14:textId="77777777" w:rsidTr="00F1532F">
        <w:tc>
          <w:tcPr>
            <w:tcW w:w="3112" w:type="dxa"/>
            <w:shd w:val="clear" w:color="auto" w:fill="BFBFBF" w:themeFill="background1" w:themeFillShade="BF"/>
          </w:tcPr>
          <w:p w14:paraId="77EA4D9C" w14:textId="77777777" w:rsidR="004A634C" w:rsidRPr="006471D6" w:rsidRDefault="004A634C" w:rsidP="000E083D">
            <w:pPr>
              <w:jc w:val="center"/>
              <w:rPr>
                <w:rFonts w:cs="Arial"/>
                <w:b/>
                <w:sz w:val="24"/>
                <w:szCs w:val="28"/>
              </w:rPr>
            </w:pPr>
          </w:p>
        </w:tc>
        <w:tc>
          <w:tcPr>
            <w:tcW w:w="3119" w:type="dxa"/>
            <w:shd w:val="clear" w:color="auto" w:fill="BFBFBF" w:themeFill="background1" w:themeFillShade="BF"/>
          </w:tcPr>
          <w:p w14:paraId="72B057C6" w14:textId="77777777" w:rsidR="004A634C" w:rsidRPr="006471D6" w:rsidRDefault="004A634C" w:rsidP="000E083D">
            <w:pPr>
              <w:jc w:val="center"/>
              <w:rPr>
                <w:rFonts w:cs="Arial"/>
                <w:b/>
                <w:sz w:val="24"/>
                <w:szCs w:val="28"/>
              </w:rPr>
            </w:pPr>
            <w:r w:rsidRPr="006471D6">
              <w:rPr>
                <w:rFonts w:cs="Arial"/>
                <w:b/>
                <w:sz w:val="24"/>
                <w:szCs w:val="28"/>
              </w:rPr>
              <w:t>Ireland</w:t>
            </w:r>
          </w:p>
        </w:tc>
        <w:tc>
          <w:tcPr>
            <w:tcW w:w="3119" w:type="dxa"/>
            <w:shd w:val="clear" w:color="auto" w:fill="BFBFBF" w:themeFill="background1" w:themeFillShade="BF"/>
          </w:tcPr>
          <w:p w14:paraId="72243BBD" w14:textId="77777777" w:rsidR="004A634C" w:rsidRPr="006471D6" w:rsidRDefault="004A634C" w:rsidP="000E083D">
            <w:pPr>
              <w:jc w:val="center"/>
              <w:rPr>
                <w:rFonts w:cs="Arial"/>
                <w:b/>
                <w:sz w:val="24"/>
                <w:szCs w:val="28"/>
              </w:rPr>
            </w:pPr>
            <w:r w:rsidRPr="006471D6">
              <w:rPr>
                <w:rFonts w:cs="Arial"/>
                <w:b/>
                <w:sz w:val="24"/>
                <w:szCs w:val="28"/>
              </w:rPr>
              <w:t>Northern Ireland</w:t>
            </w:r>
          </w:p>
        </w:tc>
      </w:tr>
      <w:tr w:rsidR="004A634C" w:rsidRPr="00DD5295" w14:paraId="23C97F0A" w14:textId="77777777" w:rsidTr="00F1532F">
        <w:tc>
          <w:tcPr>
            <w:tcW w:w="3112" w:type="dxa"/>
          </w:tcPr>
          <w:p w14:paraId="7F668121" w14:textId="77777777" w:rsidR="004A634C" w:rsidRPr="006471D6" w:rsidRDefault="004A634C" w:rsidP="000E083D">
            <w:pPr>
              <w:rPr>
                <w:rFonts w:cs="Arial"/>
                <w:sz w:val="24"/>
                <w:szCs w:val="28"/>
                <w:lang w:val="en-GB"/>
              </w:rPr>
            </w:pPr>
            <w:r w:rsidRPr="006471D6">
              <w:rPr>
                <w:rFonts w:cs="Arial"/>
                <w:sz w:val="24"/>
                <w:szCs w:val="28"/>
              </w:rPr>
              <w:t>Regulating Reserve</w:t>
            </w:r>
          </w:p>
        </w:tc>
        <w:tc>
          <w:tcPr>
            <w:tcW w:w="3119" w:type="dxa"/>
          </w:tcPr>
          <w:p w14:paraId="1A74DA48" w14:textId="77777777" w:rsidR="004A634C" w:rsidRPr="006471D6" w:rsidRDefault="004A634C" w:rsidP="000E083D">
            <w:pPr>
              <w:rPr>
                <w:rFonts w:cs="Arial"/>
                <w:sz w:val="24"/>
                <w:szCs w:val="24"/>
                <w:lang w:val="en-GB"/>
              </w:rPr>
            </w:pPr>
            <w:r w:rsidRPr="006471D6">
              <w:rPr>
                <w:rFonts w:cs="Arial"/>
                <w:sz w:val="24"/>
                <w:szCs w:val="24"/>
                <w:lang w:val="en-GB"/>
              </w:rPr>
              <w:t>Synchronised</w:t>
            </w:r>
            <w:r w:rsidRPr="006471D6">
              <w:rPr>
                <w:rFonts w:cs="Arial"/>
                <w:sz w:val="24"/>
                <w:szCs w:val="24"/>
              </w:rPr>
              <w:t xml:space="preserve"> Generating Units</w:t>
            </w:r>
          </w:p>
        </w:tc>
        <w:tc>
          <w:tcPr>
            <w:tcW w:w="3119" w:type="dxa"/>
          </w:tcPr>
          <w:p w14:paraId="0FE6C969" w14:textId="77777777" w:rsidR="004A634C" w:rsidRPr="006471D6" w:rsidRDefault="004A634C" w:rsidP="000E083D">
            <w:pPr>
              <w:rPr>
                <w:rFonts w:cs="Arial"/>
                <w:sz w:val="24"/>
                <w:szCs w:val="24"/>
              </w:rPr>
            </w:pPr>
            <w:r w:rsidRPr="006471D6">
              <w:rPr>
                <w:rFonts w:cs="Arial"/>
                <w:sz w:val="24"/>
                <w:szCs w:val="24"/>
                <w:lang w:val="en-GB"/>
              </w:rPr>
              <w:t>Synchronised</w:t>
            </w:r>
            <w:r w:rsidRPr="006471D6">
              <w:rPr>
                <w:rFonts w:cs="Arial"/>
                <w:sz w:val="24"/>
                <w:szCs w:val="24"/>
              </w:rPr>
              <w:t xml:space="preserve"> Generating Units</w:t>
            </w:r>
          </w:p>
        </w:tc>
      </w:tr>
      <w:tr w:rsidR="004A634C" w:rsidRPr="00DD5295" w14:paraId="6289AABD" w14:textId="77777777" w:rsidTr="00F1532F">
        <w:tc>
          <w:tcPr>
            <w:tcW w:w="3112" w:type="dxa"/>
          </w:tcPr>
          <w:p w14:paraId="041B5776" w14:textId="77777777" w:rsidR="004A634C" w:rsidRPr="006471D6" w:rsidRDefault="004A634C" w:rsidP="000E083D">
            <w:pPr>
              <w:rPr>
                <w:rFonts w:cs="Arial"/>
                <w:sz w:val="24"/>
                <w:szCs w:val="28"/>
              </w:rPr>
            </w:pPr>
            <w:r w:rsidRPr="006471D6">
              <w:rPr>
                <w:rFonts w:cs="Arial"/>
                <w:sz w:val="24"/>
                <w:szCs w:val="28"/>
              </w:rPr>
              <w:t>Non or Partially Regulating Reserve</w:t>
            </w:r>
          </w:p>
          <w:p w14:paraId="27F6FF85" w14:textId="3F335783" w:rsidR="004A634C" w:rsidRPr="006471D6" w:rsidRDefault="004A634C" w:rsidP="000E083D">
            <w:pPr>
              <w:rPr>
                <w:rFonts w:cs="Arial"/>
                <w:sz w:val="24"/>
                <w:szCs w:val="28"/>
              </w:rPr>
            </w:pPr>
          </w:p>
        </w:tc>
        <w:tc>
          <w:tcPr>
            <w:tcW w:w="3119" w:type="dxa"/>
          </w:tcPr>
          <w:p w14:paraId="49B546E4" w14:textId="77777777" w:rsidR="004A634C" w:rsidRPr="006471D6" w:rsidRDefault="004A634C" w:rsidP="000E083D">
            <w:pPr>
              <w:rPr>
                <w:rFonts w:cs="Arial"/>
                <w:sz w:val="24"/>
                <w:szCs w:val="24"/>
              </w:rPr>
            </w:pPr>
            <w:r w:rsidRPr="006471D6">
              <w:rPr>
                <w:rFonts w:cs="Arial"/>
                <w:sz w:val="24"/>
                <w:szCs w:val="24"/>
              </w:rPr>
              <w:t>Turlough Hill Units when in pumping mode</w:t>
            </w:r>
          </w:p>
          <w:p w14:paraId="4A6D6DCC" w14:textId="56C620C5" w:rsidR="004A634C" w:rsidRPr="006471D6" w:rsidRDefault="006A5792" w:rsidP="000E083D">
            <w:pPr>
              <w:rPr>
                <w:rFonts w:eastAsia="Times New Roman" w:cs="Arial"/>
                <w:sz w:val="24"/>
                <w:szCs w:val="24"/>
                <w:lang w:eastAsia="en-IE"/>
              </w:rPr>
            </w:pPr>
            <w:r>
              <w:rPr>
                <w:rFonts w:eastAsia="Times New Roman" w:cs="Arial"/>
                <w:sz w:val="24"/>
                <w:szCs w:val="24"/>
                <w:lang w:eastAsia="en-IE"/>
              </w:rPr>
              <w:t>54</w:t>
            </w:r>
            <w:r w:rsidR="004A634C" w:rsidRPr="006471D6">
              <w:rPr>
                <w:rFonts w:eastAsia="Times New Roman" w:cs="Arial"/>
                <w:sz w:val="24"/>
                <w:szCs w:val="24"/>
                <w:lang w:eastAsia="en-IE"/>
              </w:rPr>
              <w:t> MW of Response from DSUs</w:t>
            </w:r>
          </w:p>
          <w:p w14:paraId="631A0433" w14:textId="77777777" w:rsidR="004A634C" w:rsidRPr="006471D6" w:rsidRDefault="004A634C" w:rsidP="000E083D">
            <w:pPr>
              <w:rPr>
                <w:rFonts w:cs="Arial"/>
                <w:sz w:val="24"/>
                <w:szCs w:val="24"/>
              </w:rPr>
            </w:pPr>
            <w:r w:rsidRPr="006471D6">
              <w:rPr>
                <w:rFonts w:cs="Arial"/>
                <w:sz w:val="24"/>
                <w:szCs w:val="24"/>
              </w:rPr>
              <w:t>EWIC Interconnector (up to 75 MW)</w:t>
            </w:r>
          </w:p>
          <w:p w14:paraId="781FF13D" w14:textId="2FB11FB9" w:rsidR="004A634C" w:rsidRPr="006471D6" w:rsidRDefault="004A634C" w:rsidP="000E083D">
            <w:pPr>
              <w:rPr>
                <w:rFonts w:cs="Arial"/>
                <w:sz w:val="24"/>
                <w:szCs w:val="24"/>
              </w:rPr>
            </w:pPr>
          </w:p>
        </w:tc>
        <w:tc>
          <w:tcPr>
            <w:tcW w:w="3119" w:type="dxa"/>
          </w:tcPr>
          <w:p w14:paraId="70DB0A64" w14:textId="09E41789" w:rsidR="004A634C" w:rsidRPr="006471D6" w:rsidRDefault="006A5792" w:rsidP="000E083D">
            <w:pPr>
              <w:rPr>
                <w:rFonts w:cs="Arial"/>
                <w:sz w:val="24"/>
                <w:szCs w:val="24"/>
              </w:rPr>
            </w:pPr>
            <w:r>
              <w:rPr>
                <w:rFonts w:cs="Arial"/>
                <w:sz w:val="24"/>
                <w:szCs w:val="24"/>
              </w:rPr>
              <w:t>11</w:t>
            </w:r>
            <w:r w:rsidR="004A634C" w:rsidRPr="006471D6">
              <w:rPr>
                <w:rFonts w:cs="Arial"/>
                <w:sz w:val="24"/>
                <w:szCs w:val="24"/>
              </w:rPr>
              <w:t xml:space="preserve"> MW of Response from DSUs </w:t>
            </w:r>
          </w:p>
          <w:p w14:paraId="65B508BE" w14:textId="77777777" w:rsidR="004A634C" w:rsidRDefault="004A634C" w:rsidP="000E083D">
            <w:pPr>
              <w:rPr>
                <w:rFonts w:cs="Arial"/>
                <w:sz w:val="24"/>
                <w:szCs w:val="24"/>
              </w:rPr>
            </w:pPr>
            <w:r w:rsidRPr="006471D6">
              <w:rPr>
                <w:rFonts w:cs="Arial"/>
                <w:sz w:val="24"/>
                <w:szCs w:val="24"/>
              </w:rPr>
              <w:t>Moyle Interconnector (up to 75 MW)</w:t>
            </w:r>
          </w:p>
          <w:p w14:paraId="1E2A9458" w14:textId="391ABB99" w:rsidR="00A15C8B" w:rsidRPr="006471D6" w:rsidRDefault="00A15C8B" w:rsidP="000E083D">
            <w:pPr>
              <w:rPr>
                <w:rFonts w:cs="Arial"/>
                <w:sz w:val="24"/>
                <w:szCs w:val="24"/>
              </w:rPr>
            </w:pPr>
          </w:p>
        </w:tc>
      </w:tr>
      <w:tr w:rsidR="004A634C" w:rsidRPr="00DD5295" w14:paraId="3A7BDC9A" w14:textId="77777777" w:rsidTr="00F1532F">
        <w:tc>
          <w:tcPr>
            <w:tcW w:w="3112" w:type="dxa"/>
          </w:tcPr>
          <w:p w14:paraId="56680C65" w14:textId="77777777" w:rsidR="004A634C" w:rsidRPr="00626C05" w:rsidRDefault="004A634C" w:rsidP="000E083D">
            <w:pPr>
              <w:rPr>
                <w:rFonts w:cs="Arial"/>
                <w:sz w:val="24"/>
                <w:szCs w:val="28"/>
              </w:rPr>
            </w:pPr>
            <w:r w:rsidRPr="00626C05">
              <w:rPr>
                <w:rFonts w:cs="Arial"/>
                <w:sz w:val="24"/>
                <w:szCs w:val="28"/>
              </w:rPr>
              <w:t>Negative Ramping Reserve</w:t>
            </w:r>
          </w:p>
          <w:p w14:paraId="70B06291" w14:textId="77777777" w:rsidR="004A634C" w:rsidRPr="00626C05" w:rsidRDefault="004A634C" w:rsidP="000E083D">
            <w:pPr>
              <w:rPr>
                <w:rFonts w:cs="Arial"/>
                <w:sz w:val="24"/>
                <w:szCs w:val="28"/>
              </w:rPr>
            </w:pPr>
          </w:p>
          <w:p w14:paraId="39C259C0" w14:textId="0CAC0B1F" w:rsidR="004A634C" w:rsidRPr="00626C05" w:rsidRDefault="004A634C" w:rsidP="000E083D">
            <w:pPr>
              <w:rPr>
                <w:rFonts w:cs="Arial"/>
                <w:sz w:val="24"/>
                <w:szCs w:val="28"/>
              </w:rPr>
            </w:pPr>
          </w:p>
        </w:tc>
        <w:tc>
          <w:tcPr>
            <w:tcW w:w="3119" w:type="dxa"/>
          </w:tcPr>
          <w:p w14:paraId="6FF9E500" w14:textId="77777777" w:rsidR="004A634C" w:rsidRPr="006471D6" w:rsidRDefault="004A634C" w:rsidP="000E083D">
            <w:pPr>
              <w:rPr>
                <w:rFonts w:cs="Arial"/>
                <w:sz w:val="24"/>
                <w:szCs w:val="28"/>
              </w:rPr>
            </w:pPr>
            <w:r w:rsidRPr="006471D6">
              <w:rPr>
                <w:rFonts w:cs="Arial"/>
                <w:sz w:val="24"/>
                <w:szCs w:val="28"/>
              </w:rPr>
              <w:t xml:space="preserve">0 MW </w:t>
            </w:r>
          </w:p>
          <w:p w14:paraId="60D3316D" w14:textId="77777777" w:rsidR="004A634C" w:rsidRPr="006471D6" w:rsidRDefault="004A634C" w:rsidP="000E083D">
            <w:pPr>
              <w:rPr>
                <w:rFonts w:cs="Arial"/>
                <w:sz w:val="24"/>
                <w:szCs w:val="28"/>
              </w:rPr>
            </w:pPr>
          </w:p>
          <w:p w14:paraId="211C0954" w14:textId="502E3B6B" w:rsidR="004A634C" w:rsidRPr="006A78CA" w:rsidRDefault="004A634C" w:rsidP="000E083D">
            <w:pPr>
              <w:rPr>
                <w:rFonts w:cs="Arial"/>
                <w:sz w:val="24"/>
                <w:szCs w:val="28"/>
              </w:rPr>
            </w:pPr>
            <w:r w:rsidRPr="006A78CA">
              <w:rPr>
                <w:rFonts w:cs="Arial"/>
                <w:sz w:val="24"/>
                <w:szCs w:val="28"/>
              </w:rPr>
              <w:t>(Defined as the MW output of a conventional generator above its minimum load</w:t>
            </w:r>
            <w:r w:rsidR="006C0946">
              <w:rPr>
                <w:rFonts w:cs="Arial"/>
                <w:sz w:val="24"/>
                <w:szCs w:val="28"/>
              </w:rPr>
              <w:t>)</w:t>
            </w:r>
          </w:p>
          <w:p w14:paraId="4B9E901D" w14:textId="77777777" w:rsidR="004A634C" w:rsidRPr="006A78CA" w:rsidRDefault="004A634C" w:rsidP="000E083D">
            <w:pPr>
              <w:rPr>
                <w:rFonts w:cs="Arial"/>
                <w:sz w:val="24"/>
                <w:szCs w:val="28"/>
              </w:rPr>
            </w:pPr>
            <w:r w:rsidRPr="006A78CA">
              <w:rPr>
                <w:rFonts w:cs="Arial"/>
                <w:sz w:val="24"/>
                <w:szCs w:val="28"/>
              </w:rPr>
              <w:t xml:space="preserve"> </w:t>
            </w:r>
          </w:p>
        </w:tc>
        <w:tc>
          <w:tcPr>
            <w:tcW w:w="3119" w:type="dxa"/>
          </w:tcPr>
          <w:p w14:paraId="1D0B9602" w14:textId="77777777" w:rsidR="004A634C" w:rsidRPr="006471D6" w:rsidRDefault="004A634C" w:rsidP="000E083D">
            <w:pPr>
              <w:rPr>
                <w:rFonts w:cs="Arial"/>
                <w:sz w:val="24"/>
                <w:szCs w:val="28"/>
              </w:rPr>
            </w:pPr>
            <w:r w:rsidRPr="006471D6">
              <w:rPr>
                <w:rFonts w:cs="Arial"/>
                <w:sz w:val="24"/>
                <w:szCs w:val="28"/>
              </w:rPr>
              <w:t xml:space="preserve">50 MW </w:t>
            </w:r>
          </w:p>
          <w:p w14:paraId="60868CA9" w14:textId="77777777" w:rsidR="004A634C" w:rsidRPr="006471D6" w:rsidRDefault="004A634C" w:rsidP="000E083D">
            <w:pPr>
              <w:rPr>
                <w:rFonts w:cs="Arial"/>
                <w:sz w:val="24"/>
                <w:szCs w:val="28"/>
              </w:rPr>
            </w:pPr>
          </w:p>
          <w:p w14:paraId="24CF299B" w14:textId="18AA4E44" w:rsidR="004A634C" w:rsidRPr="006A78CA" w:rsidRDefault="004A634C" w:rsidP="000E083D">
            <w:pPr>
              <w:rPr>
                <w:rFonts w:cs="Arial"/>
                <w:sz w:val="24"/>
                <w:szCs w:val="28"/>
              </w:rPr>
            </w:pPr>
            <w:r w:rsidRPr="006A78CA">
              <w:rPr>
                <w:rFonts w:cs="Arial"/>
                <w:sz w:val="24"/>
                <w:szCs w:val="28"/>
              </w:rPr>
              <w:t>(Defined as the MW output of a conventional generator above its minimum load</w:t>
            </w:r>
            <w:r w:rsidR="006C0946">
              <w:rPr>
                <w:rFonts w:cs="Arial"/>
                <w:sz w:val="24"/>
                <w:szCs w:val="28"/>
              </w:rPr>
              <w:t>)</w:t>
            </w:r>
          </w:p>
        </w:tc>
      </w:tr>
      <w:tr w:rsidR="00F1532F" w:rsidRPr="00DD5295" w14:paraId="6723D4E3" w14:textId="77777777" w:rsidTr="00F1532F">
        <w:tc>
          <w:tcPr>
            <w:tcW w:w="3112" w:type="dxa"/>
          </w:tcPr>
          <w:p w14:paraId="4D20FE6D" w14:textId="77777777" w:rsidR="00F1532F" w:rsidRPr="00626C05" w:rsidRDefault="00F1532F" w:rsidP="000E083D">
            <w:pPr>
              <w:rPr>
                <w:rFonts w:cs="Arial"/>
                <w:sz w:val="24"/>
                <w:szCs w:val="28"/>
              </w:rPr>
            </w:pPr>
            <w:r w:rsidRPr="00626C05">
              <w:rPr>
                <w:rFonts w:cs="Arial"/>
                <w:sz w:val="24"/>
                <w:szCs w:val="28"/>
              </w:rPr>
              <w:t>Interruptible Load Reserve Limits</w:t>
            </w:r>
          </w:p>
          <w:p w14:paraId="35F9BD0B" w14:textId="77777777" w:rsidR="00F1532F" w:rsidRPr="00626C05" w:rsidRDefault="00F1532F" w:rsidP="000E083D">
            <w:pPr>
              <w:rPr>
                <w:rFonts w:cs="Arial"/>
                <w:sz w:val="24"/>
                <w:szCs w:val="28"/>
              </w:rPr>
            </w:pPr>
          </w:p>
          <w:p w14:paraId="1B06447D" w14:textId="11B4D423" w:rsidR="00F1532F" w:rsidRPr="00626C05" w:rsidRDefault="00F1532F" w:rsidP="000E083D">
            <w:pPr>
              <w:rPr>
                <w:rFonts w:cs="Arial"/>
                <w:sz w:val="24"/>
                <w:szCs w:val="28"/>
              </w:rPr>
            </w:pPr>
            <w:r w:rsidRPr="00626C05">
              <w:rPr>
                <w:rFonts w:cs="Arial"/>
                <w:sz w:val="24"/>
                <w:szCs w:val="28"/>
              </w:rPr>
              <w:t>Applicable to Large Energy Users only.</w:t>
            </w:r>
          </w:p>
        </w:tc>
        <w:tc>
          <w:tcPr>
            <w:tcW w:w="3119" w:type="dxa"/>
          </w:tcPr>
          <w:p w14:paraId="5A7E27D4" w14:textId="3CBB9427" w:rsidR="00F1532F" w:rsidRPr="006471D6" w:rsidRDefault="00F1532F" w:rsidP="000E083D">
            <w:pPr>
              <w:rPr>
                <w:rFonts w:cs="Arial"/>
                <w:sz w:val="24"/>
                <w:szCs w:val="28"/>
              </w:rPr>
            </w:pPr>
            <w:r>
              <w:rPr>
                <w:rFonts w:cs="Arial"/>
                <w:sz w:val="24"/>
                <w:szCs w:val="28"/>
              </w:rPr>
              <w:t>54 MW</w:t>
            </w:r>
          </w:p>
        </w:tc>
        <w:tc>
          <w:tcPr>
            <w:tcW w:w="3119" w:type="dxa"/>
          </w:tcPr>
          <w:p w14:paraId="34CAE79A" w14:textId="51EBEB8A" w:rsidR="00F1532F" w:rsidRPr="006471D6" w:rsidRDefault="00F1532F" w:rsidP="000E083D">
            <w:pPr>
              <w:rPr>
                <w:rFonts w:cs="Arial"/>
                <w:sz w:val="24"/>
                <w:szCs w:val="28"/>
              </w:rPr>
            </w:pPr>
            <w:r>
              <w:rPr>
                <w:rFonts w:cs="Arial"/>
                <w:sz w:val="24"/>
                <w:szCs w:val="28"/>
              </w:rPr>
              <w:t>11 MW</w:t>
            </w:r>
          </w:p>
        </w:tc>
      </w:tr>
    </w:tbl>
    <w:p w14:paraId="4D234D6F" w14:textId="77777777" w:rsidR="00FA4860" w:rsidRDefault="00FA4860" w:rsidP="004F6CB9">
      <w:pPr>
        <w:pStyle w:val="EGStyleGuide-Subheadline"/>
        <w:rPr>
          <w:rFonts w:eastAsia="MS Gothic"/>
        </w:rPr>
      </w:pPr>
    </w:p>
    <w:p w14:paraId="6AB2D705" w14:textId="77777777" w:rsidR="00124790" w:rsidRPr="006471D6" w:rsidRDefault="00124790" w:rsidP="004A634C">
      <w:pPr>
        <w:spacing w:line="240" w:lineRule="auto"/>
        <w:jc w:val="both"/>
        <w:rPr>
          <w:rFonts w:eastAsia="MS Mincho" w:cs="Arial"/>
          <w:lang w:val="en-GB" w:eastAsia="en-GB"/>
        </w:rPr>
      </w:pPr>
    </w:p>
    <w:p w14:paraId="2B8FC2A1" w14:textId="4D127374" w:rsidR="00A2152C" w:rsidRPr="00DD5295" w:rsidRDefault="00A2152C" w:rsidP="004F6CB9">
      <w:pPr>
        <w:pStyle w:val="EGStyleGuide-Subheadline"/>
      </w:pPr>
      <w:bookmarkStart w:id="11" w:name="_Toc67669745"/>
      <w:bookmarkStart w:id="12" w:name="_Toc67669746"/>
      <w:bookmarkStart w:id="13" w:name="_Toc385334199"/>
      <w:bookmarkStart w:id="14" w:name="_Toc385335881"/>
      <w:bookmarkStart w:id="15" w:name="_Toc67669747"/>
      <w:bookmarkStart w:id="16" w:name="_Toc67669748"/>
      <w:bookmarkStart w:id="17" w:name="_Toc67669749"/>
      <w:bookmarkStart w:id="18" w:name="_Toc67669750"/>
      <w:bookmarkStart w:id="19" w:name="_Toc67669751"/>
      <w:bookmarkStart w:id="20" w:name="_Toc67669752"/>
      <w:bookmarkEnd w:id="10"/>
      <w:bookmarkEnd w:id="11"/>
      <w:bookmarkEnd w:id="12"/>
      <w:bookmarkEnd w:id="13"/>
      <w:bookmarkEnd w:id="14"/>
      <w:bookmarkEnd w:id="15"/>
      <w:bookmarkEnd w:id="16"/>
      <w:bookmarkEnd w:id="17"/>
      <w:bookmarkEnd w:id="18"/>
      <w:bookmarkEnd w:id="19"/>
      <w:bookmarkEnd w:id="20"/>
    </w:p>
    <w:sectPr w:rsidR="00A2152C" w:rsidRPr="00DD5295" w:rsidSect="00A37DC4">
      <w:headerReference w:type="default" r:id="rId17"/>
      <w:footerReference w:type="default" r:id="rId18"/>
      <w:pgSz w:w="12240" w:h="15840"/>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BF51" w14:textId="77777777" w:rsidR="001874A2" w:rsidRDefault="001874A2" w:rsidP="00DE0AD5">
      <w:pPr>
        <w:spacing w:line="240" w:lineRule="auto"/>
      </w:pPr>
      <w:r>
        <w:separator/>
      </w:r>
    </w:p>
  </w:endnote>
  <w:endnote w:type="continuationSeparator" w:id="0">
    <w:p w14:paraId="654B9E08" w14:textId="77777777" w:rsidR="001874A2" w:rsidRDefault="001874A2" w:rsidP="00DE0AD5">
      <w:pPr>
        <w:spacing w:line="240" w:lineRule="auto"/>
      </w:pPr>
      <w:r>
        <w:continuationSeparator/>
      </w:r>
    </w:p>
  </w:endnote>
  <w:endnote w:type="continuationNotice" w:id="1">
    <w:p w14:paraId="47B125C7" w14:textId="77777777" w:rsidR="001874A2" w:rsidRDefault="001874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FABAEE" w14:paraId="786B1688" w14:textId="77777777" w:rsidTr="28FABAEE">
      <w:trPr>
        <w:trHeight w:val="300"/>
      </w:trPr>
      <w:tc>
        <w:tcPr>
          <w:tcW w:w="3120" w:type="dxa"/>
        </w:tcPr>
        <w:p w14:paraId="6FEACE03" w14:textId="2E17AC73" w:rsidR="28FABAEE" w:rsidRDefault="28FABAEE" w:rsidP="28FABAEE">
          <w:pPr>
            <w:pStyle w:val="Header"/>
            <w:ind w:left="-115"/>
          </w:pPr>
        </w:p>
      </w:tc>
      <w:tc>
        <w:tcPr>
          <w:tcW w:w="3120" w:type="dxa"/>
        </w:tcPr>
        <w:p w14:paraId="34D49394" w14:textId="0CEF4DD6" w:rsidR="28FABAEE" w:rsidRDefault="28FABAEE" w:rsidP="28FABAEE">
          <w:pPr>
            <w:pStyle w:val="Header"/>
            <w:jc w:val="center"/>
          </w:pPr>
        </w:p>
      </w:tc>
      <w:tc>
        <w:tcPr>
          <w:tcW w:w="3120" w:type="dxa"/>
        </w:tcPr>
        <w:p w14:paraId="0BF19C89" w14:textId="3D26EEEC" w:rsidR="28FABAEE" w:rsidRDefault="28FABAEE" w:rsidP="28FABAEE">
          <w:pPr>
            <w:pStyle w:val="Header"/>
            <w:ind w:right="-115"/>
            <w:jc w:val="right"/>
          </w:pPr>
        </w:p>
      </w:tc>
    </w:tr>
  </w:tbl>
  <w:p w14:paraId="07E56BBA" w14:textId="72EA1426" w:rsidR="28FABAEE" w:rsidRDefault="28FABAEE" w:rsidP="28FAB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4A3F" w14:textId="77777777" w:rsidR="001874A2" w:rsidRDefault="001874A2" w:rsidP="00DE0AD5">
      <w:pPr>
        <w:spacing w:line="240" w:lineRule="auto"/>
      </w:pPr>
      <w:r>
        <w:separator/>
      </w:r>
    </w:p>
  </w:footnote>
  <w:footnote w:type="continuationSeparator" w:id="0">
    <w:p w14:paraId="050B9124" w14:textId="77777777" w:rsidR="001874A2" w:rsidRDefault="001874A2" w:rsidP="00DE0AD5">
      <w:pPr>
        <w:spacing w:line="240" w:lineRule="auto"/>
      </w:pPr>
      <w:r>
        <w:continuationSeparator/>
      </w:r>
    </w:p>
  </w:footnote>
  <w:footnote w:type="continuationNotice" w:id="1">
    <w:p w14:paraId="519CF0C8" w14:textId="77777777" w:rsidR="001874A2" w:rsidRDefault="001874A2">
      <w:pPr>
        <w:spacing w:line="240" w:lineRule="auto"/>
      </w:pPr>
    </w:p>
  </w:footnote>
  <w:footnote w:id="2">
    <w:p w14:paraId="05AA9D8F" w14:textId="66CB7967" w:rsidR="00CA123D" w:rsidRDefault="00CA123D" w:rsidP="000E083D">
      <w:pPr>
        <w:pStyle w:val="FootnoteText"/>
      </w:pPr>
      <w:r>
        <w:rPr>
          <w:rStyle w:val="FootnoteReference"/>
        </w:rPr>
        <w:footnoteRef/>
      </w:r>
      <w:r>
        <w:t xml:space="preserve"> </w:t>
      </w:r>
      <w:hyperlink r:id="rId1" w:history="1">
        <w:r w:rsidR="007B4B7E">
          <w:rPr>
            <w:rStyle w:val="Hyperlink"/>
          </w:rPr>
          <w:t>Operating-Security-Standards-Version-3.0-April-2025.pdf</w:t>
        </w:r>
      </w:hyperlink>
      <w:r>
        <w:t xml:space="preserve"> </w:t>
      </w:r>
    </w:p>
    <w:p w14:paraId="297CE8BE" w14:textId="462EB701" w:rsidR="00CA123D" w:rsidRPr="00366E4E" w:rsidRDefault="008E25BA" w:rsidP="000E083D">
      <w:pPr>
        <w:pStyle w:val="FootnoteText"/>
      </w:pPr>
      <w:hyperlink r:id="rId2" w:history="1">
        <w:r>
          <w:rPr>
            <w:rStyle w:val="Hyperlink"/>
            <w:rFonts w:eastAsia="Times New Roman"/>
          </w:rPr>
          <w:t>https://cms.eirgrid.ie/sites/default/files/publications/EirGrid_Operating-Security-Standards_2021.pdf</w:t>
        </w:r>
      </w:hyperlink>
    </w:p>
  </w:footnote>
  <w:footnote w:id="3">
    <w:p w14:paraId="049290C0" w14:textId="43F6E353" w:rsidR="007B4B7E" w:rsidRPr="007B4B7E" w:rsidRDefault="00CA123D" w:rsidP="007B4B7E">
      <w:pPr>
        <w:pStyle w:val="FootnoteText"/>
        <w:rPr>
          <w:color w:val="0000FF" w:themeColor="hyperlink"/>
          <w:u w:val="single"/>
          <w:lang w:val="en-IE"/>
        </w:rPr>
      </w:pPr>
      <w:r w:rsidRPr="007B4B7E">
        <w:rPr>
          <w:vertAlign w:val="superscript"/>
        </w:rPr>
        <w:footnoteRef/>
      </w:r>
      <w:r w:rsidR="007B4B7E">
        <w:t xml:space="preserve"> </w:t>
      </w:r>
      <w:hyperlink r:id="rId3" w:history="1">
        <w:r w:rsidR="007B4B7E" w:rsidRPr="008902FA">
          <w:rPr>
            <w:rStyle w:val="Hyperlink"/>
            <w:lang w:val="en-IE"/>
          </w:rPr>
          <w:t>https://cms.eirgrid.ie/sites/default/files/publications/Balancing_Market_Principles_Statement_Version_9.0.pdf</w:t>
        </w:r>
      </w:hyperlink>
    </w:p>
    <w:p w14:paraId="12531444" w14:textId="467C229E" w:rsidR="00CA123D" w:rsidRPr="0089384C" w:rsidRDefault="00CA123D" w:rsidP="000E083D">
      <w:pPr>
        <w:pStyle w:val="FootnoteText"/>
        <w:rPr>
          <w:lang w:val="en-IE"/>
        </w:rPr>
      </w:pPr>
    </w:p>
  </w:footnote>
  <w:footnote w:id="4">
    <w:p w14:paraId="1FF47EB0" w14:textId="1F1EA15E" w:rsidR="00BC315A" w:rsidRPr="0089384C" w:rsidRDefault="00BC315A" w:rsidP="00C8651E">
      <w:pPr>
        <w:pStyle w:val="FootnoteText"/>
        <w:rPr>
          <w:lang w:val="en-IE"/>
        </w:rPr>
      </w:pPr>
      <w:r>
        <w:rPr>
          <w:rStyle w:val="FootnoteReference"/>
        </w:rPr>
        <w:footnoteRef/>
      </w:r>
      <w:r>
        <w:t xml:space="preserve"> </w:t>
      </w:r>
      <w:r>
        <w:rPr>
          <w:lang w:val="en-IE"/>
        </w:rPr>
        <w:t>Combined Ramp Rate of EWIC, Greenlink, and Moyle  Interconnectors is limited to 15 MW/Min</w:t>
      </w:r>
    </w:p>
  </w:footnote>
  <w:footnote w:id="5">
    <w:p w14:paraId="01ACE0D6" w14:textId="7D8F7348" w:rsidR="00CA123D" w:rsidRPr="0089384C" w:rsidRDefault="00CA123D" w:rsidP="00C8651E">
      <w:pPr>
        <w:pStyle w:val="FootnoteText"/>
        <w:rPr>
          <w:lang w:val="en-IE"/>
        </w:rPr>
      </w:pPr>
      <w:r>
        <w:rPr>
          <w:rStyle w:val="FootnoteReference"/>
        </w:rPr>
        <w:footnoteRef/>
      </w:r>
      <w:r>
        <w:t xml:space="preserve"> Combined Ramp Rates on EWIC</w:t>
      </w:r>
      <w:r w:rsidR="009C2034">
        <w:t>, Greenlink,</w:t>
      </w:r>
      <w:r>
        <w:t xml:space="preserve"> and Moyle Interconnectors are limited to 1</w:t>
      </w:r>
      <w:r w:rsidR="00CE264A">
        <w:t>5</w:t>
      </w:r>
      <w:r>
        <w:t> MW/Min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FABAEE" w14:paraId="759AF628" w14:textId="77777777" w:rsidTr="28FABAEE">
      <w:trPr>
        <w:trHeight w:val="300"/>
      </w:trPr>
      <w:tc>
        <w:tcPr>
          <w:tcW w:w="3120" w:type="dxa"/>
        </w:tcPr>
        <w:p w14:paraId="38AF18AE" w14:textId="6D718340" w:rsidR="28FABAEE" w:rsidRDefault="28FABAEE" w:rsidP="28FABAEE">
          <w:pPr>
            <w:pStyle w:val="Header"/>
            <w:ind w:left="-115"/>
          </w:pPr>
        </w:p>
      </w:tc>
      <w:tc>
        <w:tcPr>
          <w:tcW w:w="3120" w:type="dxa"/>
        </w:tcPr>
        <w:p w14:paraId="37DCC400" w14:textId="5D0FD39F" w:rsidR="28FABAEE" w:rsidRDefault="28FABAEE" w:rsidP="28FABAEE">
          <w:pPr>
            <w:pStyle w:val="Header"/>
            <w:jc w:val="center"/>
          </w:pPr>
        </w:p>
      </w:tc>
      <w:tc>
        <w:tcPr>
          <w:tcW w:w="3120" w:type="dxa"/>
        </w:tcPr>
        <w:p w14:paraId="43418F82" w14:textId="0C0C5621" w:rsidR="28FABAEE" w:rsidRDefault="28FABAEE" w:rsidP="28FABAEE">
          <w:pPr>
            <w:pStyle w:val="Header"/>
            <w:ind w:right="-115"/>
            <w:jc w:val="right"/>
          </w:pPr>
        </w:p>
      </w:tc>
    </w:tr>
  </w:tbl>
  <w:p w14:paraId="4BC48CB3" w14:textId="2A1F55FF" w:rsidR="28FABAEE" w:rsidRDefault="28FABAEE" w:rsidP="28FABAE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AF6"/>
    <w:multiLevelType w:val="hybridMultilevel"/>
    <w:tmpl w:val="E86E50C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AB13B6"/>
    <w:multiLevelType w:val="multilevel"/>
    <w:tmpl w:val="A14A1CE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E233ED"/>
    <w:multiLevelType w:val="hybridMultilevel"/>
    <w:tmpl w:val="87426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2F63BC"/>
    <w:multiLevelType w:val="hybridMultilevel"/>
    <w:tmpl w:val="EA8808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07F5B50"/>
    <w:multiLevelType w:val="multilevel"/>
    <w:tmpl w:val="A41E7D70"/>
    <w:lvl w:ilvl="0">
      <w:start w:val="4"/>
      <w:numFmt w:val="decimal"/>
      <w:lvlText w:val="%1.0"/>
      <w:lvlJc w:val="left"/>
      <w:pPr>
        <w:ind w:left="4788" w:hanging="720"/>
      </w:pPr>
      <w:rPr>
        <w:rFonts w:hint="default"/>
      </w:rPr>
    </w:lvl>
    <w:lvl w:ilvl="1">
      <w:start w:val="1"/>
      <w:numFmt w:val="decimal"/>
      <w:lvlText w:val="%1.%2"/>
      <w:lvlJc w:val="left"/>
      <w:pPr>
        <w:ind w:left="5508" w:hanging="720"/>
      </w:pPr>
      <w:rPr>
        <w:rFonts w:hint="default"/>
      </w:rPr>
    </w:lvl>
    <w:lvl w:ilvl="2">
      <w:start w:val="1"/>
      <w:numFmt w:val="decimal"/>
      <w:lvlText w:val="%1.%2.%3"/>
      <w:lvlJc w:val="left"/>
      <w:pPr>
        <w:ind w:left="6228" w:hanging="720"/>
      </w:pPr>
      <w:rPr>
        <w:rFonts w:hint="default"/>
      </w:rPr>
    </w:lvl>
    <w:lvl w:ilvl="3">
      <w:start w:val="1"/>
      <w:numFmt w:val="decimal"/>
      <w:lvlText w:val="%1.%2.%3.%4"/>
      <w:lvlJc w:val="left"/>
      <w:pPr>
        <w:ind w:left="7308" w:hanging="1080"/>
      </w:pPr>
      <w:rPr>
        <w:rFonts w:hint="default"/>
      </w:rPr>
    </w:lvl>
    <w:lvl w:ilvl="4">
      <w:start w:val="1"/>
      <w:numFmt w:val="decimal"/>
      <w:lvlText w:val="%1.%2.%3.%4.%5"/>
      <w:lvlJc w:val="left"/>
      <w:pPr>
        <w:ind w:left="8388" w:hanging="1440"/>
      </w:pPr>
      <w:rPr>
        <w:rFonts w:hint="default"/>
      </w:rPr>
    </w:lvl>
    <w:lvl w:ilvl="5">
      <w:start w:val="1"/>
      <w:numFmt w:val="decimal"/>
      <w:lvlText w:val="%1.%2.%3.%4.%5.%6"/>
      <w:lvlJc w:val="left"/>
      <w:pPr>
        <w:ind w:left="9108"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268" w:hanging="2160"/>
      </w:pPr>
      <w:rPr>
        <w:rFonts w:hint="default"/>
      </w:rPr>
    </w:lvl>
    <w:lvl w:ilvl="8">
      <w:start w:val="1"/>
      <w:numFmt w:val="decimal"/>
      <w:lvlText w:val="%1.%2.%3.%4.%5.%6.%7.%8.%9"/>
      <w:lvlJc w:val="left"/>
      <w:pPr>
        <w:ind w:left="11988" w:hanging="2160"/>
      </w:pPr>
      <w:rPr>
        <w:rFonts w:hint="default"/>
      </w:rPr>
    </w:lvl>
  </w:abstractNum>
  <w:abstractNum w:abstractNumId="5" w15:restartNumberingAfterBreak="0">
    <w:nsid w:val="28707ED0"/>
    <w:multiLevelType w:val="multilevel"/>
    <w:tmpl w:val="7F22B74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02731"/>
    <w:multiLevelType w:val="hybridMultilevel"/>
    <w:tmpl w:val="792634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C665E7A"/>
    <w:multiLevelType w:val="hybridMultilevel"/>
    <w:tmpl w:val="13D40630"/>
    <w:lvl w:ilvl="0" w:tplc="0E2E5868">
      <w:start w:val="150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2379A0"/>
    <w:multiLevelType w:val="hybridMultilevel"/>
    <w:tmpl w:val="80F83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3804752"/>
    <w:multiLevelType w:val="hybridMultilevel"/>
    <w:tmpl w:val="8B387D90"/>
    <w:lvl w:ilvl="0" w:tplc="C898E80A">
      <w:start w:val="1500"/>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C840C6B"/>
    <w:multiLevelType w:val="hybridMultilevel"/>
    <w:tmpl w:val="E0883D26"/>
    <w:lvl w:ilvl="0" w:tplc="FACE3B7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396740"/>
    <w:multiLevelType w:val="hybridMultilevel"/>
    <w:tmpl w:val="8DAC6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B97FA9"/>
    <w:multiLevelType w:val="hybridMultilevel"/>
    <w:tmpl w:val="AAB098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6D6A52DA"/>
    <w:multiLevelType w:val="multilevel"/>
    <w:tmpl w:val="606C9DDA"/>
    <w:lvl w:ilvl="0">
      <w:start w:val="1"/>
      <w:numFmt w:val="decimal"/>
      <w:pStyle w:val="Heading11"/>
      <w:lvlText w:val="%1."/>
      <w:lvlJc w:val="left"/>
      <w:pPr>
        <w:ind w:left="4428" w:hanging="360"/>
      </w:pPr>
      <w:rPr>
        <w:rFonts w:hint="default"/>
      </w:rPr>
    </w:lvl>
    <w:lvl w:ilvl="1">
      <w:start w:val="4"/>
      <w:numFmt w:val="decimal"/>
      <w:isLgl/>
      <w:lvlText w:val="%1.%2"/>
      <w:lvlJc w:val="left"/>
      <w:pPr>
        <w:ind w:left="4563" w:hanging="495"/>
      </w:pPr>
      <w:rPr>
        <w:rFonts w:hint="default"/>
      </w:rPr>
    </w:lvl>
    <w:lvl w:ilvl="2">
      <w:start w:val="1"/>
      <w:numFmt w:val="decimal"/>
      <w:isLgl/>
      <w:lvlText w:val="%1.%2.%3"/>
      <w:lvlJc w:val="left"/>
      <w:pPr>
        <w:ind w:left="4788" w:hanging="720"/>
      </w:pPr>
      <w:rPr>
        <w:rFonts w:hint="default"/>
      </w:rPr>
    </w:lvl>
    <w:lvl w:ilvl="3">
      <w:start w:val="1"/>
      <w:numFmt w:val="decimal"/>
      <w:isLgl/>
      <w:lvlText w:val="%1.%2.%3.%4"/>
      <w:lvlJc w:val="left"/>
      <w:pPr>
        <w:ind w:left="5148" w:hanging="108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5508" w:hanging="144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5868" w:hanging="1800"/>
      </w:pPr>
      <w:rPr>
        <w:rFonts w:hint="default"/>
      </w:rPr>
    </w:lvl>
    <w:lvl w:ilvl="8">
      <w:start w:val="1"/>
      <w:numFmt w:val="decimal"/>
      <w:isLgl/>
      <w:lvlText w:val="%1.%2.%3.%4.%5.%6.%7.%8.%9"/>
      <w:lvlJc w:val="left"/>
      <w:pPr>
        <w:ind w:left="5868" w:hanging="1800"/>
      </w:pPr>
      <w:rPr>
        <w:rFonts w:hint="default"/>
      </w:rPr>
    </w:lvl>
  </w:abstractNum>
  <w:abstractNum w:abstractNumId="14" w15:restartNumberingAfterBreak="0">
    <w:nsid w:val="6E8D6EBF"/>
    <w:multiLevelType w:val="hybridMultilevel"/>
    <w:tmpl w:val="AAB8F0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F531059"/>
    <w:multiLevelType w:val="hybridMultilevel"/>
    <w:tmpl w:val="B63490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8E5868"/>
    <w:multiLevelType w:val="multilevel"/>
    <w:tmpl w:val="8720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84B20"/>
    <w:multiLevelType w:val="multilevel"/>
    <w:tmpl w:val="9182B29C"/>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34C0450"/>
    <w:multiLevelType w:val="hybridMultilevel"/>
    <w:tmpl w:val="3530B9A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BC15B6D"/>
    <w:multiLevelType w:val="hybridMultilevel"/>
    <w:tmpl w:val="B308E7C6"/>
    <w:lvl w:ilvl="0" w:tplc="1E52833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19584580">
    <w:abstractNumId w:val="15"/>
  </w:num>
  <w:num w:numId="2" w16cid:durableId="48772432">
    <w:abstractNumId w:val="7"/>
  </w:num>
  <w:num w:numId="3" w16cid:durableId="1222867233">
    <w:abstractNumId w:val="9"/>
  </w:num>
  <w:num w:numId="4" w16cid:durableId="1449356995">
    <w:abstractNumId w:val="6"/>
  </w:num>
  <w:num w:numId="5" w16cid:durableId="887763752">
    <w:abstractNumId w:val="3"/>
  </w:num>
  <w:num w:numId="6" w16cid:durableId="1264456401">
    <w:abstractNumId w:val="18"/>
  </w:num>
  <w:num w:numId="7" w16cid:durableId="1137140698">
    <w:abstractNumId w:val="19"/>
  </w:num>
  <w:num w:numId="8" w16cid:durableId="316496054">
    <w:abstractNumId w:val="13"/>
  </w:num>
  <w:num w:numId="9" w16cid:durableId="1355375518">
    <w:abstractNumId w:val="10"/>
  </w:num>
  <w:num w:numId="10" w16cid:durableId="60368730">
    <w:abstractNumId w:val="17"/>
  </w:num>
  <w:num w:numId="11" w16cid:durableId="907424934">
    <w:abstractNumId w:val="4"/>
  </w:num>
  <w:num w:numId="12" w16cid:durableId="1498888733">
    <w:abstractNumId w:val="1"/>
  </w:num>
  <w:num w:numId="13" w16cid:durableId="1205408258">
    <w:abstractNumId w:val="14"/>
  </w:num>
  <w:num w:numId="14" w16cid:durableId="219631922">
    <w:abstractNumId w:val="2"/>
  </w:num>
  <w:num w:numId="15" w16cid:durableId="1157184342">
    <w:abstractNumId w:val="11"/>
  </w:num>
  <w:num w:numId="16" w16cid:durableId="407071977">
    <w:abstractNumId w:val="5"/>
    <w:lvlOverride w:ilvl="0"/>
    <w:lvlOverride w:ilvl="1">
      <w:startOverride w:val="2"/>
    </w:lvlOverride>
    <w:lvlOverride w:ilvl="2"/>
    <w:lvlOverride w:ilvl="3"/>
    <w:lvlOverride w:ilvl="4"/>
    <w:lvlOverride w:ilvl="5"/>
    <w:lvlOverride w:ilvl="6"/>
    <w:lvlOverride w:ilvl="7"/>
    <w:lvlOverride w:ilvl="8"/>
  </w:num>
  <w:num w:numId="17" w16cid:durableId="1628582646">
    <w:abstractNumId w:val="0"/>
  </w:num>
  <w:num w:numId="18" w16cid:durableId="978070337">
    <w:abstractNumId w:val="8"/>
  </w:num>
  <w:num w:numId="19" w16cid:durableId="1227103984">
    <w:abstractNumId w:val="16"/>
  </w:num>
  <w:num w:numId="20" w16cid:durableId="1006707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81"/>
    <w:rsid w:val="000003F4"/>
    <w:rsid w:val="00000F2E"/>
    <w:rsid w:val="0000162E"/>
    <w:rsid w:val="0000196C"/>
    <w:rsid w:val="00001F92"/>
    <w:rsid w:val="00002467"/>
    <w:rsid w:val="00003862"/>
    <w:rsid w:val="000056A0"/>
    <w:rsid w:val="00006788"/>
    <w:rsid w:val="00006986"/>
    <w:rsid w:val="000078C6"/>
    <w:rsid w:val="00007B74"/>
    <w:rsid w:val="00007EA2"/>
    <w:rsid w:val="000110E3"/>
    <w:rsid w:val="00011257"/>
    <w:rsid w:val="00012DBF"/>
    <w:rsid w:val="000135D0"/>
    <w:rsid w:val="0001438B"/>
    <w:rsid w:val="00014F23"/>
    <w:rsid w:val="0001506D"/>
    <w:rsid w:val="00015093"/>
    <w:rsid w:val="000158C3"/>
    <w:rsid w:val="00015FDF"/>
    <w:rsid w:val="0001673B"/>
    <w:rsid w:val="000171B7"/>
    <w:rsid w:val="00017762"/>
    <w:rsid w:val="0002035C"/>
    <w:rsid w:val="0002056F"/>
    <w:rsid w:val="0002143C"/>
    <w:rsid w:val="00021FFA"/>
    <w:rsid w:val="000224E6"/>
    <w:rsid w:val="00022A31"/>
    <w:rsid w:val="000233B2"/>
    <w:rsid w:val="00025D28"/>
    <w:rsid w:val="00025DC3"/>
    <w:rsid w:val="00025E1D"/>
    <w:rsid w:val="00027C7B"/>
    <w:rsid w:val="00027DB4"/>
    <w:rsid w:val="00027F34"/>
    <w:rsid w:val="00030626"/>
    <w:rsid w:val="000309E5"/>
    <w:rsid w:val="0003177C"/>
    <w:rsid w:val="00032CB5"/>
    <w:rsid w:val="000335F6"/>
    <w:rsid w:val="00033AB2"/>
    <w:rsid w:val="000341B6"/>
    <w:rsid w:val="00034A60"/>
    <w:rsid w:val="00034FD8"/>
    <w:rsid w:val="00035126"/>
    <w:rsid w:val="00035602"/>
    <w:rsid w:val="00035A3B"/>
    <w:rsid w:val="00035D9D"/>
    <w:rsid w:val="00036595"/>
    <w:rsid w:val="00037492"/>
    <w:rsid w:val="000374C8"/>
    <w:rsid w:val="000375E6"/>
    <w:rsid w:val="0003789C"/>
    <w:rsid w:val="00037940"/>
    <w:rsid w:val="000379D3"/>
    <w:rsid w:val="00037EB4"/>
    <w:rsid w:val="00040CE4"/>
    <w:rsid w:val="00041038"/>
    <w:rsid w:val="00041DF7"/>
    <w:rsid w:val="00042ABB"/>
    <w:rsid w:val="00042BE8"/>
    <w:rsid w:val="00043343"/>
    <w:rsid w:val="00043D1F"/>
    <w:rsid w:val="00043D23"/>
    <w:rsid w:val="000442EA"/>
    <w:rsid w:val="00044952"/>
    <w:rsid w:val="00044FCA"/>
    <w:rsid w:val="000460E6"/>
    <w:rsid w:val="00046452"/>
    <w:rsid w:val="00046702"/>
    <w:rsid w:val="00046FB6"/>
    <w:rsid w:val="0004716D"/>
    <w:rsid w:val="0005022D"/>
    <w:rsid w:val="000502CB"/>
    <w:rsid w:val="0005072F"/>
    <w:rsid w:val="00051141"/>
    <w:rsid w:val="000518D5"/>
    <w:rsid w:val="00051989"/>
    <w:rsid w:val="00051A6B"/>
    <w:rsid w:val="00051B3A"/>
    <w:rsid w:val="000523EF"/>
    <w:rsid w:val="0005415E"/>
    <w:rsid w:val="00054995"/>
    <w:rsid w:val="0005626D"/>
    <w:rsid w:val="0005704E"/>
    <w:rsid w:val="00057842"/>
    <w:rsid w:val="00060DAF"/>
    <w:rsid w:val="00061C4C"/>
    <w:rsid w:val="00061DF3"/>
    <w:rsid w:val="0006258A"/>
    <w:rsid w:val="000635F2"/>
    <w:rsid w:val="00063F19"/>
    <w:rsid w:val="000647A1"/>
    <w:rsid w:val="00064F8C"/>
    <w:rsid w:val="000652A1"/>
    <w:rsid w:val="00065D97"/>
    <w:rsid w:val="00066389"/>
    <w:rsid w:val="00066D6C"/>
    <w:rsid w:val="00066DBA"/>
    <w:rsid w:val="00067706"/>
    <w:rsid w:val="0007005A"/>
    <w:rsid w:val="000701B1"/>
    <w:rsid w:val="00070E95"/>
    <w:rsid w:val="00071066"/>
    <w:rsid w:val="00071D7C"/>
    <w:rsid w:val="00072BD4"/>
    <w:rsid w:val="00073641"/>
    <w:rsid w:val="00075122"/>
    <w:rsid w:val="000767D5"/>
    <w:rsid w:val="00076F3B"/>
    <w:rsid w:val="000771AA"/>
    <w:rsid w:val="00077292"/>
    <w:rsid w:val="00077824"/>
    <w:rsid w:val="00080828"/>
    <w:rsid w:val="00080F93"/>
    <w:rsid w:val="00081FB3"/>
    <w:rsid w:val="000820B5"/>
    <w:rsid w:val="000822F1"/>
    <w:rsid w:val="0008335F"/>
    <w:rsid w:val="00083489"/>
    <w:rsid w:val="0008355C"/>
    <w:rsid w:val="000858F2"/>
    <w:rsid w:val="00085E2D"/>
    <w:rsid w:val="00085ED1"/>
    <w:rsid w:val="00086F5C"/>
    <w:rsid w:val="00087001"/>
    <w:rsid w:val="000870D3"/>
    <w:rsid w:val="000877F8"/>
    <w:rsid w:val="00091418"/>
    <w:rsid w:val="00092BB3"/>
    <w:rsid w:val="00094BCB"/>
    <w:rsid w:val="00094F2B"/>
    <w:rsid w:val="00095052"/>
    <w:rsid w:val="00095C91"/>
    <w:rsid w:val="00095EA4"/>
    <w:rsid w:val="00096392"/>
    <w:rsid w:val="000A01F6"/>
    <w:rsid w:val="000A0235"/>
    <w:rsid w:val="000A0976"/>
    <w:rsid w:val="000A0B0B"/>
    <w:rsid w:val="000A245E"/>
    <w:rsid w:val="000A2B1B"/>
    <w:rsid w:val="000A2D7F"/>
    <w:rsid w:val="000A465E"/>
    <w:rsid w:val="000A47D3"/>
    <w:rsid w:val="000A5B38"/>
    <w:rsid w:val="000A5F4E"/>
    <w:rsid w:val="000A5F53"/>
    <w:rsid w:val="000A73F0"/>
    <w:rsid w:val="000A79C4"/>
    <w:rsid w:val="000A7B15"/>
    <w:rsid w:val="000B1C3F"/>
    <w:rsid w:val="000B2781"/>
    <w:rsid w:val="000B2EF0"/>
    <w:rsid w:val="000B318B"/>
    <w:rsid w:val="000B347F"/>
    <w:rsid w:val="000B421F"/>
    <w:rsid w:val="000B4B2A"/>
    <w:rsid w:val="000B51FD"/>
    <w:rsid w:val="000B523C"/>
    <w:rsid w:val="000B58C4"/>
    <w:rsid w:val="000B5B27"/>
    <w:rsid w:val="000B6706"/>
    <w:rsid w:val="000B6B11"/>
    <w:rsid w:val="000B6B7E"/>
    <w:rsid w:val="000B7301"/>
    <w:rsid w:val="000B7A1C"/>
    <w:rsid w:val="000C0620"/>
    <w:rsid w:val="000C0B22"/>
    <w:rsid w:val="000C1238"/>
    <w:rsid w:val="000C199D"/>
    <w:rsid w:val="000C1EE5"/>
    <w:rsid w:val="000C1F44"/>
    <w:rsid w:val="000C1F56"/>
    <w:rsid w:val="000C2E8F"/>
    <w:rsid w:val="000C3415"/>
    <w:rsid w:val="000C377B"/>
    <w:rsid w:val="000C3B3E"/>
    <w:rsid w:val="000C41D7"/>
    <w:rsid w:val="000C45E4"/>
    <w:rsid w:val="000C4A0E"/>
    <w:rsid w:val="000C4D6E"/>
    <w:rsid w:val="000C4D75"/>
    <w:rsid w:val="000C5281"/>
    <w:rsid w:val="000C5B58"/>
    <w:rsid w:val="000C6AFF"/>
    <w:rsid w:val="000C6CD4"/>
    <w:rsid w:val="000C78AB"/>
    <w:rsid w:val="000C7A1B"/>
    <w:rsid w:val="000D3A9C"/>
    <w:rsid w:val="000D41B7"/>
    <w:rsid w:val="000D52E8"/>
    <w:rsid w:val="000D55CE"/>
    <w:rsid w:val="000D58C3"/>
    <w:rsid w:val="000D63AA"/>
    <w:rsid w:val="000D7C4D"/>
    <w:rsid w:val="000E011C"/>
    <w:rsid w:val="000E0397"/>
    <w:rsid w:val="000E083D"/>
    <w:rsid w:val="000E186B"/>
    <w:rsid w:val="000E4062"/>
    <w:rsid w:val="000E4195"/>
    <w:rsid w:val="000E4264"/>
    <w:rsid w:val="000E4622"/>
    <w:rsid w:val="000E5EE3"/>
    <w:rsid w:val="000E60F0"/>
    <w:rsid w:val="000E63F6"/>
    <w:rsid w:val="000E69B0"/>
    <w:rsid w:val="000E6B34"/>
    <w:rsid w:val="000E7148"/>
    <w:rsid w:val="000E7908"/>
    <w:rsid w:val="000E7D6F"/>
    <w:rsid w:val="000E7E50"/>
    <w:rsid w:val="000F2095"/>
    <w:rsid w:val="000F21C8"/>
    <w:rsid w:val="000F25EA"/>
    <w:rsid w:val="000F2CAF"/>
    <w:rsid w:val="000F3352"/>
    <w:rsid w:val="000F35C5"/>
    <w:rsid w:val="000F37E7"/>
    <w:rsid w:val="000F3906"/>
    <w:rsid w:val="000F447F"/>
    <w:rsid w:val="000F46AF"/>
    <w:rsid w:val="000F4BF7"/>
    <w:rsid w:val="000F52B1"/>
    <w:rsid w:val="000F5338"/>
    <w:rsid w:val="000F5B35"/>
    <w:rsid w:val="000F5BCD"/>
    <w:rsid w:val="000F74F7"/>
    <w:rsid w:val="000F77EF"/>
    <w:rsid w:val="00100224"/>
    <w:rsid w:val="00100882"/>
    <w:rsid w:val="00101075"/>
    <w:rsid w:val="001012D1"/>
    <w:rsid w:val="001020E9"/>
    <w:rsid w:val="00104431"/>
    <w:rsid w:val="00104BFD"/>
    <w:rsid w:val="00105351"/>
    <w:rsid w:val="00105C01"/>
    <w:rsid w:val="00105F70"/>
    <w:rsid w:val="001068C3"/>
    <w:rsid w:val="0010718D"/>
    <w:rsid w:val="001101CB"/>
    <w:rsid w:val="00110428"/>
    <w:rsid w:val="0011119F"/>
    <w:rsid w:val="00112281"/>
    <w:rsid w:val="00112717"/>
    <w:rsid w:val="001132A2"/>
    <w:rsid w:val="001134EB"/>
    <w:rsid w:val="00113B17"/>
    <w:rsid w:val="00114D3C"/>
    <w:rsid w:val="00115933"/>
    <w:rsid w:val="00115DB8"/>
    <w:rsid w:val="001162DA"/>
    <w:rsid w:val="00117403"/>
    <w:rsid w:val="00117528"/>
    <w:rsid w:val="00117EEF"/>
    <w:rsid w:val="00120106"/>
    <w:rsid w:val="001201E6"/>
    <w:rsid w:val="001209B7"/>
    <w:rsid w:val="00120A7A"/>
    <w:rsid w:val="00120F3F"/>
    <w:rsid w:val="00121876"/>
    <w:rsid w:val="00121E86"/>
    <w:rsid w:val="00122557"/>
    <w:rsid w:val="00122B95"/>
    <w:rsid w:val="001232AC"/>
    <w:rsid w:val="00123470"/>
    <w:rsid w:val="001244F1"/>
    <w:rsid w:val="00124790"/>
    <w:rsid w:val="00124A3D"/>
    <w:rsid w:val="00125BA9"/>
    <w:rsid w:val="001265AE"/>
    <w:rsid w:val="00126610"/>
    <w:rsid w:val="00126629"/>
    <w:rsid w:val="00126BF0"/>
    <w:rsid w:val="00127183"/>
    <w:rsid w:val="00127272"/>
    <w:rsid w:val="00127FA2"/>
    <w:rsid w:val="0013031A"/>
    <w:rsid w:val="0013150D"/>
    <w:rsid w:val="00131671"/>
    <w:rsid w:val="00132221"/>
    <w:rsid w:val="0013384B"/>
    <w:rsid w:val="00133FAF"/>
    <w:rsid w:val="00134099"/>
    <w:rsid w:val="0013426F"/>
    <w:rsid w:val="00134920"/>
    <w:rsid w:val="00135F9E"/>
    <w:rsid w:val="001373B9"/>
    <w:rsid w:val="001408E2"/>
    <w:rsid w:val="00140A90"/>
    <w:rsid w:val="00140FB7"/>
    <w:rsid w:val="00141817"/>
    <w:rsid w:val="00141DB1"/>
    <w:rsid w:val="001425D8"/>
    <w:rsid w:val="00142930"/>
    <w:rsid w:val="0014309C"/>
    <w:rsid w:val="0014391E"/>
    <w:rsid w:val="001439B0"/>
    <w:rsid w:val="00143DB2"/>
    <w:rsid w:val="00145385"/>
    <w:rsid w:val="00145A17"/>
    <w:rsid w:val="001462C3"/>
    <w:rsid w:val="001463FC"/>
    <w:rsid w:val="001466B7"/>
    <w:rsid w:val="00146BB7"/>
    <w:rsid w:val="00151F8B"/>
    <w:rsid w:val="001527F5"/>
    <w:rsid w:val="0015301C"/>
    <w:rsid w:val="001530B0"/>
    <w:rsid w:val="001537A6"/>
    <w:rsid w:val="00153D02"/>
    <w:rsid w:val="001542B5"/>
    <w:rsid w:val="00155E00"/>
    <w:rsid w:val="001563E9"/>
    <w:rsid w:val="00156C41"/>
    <w:rsid w:val="00157BA1"/>
    <w:rsid w:val="00160C16"/>
    <w:rsid w:val="00160F75"/>
    <w:rsid w:val="001621D3"/>
    <w:rsid w:val="00162945"/>
    <w:rsid w:val="00162A43"/>
    <w:rsid w:val="00163549"/>
    <w:rsid w:val="00163E33"/>
    <w:rsid w:val="0016410B"/>
    <w:rsid w:val="00164616"/>
    <w:rsid w:val="00164E4F"/>
    <w:rsid w:val="00164E52"/>
    <w:rsid w:val="00164FA5"/>
    <w:rsid w:val="001652A9"/>
    <w:rsid w:val="00165E60"/>
    <w:rsid w:val="00165EAC"/>
    <w:rsid w:val="00165FA8"/>
    <w:rsid w:val="001678D9"/>
    <w:rsid w:val="001704BD"/>
    <w:rsid w:val="0017231D"/>
    <w:rsid w:val="001726C3"/>
    <w:rsid w:val="00172760"/>
    <w:rsid w:val="00172769"/>
    <w:rsid w:val="00172DDF"/>
    <w:rsid w:val="00173A94"/>
    <w:rsid w:val="00174386"/>
    <w:rsid w:val="00174465"/>
    <w:rsid w:val="001746F0"/>
    <w:rsid w:val="00174940"/>
    <w:rsid w:val="00175867"/>
    <w:rsid w:val="00175E32"/>
    <w:rsid w:val="00176F20"/>
    <w:rsid w:val="00177E6A"/>
    <w:rsid w:val="00177E6F"/>
    <w:rsid w:val="00180384"/>
    <w:rsid w:val="0018043B"/>
    <w:rsid w:val="001804F7"/>
    <w:rsid w:val="0018098A"/>
    <w:rsid w:val="0018121D"/>
    <w:rsid w:val="0018287E"/>
    <w:rsid w:val="00182973"/>
    <w:rsid w:val="001839D2"/>
    <w:rsid w:val="001848E1"/>
    <w:rsid w:val="001849B7"/>
    <w:rsid w:val="00184CCA"/>
    <w:rsid w:val="00184FDE"/>
    <w:rsid w:val="001855D7"/>
    <w:rsid w:val="00185893"/>
    <w:rsid w:val="00185D6D"/>
    <w:rsid w:val="001874A2"/>
    <w:rsid w:val="00187D97"/>
    <w:rsid w:val="00190150"/>
    <w:rsid w:val="001902E6"/>
    <w:rsid w:val="0019136C"/>
    <w:rsid w:val="001914B4"/>
    <w:rsid w:val="001915FE"/>
    <w:rsid w:val="00191AAF"/>
    <w:rsid w:val="00191E23"/>
    <w:rsid w:val="00191FC6"/>
    <w:rsid w:val="001924C2"/>
    <w:rsid w:val="00193779"/>
    <w:rsid w:val="00193B90"/>
    <w:rsid w:val="00194288"/>
    <w:rsid w:val="00194E75"/>
    <w:rsid w:val="00194E92"/>
    <w:rsid w:val="00195609"/>
    <w:rsid w:val="001961A7"/>
    <w:rsid w:val="00196F79"/>
    <w:rsid w:val="00197EEC"/>
    <w:rsid w:val="001A17B1"/>
    <w:rsid w:val="001A3FD6"/>
    <w:rsid w:val="001A417A"/>
    <w:rsid w:val="001A5EF7"/>
    <w:rsid w:val="001A6968"/>
    <w:rsid w:val="001A6C4D"/>
    <w:rsid w:val="001A7FF5"/>
    <w:rsid w:val="001B019E"/>
    <w:rsid w:val="001B0A3C"/>
    <w:rsid w:val="001B0D5F"/>
    <w:rsid w:val="001B1185"/>
    <w:rsid w:val="001B17CC"/>
    <w:rsid w:val="001B1AE5"/>
    <w:rsid w:val="001B1EF3"/>
    <w:rsid w:val="001B201C"/>
    <w:rsid w:val="001B2975"/>
    <w:rsid w:val="001B2B66"/>
    <w:rsid w:val="001B317D"/>
    <w:rsid w:val="001B361C"/>
    <w:rsid w:val="001B3950"/>
    <w:rsid w:val="001B4AE8"/>
    <w:rsid w:val="001B4D70"/>
    <w:rsid w:val="001B6499"/>
    <w:rsid w:val="001B6BA3"/>
    <w:rsid w:val="001B7370"/>
    <w:rsid w:val="001C0A83"/>
    <w:rsid w:val="001C0DFD"/>
    <w:rsid w:val="001C157E"/>
    <w:rsid w:val="001C21FC"/>
    <w:rsid w:val="001C2513"/>
    <w:rsid w:val="001C25AE"/>
    <w:rsid w:val="001C4255"/>
    <w:rsid w:val="001C43AF"/>
    <w:rsid w:val="001C46D8"/>
    <w:rsid w:val="001C4C13"/>
    <w:rsid w:val="001C6340"/>
    <w:rsid w:val="001C647D"/>
    <w:rsid w:val="001C6CB0"/>
    <w:rsid w:val="001C6F57"/>
    <w:rsid w:val="001C729C"/>
    <w:rsid w:val="001D02B6"/>
    <w:rsid w:val="001D0483"/>
    <w:rsid w:val="001D07FC"/>
    <w:rsid w:val="001D0968"/>
    <w:rsid w:val="001D0AC7"/>
    <w:rsid w:val="001D0E16"/>
    <w:rsid w:val="001D13D1"/>
    <w:rsid w:val="001D1452"/>
    <w:rsid w:val="001D1A9A"/>
    <w:rsid w:val="001D24DA"/>
    <w:rsid w:val="001D4275"/>
    <w:rsid w:val="001D449C"/>
    <w:rsid w:val="001D4C3D"/>
    <w:rsid w:val="001D5CEA"/>
    <w:rsid w:val="001D6810"/>
    <w:rsid w:val="001D6F25"/>
    <w:rsid w:val="001E097C"/>
    <w:rsid w:val="001E288B"/>
    <w:rsid w:val="001E46B9"/>
    <w:rsid w:val="001E5048"/>
    <w:rsid w:val="001E52F8"/>
    <w:rsid w:val="001E563A"/>
    <w:rsid w:val="001E6B31"/>
    <w:rsid w:val="001E6F69"/>
    <w:rsid w:val="001F0151"/>
    <w:rsid w:val="001F0555"/>
    <w:rsid w:val="001F1B95"/>
    <w:rsid w:val="001F2CB1"/>
    <w:rsid w:val="001F2E6A"/>
    <w:rsid w:val="001F33D9"/>
    <w:rsid w:val="001F38C3"/>
    <w:rsid w:val="001F40E7"/>
    <w:rsid w:val="001F5200"/>
    <w:rsid w:val="001F5483"/>
    <w:rsid w:val="001F5B0E"/>
    <w:rsid w:val="001F65E5"/>
    <w:rsid w:val="001F6B47"/>
    <w:rsid w:val="0020066C"/>
    <w:rsid w:val="00200695"/>
    <w:rsid w:val="002007ED"/>
    <w:rsid w:val="00201BD8"/>
    <w:rsid w:val="00201F0D"/>
    <w:rsid w:val="002028B3"/>
    <w:rsid w:val="00202D50"/>
    <w:rsid w:val="002036CE"/>
    <w:rsid w:val="00204819"/>
    <w:rsid w:val="0020550F"/>
    <w:rsid w:val="00205A32"/>
    <w:rsid w:val="00205B08"/>
    <w:rsid w:val="00206FDE"/>
    <w:rsid w:val="00207349"/>
    <w:rsid w:val="00210618"/>
    <w:rsid w:val="00210875"/>
    <w:rsid w:val="00210CFE"/>
    <w:rsid w:val="0021123A"/>
    <w:rsid w:val="002119AB"/>
    <w:rsid w:val="00212FE0"/>
    <w:rsid w:val="00213D6B"/>
    <w:rsid w:val="002140A5"/>
    <w:rsid w:val="0021428F"/>
    <w:rsid w:val="002146C0"/>
    <w:rsid w:val="00214CBF"/>
    <w:rsid w:val="00214F06"/>
    <w:rsid w:val="0021569D"/>
    <w:rsid w:val="00215E87"/>
    <w:rsid w:val="00216131"/>
    <w:rsid w:val="00216304"/>
    <w:rsid w:val="00216475"/>
    <w:rsid w:val="00216AA2"/>
    <w:rsid w:val="00217753"/>
    <w:rsid w:val="00217BD6"/>
    <w:rsid w:val="002206DF"/>
    <w:rsid w:val="00221C44"/>
    <w:rsid w:val="002220C4"/>
    <w:rsid w:val="00223817"/>
    <w:rsid w:val="002241DB"/>
    <w:rsid w:val="0022453E"/>
    <w:rsid w:val="00227761"/>
    <w:rsid w:val="002304B6"/>
    <w:rsid w:val="002311C7"/>
    <w:rsid w:val="00231885"/>
    <w:rsid w:val="00232AD5"/>
    <w:rsid w:val="00232F84"/>
    <w:rsid w:val="00233AB9"/>
    <w:rsid w:val="00233C1C"/>
    <w:rsid w:val="0023447C"/>
    <w:rsid w:val="00235544"/>
    <w:rsid w:val="002356DE"/>
    <w:rsid w:val="002358AF"/>
    <w:rsid w:val="002358BD"/>
    <w:rsid w:val="00236B15"/>
    <w:rsid w:val="00237B56"/>
    <w:rsid w:val="00241295"/>
    <w:rsid w:val="002413E6"/>
    <w:rsid w:val="00241CD0"/>
    <w:rsid w:val="00242156"/>
    <w:rsid w:val="00242ECB"/>
    <w:rsid w:val="0024311B"/>
    <w:rsid w:val="00244160"/>
    <w:rsid w:val="00244218"/>
    <w:rsid w:val="0024446D"/>
    <w:rsid w:val="002448C5"/>
    <w:rsid w:val="00245CF6"/>
    <w:rsid w:val="0024649E"/>
    <w:rsid w:val="00246A7C"/>
    <w:rsid w:val="00246B62"/>
    <w:rsid w:val="00247A34"/>
    <w:rsid w:val="00247D68"/>
    <w:rsid w:val="0025081B"/>
    <w:rsid w:val="00250AD5"/>
    <w:rsid w:val="002526E2"/>
    <w:rsid w:val="00253261"/>
    <w:rsid w:val="00253360"/>
    <w:rsid w:val="002533FD"/>
    <w:rsid w:val="00254309"/>
    <w:rsid w:val="00254E7A"/>
    <w:rsid w:val="00255B34"/>
    <w:rsid w:val="0026004A"/>
    <w:rsid w:val="0026080E"/>
    <w:rsid w:val="002623C5"/>
    <w:rsid w:val="00262B90"/>
    <w:rsid w:val="00262ECB"/>
    <w:rsid w:val="00263D34"/>
    <w:rsid w:val="0026464A"/>
    <w:rsid w:val="00264956"/>
    <w:rsid w:val="00264D45"/>
    <w:rsid w:val="00266ACE"/>
    <w:rsid w:val="00266C0F"/>
    <w:rsid w:val="00270198"/>
    <w:rsid w:val="0027075A"/>
    <w:rsid w:val="00270BB5"/>
    <w:rsid w:val="00270F7E"/>
    <w:rsid w:val="00271E6E"/>
    <w:rsid w:val="00272780"/>
    <w:rsid w:val="00273B93"/>
    <w:rsid w:val="00273D87"/>
    <w:rsid w:val="002740BB"/>
    <w:rsid w:val="00275A75"/>
    <w:rsid w:val="00275A8E"/>
    <w:rsid w:val="0027655F"/>
    <w:rsid w:val="002767A9"/>
    <w:rsid w:val="00280133"/>
    <w:rsid w:val="00280846"/>
    <w:rsid w:val="00280AA3"/>
    <w:rsid w:val="00280E4B"/>
    <w:rsid w:val="00281A82"/>
    <w:rsid w:val="00282466"/>
    <w:rsid w:val="00283188"/>
    <w:rsid w:val="00283590"/>
    <w:rsid w:val="002836C5"/>
    <w:rsid w:val="00283894"/>
    <w:rsid w:val="00283D8E"/>
    <w:rsid w:val="00284756"/>
    <w:rsid w:val="00284A5D"/>
    <w:rsid w:val="0028665F"/>
    <w:rsid w:val="00287B87"/>
    <w:rsid w:val="00290D07"/>
    <w:rsid w:val="00290D2B"/>
    <w:rsid w:val="0029186F"/>
    <w:rsid w:val="00291E85"/>
    <w:rsid w:val="00292151"/>
    <w:rsid w:val="002935F5"/>
    <w:rsid w:val="002939E8"/>
    <w:rsid w:val="00293B7E"/>
    <w:rsid w:val="00294016"/>
    <w:rsid w:val="00295322"/>
    <w:rsid w:val="00295CAC"/>
    <w:rsid w:val="00295CCB"/>
    <w:rsid w:val="00295E12"/>
    <w:rsid w:val="002961F2"/>
    <w:rsid w:val="002967E9"/>
    <w:rsid w:val="002971AE"/>
    <w:rsid w:val="00297729"/>
    <w:rsid w:val="002A08E8"/>
    <w:rsid w:val="002A1891"/>
    <w:rsid w:val="002A19FC"/>
    <w:rsid w:val="002A1CEB"/>
    <w:rsid w:val="002A1F55"/>
    <w:rsid w:val="002A2997"/>
    <w:rsid w:val="002A30D7"/>
    <w:rsid w:val="002A33A6"/>
    <w:rsid w:val="002A3CEE"/>
    <w:rsid w:val="002A402A"/>
    <w:rsid w:val="002A4498"/>
    <w:rsid w:val="002A4B79"/>
    <w:rsid w:val="002A51DE"/>
    <w:rsid w:val="002A616F"/>
    <w:rsid w:val="002A6D4B"/>
    <w:rsid w:val="002A6E40"/>
    <w:rsid w:val="002A6E69"/>
    <w:rsid w:val="002B0162"/>
    <w:rsid w:val="002B0246"/>
    <w:rsid w:val="002B156B"/>
    <w:rsid w:val="002B164A"/>
    <w:rsid w:val="002B196F"/>
    <w:rsid w:val="002B2228"/>
    <w:rsid w:val="002B27E8"/>
    <w:rsid w:val="002B2A54"/>
    <w:rsid w:val="002B2F24"/>
    <w:rsid w:val="002B3686"/>
    <w:rsid w:val="002B3715"/>
    <w:rsid w:val="002B42AA"/>
    <w:rsid w:val="002B4D2A"/>
    <w:rsid w:val="002B4DDB"/>
    <w:rsid w:val="002B5353"/>
    <w:rsid w:val="002B58CD"/>
    <w:rsid w:val="002B5FB4"/>
    <w:rsid w:val="002B69B4"/>
    <w:rsid w:val="002B7444"/>
    <w:rsid w:val="002B7BFE"/>
    <w:rsid w:val="002C0404"/>
    <w:rsid w:val="002C087E"/>
    <w:rsid w:val="002C0C26"/>
    <w:rsid w:val="002C1083"/>
    <w:rsid w:val="002C21F4"/>
    <w:rsid w:val="002C29FE"/>
    <w:rsid w:val="002C3AB1"/>
    <w:rsid w:val="002C3F1A"/>
    <w:rsid w:val="002C4424"/>
    <w:rsid w:val="002C46F9"/>
    <w:rsid w:val="002C5828"/>
    <w:rsid w:val="002C5C6A"/>
    <w:rsid w:val="002C60B0"/>
    <w:rsid w:val="002C642E"/>
    <w:rsid w:val="002C6638"/>
    <w:rsid w:val="002C6C6B"/>
    <w:rsid w:val="002D0353"/>
    <w:rsid w:val="002D0890"/>
    <w:rsid w:val="002D09CF"/>
    <w:rsid w:val="002D0C8D"/>
    <w:rsid w:val="002D0E56"/>
    <w:rsid w:val="002D1154"/>
    <w:rsid w:val="002D15F4"/>
    <w:rsid w:val="002D2365"/>
    <w:rsid w:val="002D2C2C"/>
    <w:rsid w:val="002D2D70"/>
    <w:rsid w:val="002D4983"/>
    <w:rsid w:val="002D5A91"/>
    <w:rsid w:val="002D5E85"/>
    <w:rsid w:val="002D5EF5"/>
    <w:rsid w:val="002D78C0"/>
    <w:rsid w:val="002E0AFC"/>
    <w:rsid w:val="002E15E0"/>
    <w:rsid w:val="002E1CFB"/>
    <w:rsid w:val="002E258C"/>
    <w:rsid w:val="002E29B3"/>
    <w:rsid w:val="002E4A06"/>
    <w:rsid w:val="002E5414"/>
    <w:rsid w:val="002E64BA"/>
    <w:rsid w:val="002E7403"/>
    <w:rsid w:val="002F0E3A"/>
    <w:rsid w:val="002F1175"/>
    <w:rsid w:val="002F129F"/>
    <w:rsid w:val="002F12B4"/>
    <w:rsid w:val="002F20C2"/>
    <w:rsid w:val="002F2980"/>
    <w:rsid w:val="002F2E9E"/>
    <w:rsid w:val="002F30E9"/>
    <w:rsid w:val="002F3495"/>
    <w:rsid w:val="002F39B8"/>
    <w:rsid w:val="002F42BC"/>
    <w:rsid w:val="002F486D"/>
    <w:rsid w:val="002F524C"/>
    <w:rsid w:val="002F7C96"/>
    <w:rsid w:val="002F7E37"/>
    <w:rsid w:val="003004B8"/>
    <w:rsid w:val="00300FC0"/>
    <w:rsid w:val="003017C3"/>
    <w:rsid w:val="0030180B"/>
    <w:rsid w:val="003023E5"/>
    <w:rsid w:val="00302ADF"/>
    <w:rsid w:val="003032DF"/>
    <w:rsid w:val="0030346D"/>
    <w:rsid w:val="0030393F"/>
    <w:rsid w:val="003041A0"/>
    <w:rsid w:val="00305D0C"/>
    <w:rsid w:val="003076F0"/>
    <w:rsid w:val="00307738"/>
    <w:rsid w:val="00310944"/>
    <w:rsid w:val="00311592"/>
    <w:rsid w:val="003115A3"/>
    <w:rsid w:val="0031279D"/>
    <w:rsid w:val="003139F8"/>
    <w:rsid w:val="00315ED7"/>
    <w:rsid w:val="003160D9"/>
    <w:rsid w:val="00316682"/>
    <w:rsid w:val="00316A4E"/>
    <w:rsid w:val="00316AAE"/>
    <w:rsid w:val="00316F91"/>
    <w:rsid w:val="00317967"/>
    <w:rsid w:val="00320D5A"/>
    <w:rsid w:val="00321552"/>
    <w:rsid w:val="003224A3"/>
    <w:rsid w:val="003228A9"/>
    <w:rsid w:val="00323016"/>
    <w:rsid w:val="0032334B"/>
    <w:rsid w:val="00324CE2"/>
    <w:rsid w:val="00324FAE"/>
    <w:rsid w:val="00326271"/>
    <w:rsid w:val="00327683"/>
    <w:rsid w:val="003279AA"/>
    <w:rsid w:val="00327B54"/>
    <w:rsid w:val="00331D23"/>
    <w:rsid w:val="003333BA"/>
    <w:rsid w:val="00333C0C"/>
    <w:rsid w:val="00333E51"/>
    <w:rsid w:val="00334DBA"/>
    <w:rsid w:val="0033595D"/>
    <w:rsid w:val="0033598C"/>
    <w:rsid w:val="00335F21"/>
    <w:rsid w:val="00336452"/>
    <w:rsid w:val="0033650D"/>
    <w:rsid w:val="00336B8B"/>
    <w:rsid w:val="003373FE"/>
    <w:rsid w:val="0033740F"/>
    <w:rsid w:val="00337D66"/>
    <w:rsid w:val="0034169C"/>
    <w:rsid w:val="00341955"/>
    <w:rsid w:val="00344068"/>
    <w:rsid w:val="003453FC"/>
    <w:rsid w:val="00345F5A"/>
    <w:rsid w:val="003465B2"/>
    <w:rsid w:val="00346D72"/>
    <w:rsid w:val="00347555"/>
    <w:rsid w:val="00347A3B"/>
    <w:rsid w:val="00350520"/>
    <w:rsid w:val="00350F09"/>
    <w:rsid w:val="003516C3"/>
    <w:rsid w:val="00351EF5"/>
    <w:rsid w:val="00351F32"/>
    <w:rsid w:val="00352122"/>
    <w:rsid w:val="0035255A"/>
    <w:rsid w:val="003528C1"/>
    <w:rsid w:val="0035332F"/>
    <w:rsid w:val="00353898"/>
    <w:rsid w:val="00353B35"/>
    <w:rsid w:val="00353DEE"/>
    <w:rsid w:val="00353E36"/>
    <w:rsid w:val="0035401C"/>
    <w:rsid w:val="003543A2"/>
    <w:rsid w:val="003543EA"/>
    <w:rsid w:val="003548B4"/>
    <w:rsid w:val="00354F06"/>
    <w:rsid w:val="003555CF"/>
    <w:rsid w:val="00356A00"/>
    <w:rsid w:val="00356E3A"/>
    <w:rsid w:val="0035784F"/>
    <w:rsid w:val="00357FD7"/>
    <w:rsid w:val="0035F305"/>
    <w:rsid w:val="00360097"/>
    <w:rsid w:val="00360CD6"/>
    <w:rsid w:val="00361198"/>
    <w:rsid w:val="003613DB"/>
    <w:rsid w:val="003618E5"/>
    <w:rsid w:val="0036248A"/>
    <w:rsid w:val="003627BB"/>
    <w:rsid w:val="003629F9"/>
    <w:rsid w:val="0036323B"/>
    <w:rsid w:val="003634A0"/>
    <w:rsid w:val="0036369C"/>
    <w:rsid w:val="00363C2D"/>
    <w:rsid w:val="003640C0"/>
    <w:rsid w:val="00364400"/>
    <w:rsid w:val="0036461A"/>
    <w:rsid w:val="003650A9"/>
    <w:rsid w:val="003658E5"/>
    <w:rsid w:val="00365AC4"/>
    <w:rsid w:val="00365F07"/>
    <w:rsid w:val="0036640F"/>
    <w:rsid w:val="00366B64"/>
    <w:rsid w:val="00366C74"/>
    <w:rsid w:val="00366E4E"/>
    <w:rsid w:val="003678B7"/>
    <w:rsid w:val="00367BD4"/>
    <w:rsid w:val="003701AC"/>
    <w:rsid w:val="003708D4"/>
    <w:rsid w:val="00371577"/>
    <w:rsid w:val="00371F4A"/>
    <w:rsid w:val="00371FD5"/>
    <w:rsid w:val="003728E1"/>
    <w:rsid w:val="00373384"/>
    <w:rsid w:val="0037368C"/>
    <w:rsid w:val="0037413D"/>
    <w:rsid w:val="0037554D"/>
    <w:rsid w:val="00375E1A"/>
    <w:rsid w:val="00375E75"/>
    <w:rsid w:val="00376488"/>
    <w:rsid w:val="0037713A"/>
    <w:rsid w:val="00380F5C"/>
    <w:rsid w:val="00381059"/>
    <w:rsid w:val="003827B0"/>
    <w:rsid w:val="003828FA"/>
    <w:rsid w:val="00383809"/>
    <w:rsid w:val="00383B31"/>
    <w:rsid w:val="00384F3F"/>
    <w:rsid w:val="00386EEC"/>
    <w:rsid w:val="003879CC"/>
    <w:rsid w:val="00390084"/>
    <w:rsid w:val="0039098A"/>
    <w:rsid w:val="0039189C"/>
    <w:rsid w:val="003926F6"/>
    <w:rsid w:val="00392E15"/>
    <w:rsid w:val="003930DE"/>
    <w:rsid w:val="003938A0"/>
    <w:rsid w:val="00393B20"/>
    <w:rsid w:val="00393E88"/>
    <w:rsid w:val="003943D0"/>
    <w:rsid w:val="003954C6"/>
    <w:rsid w:val="003958EC"/>
    <w:rsid w:val="0039646F"/>
    <w:rsid w:val="00396CBD"/>
    <w:rsid w:val="00397461"/>
    <w:rsid w:val="00397714"/>
    <w:rsid w:val="0039779A"/>
    <w:rsid w:val="003A04D7"/>
    <w:rsid w:val="003A06C1"/>
    <w:rsid w:val="003A13EB"/>
    <w:rsid w:val="003A2314"/>
    <w:rsid w:val="003A2B23"/>
    <w:rsid w:val="003A3627"/>
    <w:rsid w:val="003A45EB"/>
    <w:rsid w:val="003A4F22"/>
    <w:rsid w:val="003A560A"/>
    <w:rsid w:val="003A5B69"/>
    <w:rsid w:val="003A626D"/>
    <w:rsid w:val="003A6474"/>
    <w:rsid w:val="003A66F7"/>
    <w:rsid w:val="003A6A9D"/>
    <w:rsid w:val="003A6AF4"/>
    <w:rsid w:val="003A6E39"/>
    <w:rsid w:val="003A7080"/>
    <w:rsid w:val="003A7DC5"/>
    <w:rsid w:val="003A7F29"/>
    <w:rsid w:val="003B0025"/>
    <w:rsid w:val="003B01D7"/>
    <w:rsid w:val="003B0D7D"/>
    <w:rsid w:val="003B0EB4"/>
    <w:rsid w:val="003B1350"/>
    <w:rsid w:val="003B1F87"/>
    <w:rsid w:val="003B2566"/>
    <w:rsid w:val="003B2B1F"/>
    <w:rsid w:val="003B3BCA"/>
    <w:rsid w:val="003B4AEE"/>
    <w:rsid w:val="003B538F"/>
    <w:rsid w:val="003B53CB"/>
    <w:rsid w:val="003B53EE"/>
    <w:rsid w:val="003B597D"/>
    <w:rsid w:val="003B5EAC"/>
    <w:rsid w:val="003B69B6"/>
    <w:rsid w:val="003B745E"/>
    <w:rsid w:val="003B776D"/>
    <w:rsid w:val="003C1FE8"/>
    <w:rsid w:val="003C25CD"/>
    <w:rsid w:val="003C2851"/>
    <w:rsid w:val="003C29C5"/>
    <w:rsid w:val="003C3226"/>
    <w:rsid w:val="003C32C3"/>
    <w:rsid w:val="003C44A7"/>
    <w:rsid w:val="003C5101"/>
    <w:rsid w:val="003C68D9"/>
    <w:rsid w:val="003C6BAD"/>
    <w:rsid w:val="003C6DAD"/>
    <w:rsid w:val="003C79BB"/>
    <w:rsid w:val="003C7BC9"/>
    <w:rsid w:val="003D022C"/>
    <w:rsid w:val="003D0441"/>
    <w:rsid w:val="003D0893"/>
    <w:rsid w:val="003D16C5"/>
    <w:rsid w:val="003D1CD9"/>
    <w:rsid w:val="003D2AF9"/>
    <w:rsid w:val="003D2D07"/>
    <w:rsid w:val="003D2F35"/>
    <w:rsid w:val="003D3B21"/>
    <w:rsid w:val="003D5F9D"/>
    <w:rsid w:val="003E02DF"/>
    <w:rsid w:val="003E0A31"/>
    <w:rsid w:val="003E1045"/>
    <w:rsid w:val="003E2266"/>
    <w:rsid w:val="003E2C08"/>
    <w:rsid w:val="003E2E3E"/>
    <w:rsid w:val="003E3C87"/>
    <w:rsid w:val="003E3E5D"/>
    <w:rsid w:val="003E4BBF"/>
    <w:rsid w:val="003E5BED"/>
    <w:rsid w:val="003E5CA7"/>
    <w:rsid w:val="003E6133"/>
    <w:rsid w:val="003E68C8"/>
    <w:rsid w:val="003E6C2D"/>
    <w:rsid w:val="003E74D7"/>
    <w:rsid w:val="003E7F16"/>
    <w:rsid w:val="003F06AA"/>
    <w:rsid w:val="003F11DF"/>
    <w:rsid w:val="003F1418"/>
    <w:rsid w:val="003F19F2"/>
    <w:rsid w:val="003F1CAA"/>
    <w:rsid w:val="003F2C76"/>
    <w:rsid w:val="003F35CE"/>
    <w:rsid w:val="003F39CB"/>
    <w:rsid w:val="003F39FE"/>
    <w:rsid w:val="003F3ECA"/>
    <w:rsid w:val="003F465B"/>
    <w:rsid w:val="003F4B12"/>
    <w:rsid w:val="003F54D7"/>
    <w:rsid w:val="003F5EF1"/>
    <w:rsid w:val="003F62A7"/>
    <w:rsid w:val="003F63E1"/>
    <w:rsid w:val="003F68A7"/>
    <w:rsid w:val="003F695E"/>
    <w:rsid w:val="00400334"/>
    <w:rsid w:val="0040124B"/>
    <w:rsid w:val="004013EA"/>
    <w:rsid w:val="004021DF"/>
    <w:rsid w:val="0040287D"/>
    <w:rsid w:val="004033DA"/>
    <w:rsid w:val="004038BA"/>
    <w:rsid w:val="0040445B"/>
    <w:rsid w:val="0040466A"/>
    <w:rsid w:val="0040500D"/>
    <w:rsid w:val="004058E4"/>
    <w:rsid w:val="00405B2C"/>
    <w:rsid w:val="00406AC3"/>
    <w:rsid w:val="004077B8"/>
    <w:rsid w:val="00407A20"/>
    <w:rsid w:val="00407F88"/>
    <w:rsid w:val="00410568"/>
    <w:rsid w:val="004117F0"/>
    <w:rsid w:val="00411B41"/>
    <w:rsid w:val="004122D9"/>
    <w:rsid w:val="0041258A"/>
    <w:rsid w:val="004134D9"/>
    <w:rsid w:val="00413ED0"/>
    <w:rsid w:val="00414536"/>
    <w:rsid w:val="00414608"/>
    <w:rsid w:val="00414AA3"/>
    <w:rsid w:val="0041535F"/>
    <w:rsid w:val="004161EE"/>
    <w:rsid w:val="004162A3"/>
    <w:rsid w:val="0041742D"/>
    <w:rsid w:val="00417BC7"/>
    <w:rsid w:val="00420A85"/>
    <w:rsid w:val="004230B7"/>
    <w:rsid w:val="00423426"/>
    <w:rsid w:val="004236E9"/>
    <w:rsid w:val="004238CE"/>
    <w:rsid w:val="0042413D"/>
    <w:rsid w:val="00424708"/>
    <w:rsid w:val="00426C13"/>
    <w:rsid w:val="0042736E"/>
    <w:rsid w:val="0042743C"/>
    <w:rsid w:val="004305CA"/>
    <w:rsid w:val="0043402E"/>
    <w:rsid w:val="004344AE"/>
    <w:rsid w:val="00434CC8"/>
    <w:rsid w:val="004355BE"/>
    <w:rsid w:val="004356FD"/>
    <w:rsid w:val="00436EC6"/>
    <w:rsid w:val="0043797D"/>
    <w:rsid w:val="00437C4C"/>
    <w:rsid w:val="00440E9D"/>
    <w:rsid w:val="00441994"/>
    <w:rsid w:val="00442160"/>
    <w:rsid w:val="00443297"/>
    <w:rsid w:val="00444EE4"/>
    <w:rsid w:val="00444F01"/>
    <w:rsid w:val="00445513"/>
    <w:rsid w:val="00445606"/>
    <w:rsid w:val="004456F1"/>
    <w:rsid w:val="00446719"/>
    <w:rsid w:val="004468B4"/>
    <w:rsid w:val="00450984"/>
    <w:rsid w:val="004510BB"/>
    <w:rsid w:val="00451808"/>
    <w:rsid w:val="00451AF2"/>
    <w:rsid w:val="00451D3B"/>
    <w:rsid w:val="004527B1"/>
    <w:rsid w:val="00452EF2"/>
    <w:rsid w:val="00453155"/>
    <w:rsid w:val="00453950"/>
    <w:rsid w:val="004561EE"/>
    <w:rsid w:val="0045645A"/>
    <w:rsid w:val="004576CD"/>
    <w:rsid w:val="00457A6E"/>
    <w:rsid w:val="00457D9B"/>
    <w:rsid w:val="00460454"/>
    <w:rsid w:val="00460722"/>
    <w:rsid w:val="00461342"/>
    <w:rsid w:val="00461794"/>
    <w:rsid w:val="00462215"/>
    <w:rsid w:val="00462663"/>
    <w:rsid w:val="004635CB"/>
    <w:rsid w:val="004648AA"/>
    <w:rsid w:val="00464B72"/>
    <w:rsid w:val="00465B15"/>
    <w:rsid w:val="00465E6F"/>
    <w:rsid w:val="00471499"/>
    <w:rsid w:val="00471849"/>
    <w:rsid w:val="00471A2F"/>
    <w:rsid w:val="00472258"/>
    <w:rsid w:val="00472845"/>
    <w:rsid w:val="004739D1"/>
    <w:rsid w:val="00473DD9"/>
    <w:rsid w:val="00474803"/>
    <w:rsid w:val="0047483B"/>
    <w:rsid w:val="00474AF5"/>
    <w:rsid w:val="0047512E"/>
    <w:rsid w:val="00476B27"/>
    <w:rsid w:val="00477084"/>
    <w:rsid w:val="00477299"/>
    <w:rsid w:val="00477CA8"/>
    <w:rsid w:val="004800D9"/>
    <w:rsid w:val="00480DA3"/>
    <w:rsid w:val="00482B01"/>
    <w:rsid w:val="00483C80"/>
    <w:rsid w:val="00483E5F"/>
    <w:rsid w:val="00483EAF"/>
    <w:rsid w:val="004843FD"/>
    <w:rsid w:val="004844F7"/>
    <w:rsid w:val="0048509E"/>
    <w:rsid w:val="00485FF1"/>
    <w:rsid w:val="00486C66"/>
    <w:rsid w:val="0048701F"/>
    <w:rsid w:val="0048770A"/>
    <w:rsid w:val="00487B19"/>
    <w:rsid w:val="00487B7D"/>
    <w:rsid w:val="00487D44"/>
    <w:rsid w:val="00492505"/>
    <w:rsid w:val="00492D24"/>
    <w:rsid w:val="00492EDF"/>
    <w:rsid w:val="00493231"/>
    <w:rsid w:val="0049381B"/>
    <w:rsid w:val="00494A17"/>
    <w:rsid w:val="00494B1D"/>
    <w:rsid w:val="0049528A"/>
    <w:rsid w:val="00495E4C"/>
    <w:rsid w:val="00496468"/>
    <w:rsid w:val="00496798"/>
    <w:rsid w:val="00496AED"/>
    <w:rsid w:val="00497D1B"/>
    <w:rsid w:val="004A0016"/>
    <w:rsid w:val="004A05D1"/>
    <w:rsid w:val="004A3424"/>
    <w:rsid w:val="004A3466"/>
    <w:rsid w:val="004A3E4B"/>
    <w:rsid w:val="004A43C2"/>
    <w:rsid w:val="004A554A"/>
    <w:rsid w:val="004A634C"/>
    <w:rsid w:val="004A6A0C"/>
    <w:rsid w:val="004A7720"/>
    <w:rsid w:val="004B01C1"/>
    <w:rsid w:val="004B0451"/>
    <w:rsid w:val="004B0916"/>
    <w:rsid w:val="004B0B79"/>
    <w:rsid w:val="004B18A3"/>
    <w:rsid w:val="004B2A23"/>
    <w:rsid w:val="004B2FB4"/>
    <w:rsid w:val="004B37E1"/>
    <w:rsid w:val="004B3D0E"/>
    <w:rsid w:val="004B3F15"/>
    <w:rsid w:val="004B58FE"/>
    <w:rsid w:val="004B73EE"/>
    <w:rsid w:val="004B7711"/>
    <w:rsid w:val="004C117B"/>
    <w:rsid w:val="004C19BD"/>
    <w:rsid w:val="004C2191"/>
    <w:rsid w:val="004C2D60"/>
    <w:rsid w:val="004C412A"/>
    <w:rsid w:val="004C507C"/>
    <w:rsid w:val="004C551B"/>
    <w:rsid w:val="004C608C"/>
    <w:rsid w:val="004C6C29"/>
    <w:rsid w:val="004C6CB5"/>
    <w:rsid w:val="004C76C8"/>
    <w:rsid w:val="004D1057"/>
    <w:rsid w:val="004D1302"/>
    <w:rsid w:val="004D190A"/>
    <w:rsid w:val="004D2B1C"/>
    <w:rsid w:val="004D35D1"/>
    <w:rsid w:val="004D3CE2"/>
    <w:rsid w:val="004D3D2A"/>
    <w:rsid w:val="004D40C5"/>
    <w:rsid w:val="004D4324"/>
    <w:rsid w:val="004D59E1"/>
    <w:rsid w:val="004D5A46"/>
    <w:rsid w:val="004D61BC"/>
    <w:rsid w:val="004D655B"/>
    <w:rsid w:val="004D7217"/>
    <w:rsid w:val="004D783C"/>
    <w:rsid w:val="004E0DD9"/>
    <w:rsid w:val="004E1226"/>
    <w:rsid w:val="004E1317"/>
    <w:rsid w:val="004E1ED8"/>
    <w:rsid w:val="004E313E"/>
    <w:rsid w:val="004E342F"/>
    <w:rsid w:val="004E4085"/>
    <w:rsid w:val="004E5997"/>
    <w:rsid w:val="004E5BCC"/>
    <w:rsid w:val="004E6057"/>
    <w:rsid w:val="004E66CB"/>
    <w:rsid w:val="004F04FD"/>
    <w:rsid w:val="004F0706"/>
    <w:rsid w:val="004F1F5A"/>
    <w:rsid w:val="004F3686"/>
    <w:rsid w:val="004F45CB"/>
    <w:rsid w:val="004F4823"/>
    <w:rsid w:val="004F485E"/>
    <w:rsid w:val="004F4F2D"/>
    <w:rsid w:val="004F511A"/>
    <w:rsid w:val="004F52F1"/>
    <w:rsid w:val="004F53BC"/>
    <w:rsid w:val="004F544B"/>
    <w:rsid w:val="004F587D"/>
    <w:rsid w:val="004F5885"/>
    <w:rsid w:val="004F63A8"/>
    <w:rsid w:val="004F6C37"/>
    <w:rsid w:val="004F6CB9"/>
    <w:rsid w:val="004F6CE7"/>
    <w:rsid w:val="004F72B1"/>
    <w:rsid w:val="004F7569"/>
    <w:rsid w:val="004F76FE"/>
    <w:rsid w:val="005006A7"/>
    <w:rsid w:val="00501896"/>
    <w:rsid w:val="00501FBD"/>
    <w:rsid w:val="0050230C"/>
    <w:rsid w:val="005034D2"/>
    <w:rsid w:val="005045FD"/>
    <w:rsid w:val="005047AE"/>
    <w:rsid w:val="00505029"/>
    <w:rsid w:val="00505A32"/>
    <w:rsid w:val="005064EB"/>
    <w:rsid w:val="00507143"/>
    <w:rsid w:val="00507421"/>
    <w:rsid w:val="005079C8"/>
    <w:rsid w:val="005102C5"/>
    <w:rsid w:val="005107D0"/>
    <w:rsid w:val="00510860"/>
    <w:rsid w:val="00512EB2"/>
    <w:rsid w:val="00513118"/>
    <w:rsid w:val="00513340"/>
    <w:rsid w:val="00513529"/>
    <w:rsid w:val="00513A05"/>
    <w:rsid w:val="00513BF7"/>
    <w:rsid w:val="00513F72"/>
    <w:rsid w:val="005143A7"/>
    <w:rsid w:val="00514625"/>
    <w:rsid w:val="00515665"/>
    <w:rsid w:val="005159BB"/>
    <w:rsid w:val="00515C77"/>
    <w:rsid w:val="00515D01"/>
    <w:rsid w:val="00515EA2"/>
    <w:rsid w:val="00515EB7"/>
    <w:rsid w:val="00515F9D"/>
    <w:rsid w:val="00516310"/>
    <w:rsid w:val="005172E1"/>
    <w:rsid w:val="00517575"/>
    <w:rsid w:val="00517B54"/>
    <w:rsid w:val="00520060"/>
    <w:rsid w:val="00520594"/>
    <w:rsid w:val="00520C87"/>
    <w:rsid w:val="00520D9E"/>
    <w:rsid w:val="005211B9"/>
    <w:rsid w:val="005218E4"/>
    <w:rsid w:val="00521B76"/>
    <w:rsid w:val="00522A17"/>
    <w:rsid w:val="005231A6"/>
    <w:rsid w:val="0052350B"/>
    <w:rsid w:val="0052369C"/>
    <w:rsid w:val="005247BA"/>
    <w:rsid w:val="00524DF2"/>
    <w:rsid w:val="00524DFB"/>
    <w:rsid w:val="005257CB"/>
    <w:rsid w:val="00526D89"/>
    <w:rsid w:val="00526F4D"/>
    <w:rsid w:val="005272FD"/>
    <w:rsid w:val="0052760E"/>
    <w:rsid w:val="00527A3A"/>
    <w:rsid w:val="00527E21"/>
    <w:rsid w:val="00527FC4"/>
    <w:rsid w:val="00530717"/>
    <w:rsid w:val="005307BE"/>
    <w:rsid w:val="0053113A"/>
    <w:rsid w:val="005311E0"/>
    <w:rsid w:val="005317CB"/>
    <w:rsid w:val="005325AB"/>
    <w:rsid w:val="0053408A"/>
    <w:rsid w:val="005340D7"/>
    <w:rsid w:val="0053411D"/>
    <w:rsid w:val="005347ED"/>
    <w:rsid w:val="005348E0"/>
    <w:rsid w:val="00535BF2"/>
    <w:rsid w:val="005365FE"/>
    <w:rsid w:val="00536758"/>
    <w:rsid w:val="00536B80"/>
    <w:rsid w:val="00537230"/>
    <w:rsid w:val="00537B75"/>
    <w:rsid w:val="005410DA"/>
    <w:rsid w:val="0054179C"/>
    <w:rsid w:val="00542B5F"/>
    <w:rsid w:val="00542C07"/>
    <w:rsid w:val="005435DE"/>
    <w:rsid w:val="00543704"/>
    <w:rsid w:val="005454DE"/>
    <w:rsid w:val="00545933"/>
    <w:rsid w:val="0054655E"/>
    <w:rsid w:val="005465D6"/>
    <w:rsid w:val="005473A1"/>
    <w:rsid w:val="0055000A"/>
    <w:rsid w:val="0055087A"/>
    <w:rsid w:val="00550949"/>
    <w:rsid w:val="00552153"/>
    <w:rsid w:val="0055257E"/>
    <w:rsid w:val="0055262B"/>
    <w:rsid w:val="00552E57"/>
    <w:rsid w:val="00552FC5"/>
    <w:rsid w:val="005533FD"/>
    <w:rsid w:val="0055423B"/>
    <w:rsid w:val="0055444B"/>
    <w:rsid w:val="00554F2D"/>
    <w:rsid w:val="00555075"/>
    <w:rsid w:val="00555B8A"/>
    <w:rsid w:val="005561A7"/>
    <w:rsid w:val="00556C74"/>
    <w:rsid w:val="0056073C"/>
    <w:rsid w:val="00561F0D"/>
    <w:rsid w:val="00562C9B"/>
    <w:rsid w:val="00565129"/>
    <w:rsid w:val="00565714"/>
    <w:rsid w:val="005665C5"/>
    <w:rsid w:val="00566B4D"/>
    <w:rsid w:val="00566C0C"/>
    <w:rsid w:val="0056795F"/>
    <w:rsid w:val="00567AA9"/>
    <w:rsid w:val="00570355"/>
    <w:rsid w:val="00570739"/>
    <w:rsid w:val="00570773"/>
    <w:rsid w:val="00571887"/>
    <w:rsid w:val="00572286"/>
    <w:rsid w:val="00572C05"/>
    <w:rsid w:val="005731A0"/>
    <w:rsid w:val="00573221"/>
    <w:rsid w:val="00573404"/>
    <w:rsid w:val="00573862"/>
    <w:rsid w:val="00573A44"/>
    <w:rsid w:val="00575619"/>
    <w:rsid w:val="005763B2"/>
    <w:rsid w:val="005769A4"/>
    <w:rsid w:val="00576A8B"/>
    <w:rsid w:val="00576C71"/>
    <w:rsid w:val="00576F1B"/>
    <w:rsid w:val="005778D9"/>
    <w:rsid w:val="00577AD4"/>
    <w:rsid w:val="00577F88"/>
    <w:rsid w:val="00580304"/>
    <w:rsid w:val="00580D79"/>
    <w:rsid w:val="00581506"/>
    <w:rsid w:val="00582BC6"/>
    <w:rsid w:val="00582DEB"/>
    <w:rsid w:val="00583836"/>
    <w:rsid w:val="005840FE"/>
    <w:rsid w:val="0058440D"/>
    <w:rsid w:val="005846F8"/>
    <w:rsid w:val="0058477C"/>
    <w:rsid w:val="00584CCA"/>
    <w:rsid w:val="0058526F"/>
    <w:rsid w:val="00585FEE"/>
    <w:rsid w:val="00586240"/>
    <w:rsid w:val="0058638D"/>
    <w:rsid w:val="005868D7"/>
    <w:rsid w:val="0059092C"/>
    <w:rsid w:val="00591E79"/>
    <w:rsid w:val="005923B9"/>
    <w:rsid w:val="00593F11"/>
    <w:rsid w:val="0059437B"/>
    <w:rsid w:val="005951D4"/>
    <w:rsid w:val="005952DC"/>
    <w:rsid w:val="0059540D"/>
    <w:rsid w:val="0059631D"/>
    <w:rsid w:val="00596BE2"/>
    <w:rsid w:val="00596C19"/>
    <w:rsid w:val="00597214"/>
    <w:rsid w:val="005979D7"/>
    <w:rsid w:val="00597EE9"/>
    <w:rsid w:val="005A1015"/>
    <w:rsid w:val="005A2F3B"/>
    <w:rsid w:val="005A46E7"/>
    <w:rsid w:val="005A4A16"/>
    <w:rsid w:val="005A59D1"/>
    <w:rsid w:val="005A5C02"/>
    <w:rsid w:val="005A62AD"/>
    <w:rsid w:val="005A66EF"/>
    <w:rsid w:val="005B02B3"/>
    <w:rsid w:val="005B0D08"/>
    <w:rsid w:val="005B1AE0"/>
    <w:rsid w:val="005B3183"/>
    <w:rsid w:val="005B36BF"/>
    <w:rsid w:val="005B39D8"/>
    <w:rsid w:val="005B3E32"/>
    <w:rsid w:val="005B4A7A"/>
    <w:rsid w:val="005B57E8"/>
    <w:rsid w:val="005B68F9"/>
    <w:rsid w:val="005B6904"/>
    <w:rsid w:val="005B7BC3"/>
    <w:rsid w:val="005C0807"/>
    <w:rsid w:val="005C13BC"/>
    <w:rsid w:val="005C1439"/>
    <w:rsid w:val="005C19AA"/>
    <w:rsid w:val="005C1A5C"/>
    <w:rsid w:val="005C2921"/>
    <w:rsid w:val="005C2F1D"/>
    <w:rsid w:val="005C389E"/>
    <w:rsid w:val="005C38F0"/>
    <w:rsid w:val="005C4B21"/>
    <w:rsid w:val="005C5714"/>
    <w:rsid w:val="005C57C1"/>
    <w:rsid w:val="005C588B"/>
    <w:rsid w:val="005C5FB3"/>
    <w:rsid w:val="005C60A4"/>
    <w:rsid w:val="005C6403"/>
    <w:rsid w:val="005C685D"/>
    <w:rsid w:val="005C69D0"/>
    <w:rsid w:val="005C6BC6"/>
    <w:rsid w:val="005C6D11"/>
    <w:rsid w:val="005C6F20"/>
    <w:rsid w:val="005C72D1"/>
    <w:rsid w:val="005C795B"/>
    <w:rsid w:val="005C7AD9"/>
    <w:rsid w:val="005C7E1B"/>
    <w:rsid w:val="005D1A83"/>
    <w:rsid w:val="005D3F6B"/>
    <w:rsid w:val="005D421B"/>
    <w:rsid w:val="005D50AB"/>
    <w:rsid w:val="005D53D1"/>
    <w:rsid w:val="005D671A"/>
    <w:rsid w:val="005D75B2"/>
    <w:rsid w:val="005D7ADD"/>
    <w:rsid w:val="005E13FA"/>
    <w:rsid w:val="005E16E4"/>
    <w:rsid w:val="005E1DDD"/>
    <w:rsid w:val="005E1F64"/>
    <w:rsid w:val="005E2757"/>
    <w:rsid w:val="005E3085"/>
    <w:rsid w:val="005E383F"/>
    <w:rsid w:val="005E3A5E"/>
    <w:rsid w:val="005E48B6"/>
    <w:rsid w:val="005E49AD"/>
    <w:rsid w:val="005E5C02"/>
    <w:rsid w:val="005E6422"/>
    <w:rsid w:val="005E6564"/>
    <w:rsid w:val="005E67A6"/>
    <w:rsid w:val="005E691F"/>
    <w:rsid w:val="005E6E2E"/>
    <w:rsid w:val="005E7151"/>
    <w:rsid w:val="005E7936"/>
    <w:rsid w:val="005E7E1A"/>
    <w:rsid w:val="005E7FF8"/>
    <w:rsid w:val="005F0C45"/>
    <w:rsid w:val="005F0E0D"/>
    <w:rsid w:val="005F20E5"/>
    <w:rsid w:val="005F28E1"/>
    <w:rsid w:val="005F3165"/>
    <w:rsid w:val="005F3546"/>
    <w:rsid w:val="005F35A9"/>
    <w:rsid w:val="005F42C7"/>
    <w:rsid w:val="005F447D"/>
    <w:rsid w:val="005F4A23"/>
    <w:rsid w:val="005F5676"/>
    <w:rsid w:val="005F5C89"/>
    <w:rsid w:val="005F6E54"/>
    <w:rsid w:val="005F7D02"/>
    <w:rsid w:val="005F7F20"/>
    <w:rsid w:val="006017F2"/>
    <w:rsid w:val="0060294B"/>
    <w:rsid w:val="006037BC"/>
    <w:rsid w:val="00603E5A"/>
    <w:rsid w:val="006048ED"/>
    <w:rsid w:val="006055D3"/>
    <w:rsid w:val="006074D1"/>
    <w:rsid w:val="00607701"/>
    <w:rsid w:val="00610AA3"/>
    <w:rsid w:val="0061191D"/>
    <w:rsid w:val="00611C7D"/>
    <w:rsid w:val="00611CC1"/>
    <w:rsid w:val="00611FC3"/>
    <w:rsid w:val="006125E2"/>
    <w:rsid w:val="00612A69"/>
    <w:rsid w:val="0061306B"/>
    <w:rsid w:val="006138C5"/>
    <w:rsid w:val="00613FEC"/>
    <w:rsid w:val="006146DE"/>
    <w:rsid w:val="00614991"/>
    <w:rsid w:val="006149EB"/>
    <w:rsid w:val="006150BA"/>
    <w:rsid w:val="00615198"/>
    <w:rsid w:val="00615651"/>
    <w:rsid w:val="006156AE"/>
    <w:rsid w:val="00615EE0"/>
    <w:rsid w:val="006160E2"/>
    <w:rsid w:val="00616475"/>
    <w:rsid w:val="006167D5"/>
    <w:rsid w:val="0061685E"/>
    <w:rsid w:val="00617847"/>
    <w:rsid w:val="00617D3C"/>
    <w:rsid w:val="0062012C"/>
    <w:rsid w:val="0062033C"/>
    <w:rsid w:val="0062081B"/>
    <w:rsid w:val="006209D3"/>
    <w:rsid w:val="00620E11"/>
    <w:rsid w:val="0062183D"/>
    <w:rsid w:val="00621848"/>
    <w:rsid w:val="00622F0C"/>
    <w:rsid w:val="0062311D"/>
    <w:rsid w:val="00623799"/>
    <w:rsid w:val="006242B5"/>
    <w:rsid w:val="00624F9B"/>
    <w:rsid w:val="006265C2"/>
    <w:rsid w:val="00626740"/>
    <w:rsid w:val="00626C05"/>
    <w:rsid w:val="006277AC"/>
    <w:rsid w:val="006304EB"/>
    <w:rsid w:val="006304ED"/>
    <w:rsid w:val="006307F0"/>
    <w:rsid w:val="00631597"/>
    <w:rsid w:val="00631705"/>
    <w:rsid w:val="006321C4"/>
    <w:rsid w:val="006324A7"/>
    <w:rsid w:val="00632F21"/>
    <w:rsid w:val="0063337F"/>
    <w:rsid w:val="00633E14"/>
    <w:rsid w:val="00634177"/>
    <w:rsid w:val="00634307"/>
    <w:rsid w:val="00634AA6"/>
    <w:rsid w:val="00634BFD"/>
    <w:rsid w:val="00635126"/>
    <w:rsid w:val="00635A2B"/>
    <w:rsid w:val="006363D3"/>
    <w:rsid w:val="00637CDC"/>
    <w:rsid w:val="00640439"/>
    <w:rsid w:val="006419B8"/>
    <w:rsid w:val="0064242F"/>
    <w:rsid w:val="006430AE"/>
    <w:rsid w:val="006431B8"/>
    <w:rsid w:val="00643D3D"/>
    <w:rsid w:val="0064400D"/>
    <w:rsid w:val="00644257"/>
    <w:rsid w:val="006444F9"/>
    <w:rsid w:val="00644541"/>
    <w:rsid w:val="00645A8D"/>
    <w:rsid w:val="00645C32"/>
    <w:rsid w:val="006471D6"/>
    <w:rsid w:val="006503AB"/>
    <w:rsid w:val="006507BB"/>
    <w:rsid w:val="00650DB2"/>
    <w:rsid w:val="00651206"/>
    <w:rsid w:val="0065255B"/>
    <w:rsid w:val="00654898"/>
    <w:rsid w:val="00655337"/>
    <w:rsid w:val="006567F1"/>
    <w:rsid w:val="00656C25"/>
    <w:rsid w:val="00657680"/>
    <w:rsid w:val="00660958"/>
    <w:rsid w:val="006613E1"/>
    <w:rsid w:val="006620FD"/>
    <w:rsid w:val="00662B43"/>
    <w:rsid w:val="0066313C"/>
    <w:rsid w:val="00664280"/>
    <w:rsid w:val="0066448B"/>
    <w:rsid w:val="006646EC"/>
    <w:rsid w:val="00664F86"/>
    <w:rsid w:val="00665017"/>
    <w:rsid w:val="006655B7"/>
    <w:rsid w:val="00665669"/>
    <w:rsid w:val="006664E7"/>
    <w:rsid w:val="0066683C"/>
    <w:rsid w:val="00666EC9"/>
    <w:rsid w:val="00667144"/>
    <w:rsid w:val="00667E68"/>
    <w:rsid w:val="0067077F"/>
    <w:rsid w:val="00670FAB"/>
    <w:rsid w:val="0067110F"/>
    <w:rsid w:val="006722A0"/>
    <w:rsid w:val="0067251D"/>
    <w:rsid w:val="00673890"/>
    <w:rsid w:val="00673C43"/>
    <w:rsid w:val="00673E6D"/>
    <w:rsid w:val="006749C8"/>
    <w:rsid w:val="00676AA4"/>
    <w:rsid w:val="006776C9"/>
    <w:rsid w:val="006777C9"/>
    <w:rsid w:val="00677A6B"/>
    <w:rsid w:val="00680AB4"/>
    <w:rsid w:val="0068201D"/>
    <w:rsid w:val="006822A9"/>
    <w:rsid w:val="00682319"/>
    <w:rsid w:val="006836D5"/>
    <w:rsid w:val="00685141"/>
    <w:rsid w:val="00685651"/>
    <w:rsid w:val="00685B5C"/>
    <w:rsid w:val="00685F0D"/>
    <w:rsid w:val="00686B0E"/>
    <w:rsid w:val="00686FF7"/>
    <w:rsid w:val="00687365"/>
    <w:rsid w:val="0068781C"/>
    <w:rsid w:val="00690D4B"/>
    <w:rsid w:val="00691F32"/>
    <w:rsid w:val="00693038"/>
    <w:rsid w:val="00693212"/>
    <w:rsid w:val="00694ECF"/>
    <w:rsid w:val="00695208"/>
    <w:rsid w:val="006964C1"/>
    <w:rsid w:val="0069774F"/>
    <w:rsid w:val="006A0A1F"/>
    <w:rsid w:val="006A0F7A"/>
    <w:rsid w:val="006A27D5"/>
    <w:rsid w:val="006A2847"/>
    <w:rsid w:val="006A31C8"/>
    <w:rsid w:val="006A3B09"/>
    <w:rsid w:val="006A3B22"/>
    <w:rsid w:val="006A46A1"/>
    <w:rsid w:val="006A52F6"/>
    <w:rsid w:val="006A5585"/>
    <w:rsid w:val="006A5610"/>
    <w:rsid w:val="006A5792"/>
    <w:rsid w:val="006A5DA9"/>
    <w:rsid w:val="006A5F43"/>
    <w:rsid w:val="006A61C2"/>
    <w:rsid w:val="006A78CA"/>
    <w:rsid w:val="006A7CBA"/>
    <w:rsid w:val="006B00B6"/>
    <w:rsid w:val="006B17BB"/>
    <w:rsid w:val="006B2C27"/>
    <w:rsid w:val="006B2E79"/>
    <w:rsid w:val="006B3363"/>
    <w:rsid w:val="006B405B"/>
    <w:rsid w:val="006B44AE"/>
    <w:rsid w:val="006B5048"/>
    <w:rsid w:val="006B5564"/>
    <w:rsid w:val="006B57B7"/>
    <w:rsid w:val="006B6BCF"/>
    <w:rsid w:val="006B70AD"/>
    <w:rsid w:val="006B7AEC"/>
    <w:rsid w:val="006C0946"/>
    <w:rsid w:val="006C0ED8"/>
    <w:rsid w:val="006C0FF6"/>
    <w:rsid w:val="006C186C"/>
    <w:rsid w:val="006C2835"/>
    <w:rsid w:val="006C28C3"/>
    <w:rsid w:val="006C344E"/>
    <w:rsid w:val="006C3B1A"/>
    <w:rsid w:val="006C3BB7"/>
    <w:rsid w:val="006C485D"/>
    <w:rsid w:val="006C5344"/>
    <w:rsid w:val="006C5BBE"/>
    <w:rsid w:val="006C634E"/>
    <w:rsid w:val="006C6EB0"/>
    <w:rsid w:val="006C73EC"/>
    <w:rsid w:val="006D015A"/>
    <w:rsid w:val="006D09F0"/>
    <w:rsid w:val="006D0D8C"/>
    <w:rsid w:val="006D1300"/>
    <w:rsid w:val="006D1F59"/>
    <w:rsid w:val="006D2574"/>
    <w:rsid w:val="006D297F"/>
    <w:rsid w:val="006D320B"/>
    <w:rsid w:val="006D3C37"/>
    <w:rsid w:val="006D470E"/>
    <w:rsid w:val="006D4CC7"/>
    <w:rsid w:val="006D694D"/>
    <w:rsid w:val="006D72A5"/>
    <w:rsid w:val="006D77BF"/>
    <w:rsid w:val="006E0614"/>
    <w:rsid w:val="006E0A28"/>
    <w:rsid w:val="006E0E18"/>
    <w:rsid w:val="006E2525"/>
    <w:rsid w:val="006E3550"/>
    <w:rsid w:val="006E3C2E"/>
    <w:rsid w:val="006E4132"/>
    <w:rsid w:val="006E75FB"/>
    <w:rsid w:val="006E7C2C"/>
    <w:rsid w:val="006F09F8"/>
    <w:rsid w:val="006F0D5A"/>
    <w:rsid w:val="006F20B4"/>
    <w:rsid w:val="006F25FD"/>
    <w:rsid w:val="006F2CEB"/>
    <w:rsid w:val="006F5012"/>
    <w:rsid w:val="006F5ACB"/>
    <w:rsid w:val="006F60FC"/>
    <w:rsid w:val="006F63B0"/>
    <w:rsid w:val="006F6570"/>
    <w:rsid w:val="006F7254"/>
    <w:rsid w:val="0070069A"/>
    <w:rsid w:val="00700BAD"/>
    <w:rsid w:val="00700CBA"/>
    <w:rsid w:val="00701631"/>
    <w:rsid w:val="00702210"/>
    <w:rsid w:val="00702526"/>
    <w:rsid w:val="007025F9"/>
    <w:rsid w:val="0070366C"/>
    <w:rsid w:val="00703AD1"/>
    <w:rsid w:val="00704B06"/>
    <w:rsid w:val="007069B3"/>
    <w:rsid w:val="00706D91"/>
    <w:rsid w:val="007070F7"/>
    <w:rsid w:val="007071CC"/>
    <w:rsid w:val="007105B1"/>
    <w:rsid w:val="00710ABC"/>
    <w:rsid w:val="00710E78"/>
    <w:rsid w:val="00711274"/>
    <w:rsid w:val="007116E9"/>
    <w:rsid w:val="00711BBB"/>
    <w:rsid w:val="00711EC8"/>
    <w:rsid w:val="00712650"/>
    <w:rsid w:val="00713190"/>
    <w:rsid w:val="00713474"/>
    <w:rsid w:val="007135AB"/>
    <w:rsid w:val="007137A4"/>
    <w:rsid w:val="00713C60"/>
    <w:rsid w:val="00716C0C"/>
    <w:rsid w:val="00717482"/>
    <w:rsid w:val="007201E3"/>
    <w:rsid w:val="00720A21"/>
    <w:rsid w:val="0072172B"/>
    <w:rsid w:val="007219EE"/>
    <w:rsid w:val="00721C2E"/>
    <w:rsid w:val="00721C66"/>
    <w:rsid w:val="00722FD4"/>
    <w:rsid w:val="00723D1D"/>
    <w:rsid w:val="00724DFF"/>
    <w:rsid w:val="00726781"/>
    <w:rsid w:val="00726D1A"/>
    <w:rsid w:val="00726DD3"/>
    <w:rsid w:val="007272CF"/>
    <w:rsid w:val="007277C9"/>
    <w:rsid w:val="00730062"/>
    <w:rsid w:val="007304E2"/>
    <w:rsid w:val="00730A30"/>
    <w:rsid w:val="0073215E"/>
    <w:rsid w:val="007321EB"/>
    <w:rsid w:val="0073240E"/>
    <w:rsid w:val="007328BB"/>
    <w:rsid w:val="007347D5"/>
    <w:rsid w:val="00735A71"/>
    <w:rsid w:val="00735D74"/>
    <w:rsid w:val="00735F85"/>
    <w:rsid w:val="0073699D"/>
    <w:rsid w:val="0074038B"/>
    <w:rsid w:val="00740AC3"/>
    <w:rsid w:val="00741173"/>
    <w:rsid w:val="0074134A"/>
    <w:rsid w:val="00741726"/>
    <w:rsid w:val="00743188"/>
    <w:rsid w:val="007448A0"/>
    <w:rsid w:val="007452CC"/>
    <w:rsid w:val="00745300"/>
    <w:rsid w:val="00745731"/>
    <w:rsid w:val="007463EC"/>
    <w:rsid w:val="00746A19"/>
    <w:rsid w:val="00747B47"/>
    <w:rsid w:val="00750C3A"/>
    <w:rsid w:val="00750E47"/>
    <w:rsid w:val="00750FB0"/>
    <w:rsid w:val="007513A3"/>
    <w:rsid w:val="00751B2C"/>
    <w:rsid w:val="007525D6"/>
    <w:rsid w:val="007530F3"/>
    <w:rsid w:val="007538BC"/>
    <w:rsid w:val="00753C4C"/>
    <w:rsid w:val="007545C8"/>
    <w:rsid w:val="00754684"/>
    <w:rsid w:val="00754B8F"/>
    <w:rsid w:val="00755059"/>
    <w:rsid w:val="0075628D"/>
    <w:rsid w:val="007565C6"/>
    <w:rsid w:val="00756F8B"/>
    <w:rsid w:val="007579FF"/>
    <w:rsid w:val="00760C0A"/>
    <w:rsid w:val="00760D0D"/>
    <w:rsid w:val="007616D4"/>
    <w:rsid w:val="0076189F"/>
    <w:rsid w:val="00761BF9"/>
    <w:rsid w:val="00761F5B"/>
    <w:rsid w:val="007632C3"/>
    <w:rsid w:val="00763936"/>
    <w:rsid w:val="0076407C"/>
    <w:rsid w:val="007657EE"/>
    <w:rsid w:val="00765C47"/>
    <w:rsid w:val="00766984"/>
    <w:rsid w:val="00766AE0"/>
    <w:rsid w:val="00766E9E"/>
    <w:rsid w:val="00767B1F"/>
    <w:rsid w:val="00767C04"/>
    <w:rsid w:val="007700D0"/>
    <w:rsid w:val="00770CC7"/>
    <w:rsid w:val="00771447"/>
    <w:rsid w:val="00771DCE"/>
    <w:rsid w:val="00772A59"/>
    <w:rsid w:val="007731F0"/>
    <w:rsid w:val="0077325A"/>
    <w:rsid w:val="00773E08"/>
    <w:rsid w:val="007743F5"/>
    <w:rsid w:val="00774740"/>
    <w:rsid w:val="00774B0E"/>
    <w:rsid w:val="00775F0E"/>
    <w:rsid w:val="007760D3"/>
    <w:rsid w:val="007772E2"/>
    <w:rsid w:val="007778BD"/>
    <w:rsid w:val="00777A2A"/>
    <w:rsid w:val="00780065"/>
    <w:rsid w:val="00780440"/>
    <w:rsid w:val="00780E01"/>
    <w:rsid w:val="00781272"/>
    <w:rsid w:val="0078161E"/>
    <w:rsid w:val="007819AA"/>
    <w:rsid w:val="00782961"/>
    <w:rsid w:val="00782CCD"/>
    <w:rsid w:val="0078368A"/>
    <w:rsid w:val="007838D7"/>
    <w:rsid w:val="00784DDA"/>
    <w:rsid w:val="00784F35"/>
    <w:rsid w:val="00786071"/>
    <w:rsid w:val="00786622"/>
    <w:rsid w:val="00786DBB"/>
    <w:rsid w:val="007918DD"/>
    <w:rsid w:val="00792731"/>
    <w:rsid w:val="0079336A"/>
    <w:rsid w:val="00793646"/>
    <w:rsid w:val="007945C2"/>
    <w:rsid w:val="00794AF5"/>
    <w:rsid w:val="00795521"/>
    <w:rsid w:val="0079575B"/>
    <w:rsid w:val="00795977"/>
    <w:rsid w:val="0079629A"/>
    <w:rsid w:val="00797DB7"/>
    <w:rsid w:val="00797F07"/>
    <w:rsid w:val="007A0076"/>
    <w:rsid w:val="007A068B"/>
    <w:rsid w:val="007A06A2"/>
    <w:rsid w:val="007A139B"/>
    <w:rsid w:val="007A153B"/>
    <w:rsid w:val="007A1C4C"/>
    <w:rsid w:val="007A276C"/>
    <w:rsid w:val="007A355E"/>
    <w:rsid w:val="007A38CB"/>
    <w:rsid w:val="007A3BC5"/>
    <w:rsid w:val="007A428B"/>
    <w:rsid w:val="007A4B46"/>
    <w:rsid w:val="007A4F58"/>
    <w:rsid w:val="007A63FF"/>
    <w:rsid w:val="007A7050"/>
    <w:rsid w:val="007A7193"/>
    <w:rsid w:val="007A7D0E"/>
    <w:rsid w:val="007B17DB"/>
    <w:rsid w:val="007B1859"/>
    <w:rsid w:val="007B1F93"/>
    <w:rsid w:val="007B257D"/>
    <w:rsid w:val="007B3E8D"/>
    <w:rsid w:val="007B4380"/>
    <w:rsid w:val="007B4957"/>
    <w:rsid w:val="007B4B7E"/>
    <w:rsid w:val="007B54D1"/>
    <w:rsid w:val="007B5D5E"/>
    <w:rsid w:val="007B64DA"/>
    <w:rsid w:val="007B6E85"/>
    <w:rsid w:val="007B769F"/>
    <w:rsid w:val="007B77B6"/>
    <w:rsid w:val="007B7F82"/>
    <w:rsid w:val="007C0137"/>
    <w:rsid w:val="007C14B5"/>
    <w:rsid w:val="007C1E09"/>
    <w:rsid w:val="007C1F12"/>
    <w:rsid w:val="007C21B8"/>
    <w:rsid w:val="007C224E"/>
    <w:rsid w:val="007C2348"/>
    <w:rsid w:val="007C2C82"/>
    <w:rsid w:val="007C2DA1"/>
    <w:rsid w:val="007C2ED9"/>
    <w:rsid w:val="007C310F"/>
    <w:rsid w:val="007C3501"/>
    <w:rsid w:val="007C4425"/>
    <w:rsid w:val="007C46E8"/>
    <w:rsid w:val="007C73A9"/>
    <w:rsid w:val="007D0B97"/>
    <w:rsid w:val="007D2DDC"/>
    <w:rsid w:val="007D36ED"/>
    <w:rsid w:val="007D44A0"/>
    <w:rsid w:val="007D486C"/>
    <w:rsid w:val="007D568E"/>
    <w:rsid w:val="007D677F"/>
    <w:rsid w:val="007D67AD"/>
    <w:rsid w:val="007D7236"/>
    <w:rsid w:val="007E143F"/>
    <w:rsid w:val="007E161F"/>
    <w:rsid w:val="007E1AD2"/>
    <w:rsid w:val="007E1C5D"/>
    <w:rsid w:val="007E1D89"/>
    <w:rsid w:val="007E1E33"/>
    <w:rsid w:val="007E2188"/>
    <w:rsid w:val="007E2FC8"/>
    <w:rsid w:val="007E3D60"/>
    <w:rsid w:val="007E5AA7"/>
    <w:rsid w:val="007E6E0B"/>
    <w:rsid w:val="007E78EF"/>
    <w:rsid w:val="007E7F6F"/>
    <w:rsid w:val="007F09C9"/>
    <w:rsid w:val="007F0B88"/>
    <w:rsid w:val="007F120E"/>
    <w:rsid w:val="007F143B"/>
    <w:rsid w:val="007F1F3D"/>
    <w:rsid w:val="007F2006"/>
    <w:rsid w:val="007F23D4"/>
    <w:rsid w:val="007F2477"/>
    <w:rsid w:val="007F2631"/>
    <w:rsid w:val="007F2C26"/>
    <w:rsid w:val="007F3D50"/>
    <w:rsid w:val="007F3E90"/>
    <w:rsid w:val="007F43A0"/>
    <w:rsid w:val="007F46D0"/>
    <w:rsid w:val="007F4F68"/>
    <w:rsid w:val="007F53FB"/>
    <w:rsid w:val="007F5D1A"/>
    <w:rsid w:val="007F6095"/>
    <w:rsid w:val="007F6732"/>
    <w:rsid w:val="008005DD"/>
    <w:rsid w:val="00800C79"/>
    <w:rsid w:val="00800DD5"/>
    <w:rsid w:val="00802FDD"/>
    <w:rsid w:val="008031AD"/>
    <w:rsid w:val="0080355B"/>
    <w:rsid w:val="00803CA2"/>
    <w:rsid w:val="008048EE"/>
    <w:rsid w:val="00804C6E"/>
    <w:rsid w:val="008051E9"/>
    <w:rsid w:val="00806C18"/>
    <w:rsid w:val="00807356"/>
    <w:rsid w:val="00807B54"/>
    <w:rsid w:val="00807BBE"/>
    <w:rsid w:val="00810049"/>
    <w:rsid w:val="00810911"/>
    <w:rsid w:val="00810B5F"/>
    <w:rsid w:val="00812336"/>
    <w:rsid w:val="00812348"/>
    <w:rsid w:val="00812428"/>
    <w:rsid w:val="00813062"/>
    <w:rsid w:val="0081355A"/>
    <w:rsid w:val="008147CA"/>
    <w:rsid w:val="0081659D"/>
    <w:rsid w:val="00816BC8"/>
    <w:rsid w:val="00816CB8"/>
    <w:rsid w:val="00816F1B"/>
    <w:rsid w:val="008173D6"/>
    <w:rsid w:val="008175F8"/>
    <w:rsid w:val="00817D62"/>
    <w:rsid w:val="00817E08"/>
    <w:rsid w:val="00817FB0"/>
    <w:rsid w:val="00820CCC"/>
    <w:rsid w:val="0082165E"/>
    <w:rsid w:val="00821ECB"/>
    <w:rsid w:val="008221AE"/>
    <w:rsid w:val="00822CA7"/>
    <w:rsid w:val="00822F83"/>
    <w:rsid w:val="008241EA"/>
    <w:rsid w:val="0082499F"/>
    <w:rsid w:val="00824B7F"/>
    <w:rsid w:val="008259FA"/>
    <w:rsid w:val="00825F8F"/>
    <w:rsid w:val="008272AF"/>
    <w:rsid w:val="00827A42"/>
    <w:rsid w:val="00830185"/>
    <w:rsid w:val="0083123C"/>
    <w:rsid w:val="008324C4"/>
    <w:rsid w:val="0083297F"/>
    <w:rsid w:val="00832FBC"/>
    <w:rsid w:val="008332DC"/>
    <w:rsid w:val="00833DE7"/>
    <w:rsid w:val="00834283"/>
    <w:rsid w:val="00835956"/>
    <w:rsid w:val="008366E8"/>
    <w:rsid w:val="008367C9"/>
    <w:rsid w:val="00836801"/>
    <w:rsid w:val="00836A6A"/>
    <w:rsid w:val="00836B60"/>
    <w:rsid w:val="008373C7"/>
    <w:rsid w:val="00837878"/>
    <w:rsid w:val="00837FA3"/>
    <w:rsid w:val="00840223"/>
    <w:rsid w:val="00840A45"/>
    <w:rsid w:val="00840ED8"/>
    <w:rsid w:val="00840F60"/>
    <w:rsid w:val="00840FE2"/>
    <w:rsid w:val="00841B9E"/>
    <w:rsid w:val="008427F0"/>
    <w:rsid w:val="00842E23"/>
    <w:rsid w:val="0084341C"/>
    <w:rsid w:val="0084418A"/>
    <w:rsid w:val="00844EBD"/>
    <w:rsid w:val="0084778B"/>
    <w:rsid w:val="008507E7"/>
    <w:rsid w:val="00850CB0"/>
    <w:rsid w:val="0085130E"/>
    <w:rsid w:val="00851A0D"/>
    <w:rsid w:val="00851E18"/>
    <w:rsid w:val="00852A28"/>
    <w:rsid w:val="00852B09"/>
    <w:rsid w:val="0085375A"/>
    <w:rsid w:val="00853D17"/>
    <w:rsid w:val="0085403D"/>
    <w:rsid w:val="0085434A"/>
    <w:rsid w:val="00854396"/>
    <w:rsid w:val="00854B8E"/>
    <w:rsid w:val="0085578A"/>
    <w:rsid w:val="0085673B"/>
    <w:rsid w:val="00857A30"/>
    <w:rsid w:val="00857CAA"/>
    <w:rsid w:val="008614D4"/>
    <w:rsid w:val="00861D52"/>
    <w:rsid w:val="00861F1C"/>
    <w:rsid w:val="008622A0"/>
    <w:rsid w:val="0086237D"/>
    <w:rsid w:val="00862C48"/>
    <w:rsid w:val="008631FC"/>
    <w:rsid w:val="008634E5"/>
    <w:rsid w:val="00863BC8"/>
    <w:rsid w:val="0086540A"/>
    <w:rsid w:val="00866E4A"/>
    <w:rsid w:val="008671FE"/>
    <w:rsid w:val="0086738B"/>
    <w:rsid w:val="008675A8"/>
    <w:rsid w:val="008678BA"/>
    <w:rsid w:val="0087023B"/>
    <w:rsid w:val="00870501"/>
    <w:rsid w:val="00870548"/>
    <w:rsid w:val="008712BD"/>
    <w:rsid w:val="0087234D"/>
    <w:rsid w:val="00872CCD"/>
    <w:rsid w:val="00874153"/>
    <w:rsid w:val="008743C3"/>
    <w:rsid w:val="00874411"/>
    <w:rsid w:val="008754D0"/>
    <w:rsid w:val="008763A5"/>
    <w:rsid w:val="0087658E"/>
    <w:rsid w:val="008770BE"/>
    <w:rsid w:val="0087770C"/>
    <w:rsid w:val="008778A5"/>
    <w:rsid w:val="00880C4D"/>
    <w:rsid w:val="00880C8B"/>
    <w:rsid w:val="00881EBA"/>
    <w:rsid w:val="00881FE6"/>
    <w:rsid w:val="0088506C"/>
    <w:rsid w:val="00885155"/>
    <w:rsid w:val="008854A4"/>
    <w:rsid w:val="008862E0"/>
    <w:rsid w:val="008865C5"/>
    <w:rsid w:val="00887A4C"/>
    <w:rsid w:val="0089015C"/>
    <w:rsid w:val="00890544"/>
    <w:rsid w:val="00891435"/>
    <w:rsid w:val="0089222E"/>
    <w:rsid w:val="00892F9F"/>
    <w:rsid w:val="008937B3"/>
    <w:rsid w:val="00894330"/>
    <w:rsid w:val="008956A3"/>
    <w:rsid w:val="00895A96"/>
    <w:rsid w:val="008962A6"/>
    <w:rsid w:val="008962C0"/>
    <w:rsid w:val="008A0F1F"/>
    <w:rsid w:val="008A1F7B"/>
    <w:rsid w:val="008A2C75"/>
    <w:rsid w:val="008A2F94"/>
    <w:rsid w:val="008A3221"/>
    <w:rsid w:val="008A3B6A"/>
    <w:rsid w:val="008A3C2F"/>
    <w:rsid w:val="008A3DAF"/>
    <w:rsid w:val="008A4456"/>
    <w:rsid w:val="008A4C3D"/>
    <w:rsid w:val="008A57F9"/>
    <w:rsid w:val="008A5A56"/>
    <w:rsid w:val="008A5C16"/>
    <w:rsid w:val="008A6705"/>
    <w:rsid w:val="008A670C"/>
    <w:rsid w:val="008A693B"/>
    <w:rsid w:val="008A7B62"/>
    <w:rsid w:val="008B0B0D"/>
    <w:rsid w:val="008B0B39"/>
    <w:rsid w:val="008B0C83"/>
    <w:rsid w:val="008B0D49"/>
    <w:rsid w:val="008B10FF"/>
    <w:rsid w:val="008B1A2B"/>
    <w:rsid w:val="008B1A34"/>
    <w:rsid w:val="008B25DC"/>
    <w:rsid w:val="008B3775"/>
    <w:rsid w:val="008B3799"/>
    <w:rsid w:val="008B409D"/>
    <w:rsid w:val="008B40DD"/>
    <w:rsid w:val="008B49A5"/>
    <w:rsid w:val="008B5154"/>
    <w:rsid w:val="008B5319"/>
    <w:rsid w:val="008B59F4"/>
    <w:rsid w:val="008B5AD8"/>
    <w:rsid w:val="008B5FEF"/>
    <w:rsid w:val="008B6315"/>
    <w:rsid w:val="008B67EC"/>
    <w:rsid w:val="008B78C2"/>
    <w:rsid w:val="008B7AF5"/>
    <w:rsid w:val="008C00FC"/>
    <w:rsid w:val="008C01C4"/>
    <w:rsid w:val="008C03D8"/>
    <w:rsid w:val="008C077D"/>
    <w:rsid w:val="008C0C48"/>
    <w:rsid w:val="008C1FD7"/>
    <w:rsid w:val="008C26AA"/>
    <w:rsid w:val="008C2BB8"/>
    <w:rsid w:val="008C3AFB"/>
    <w:rsid w:val="008C4077"/>
    <w:rsid w:val="008C40FE"/>
    <w:rsid w:val="008C481C"/>
    <w:rsid w:val="008C4A58"/>
    <w:rsid w:val="008C4EAC"/>
    <w:rsid w:val="008C5B05"/>
    <w:rsid w:val="008C6AEE"/>
    <w:rsid w:val="008C7619"/>
    <w:rsid w:val="008C7C13"/>
    <w:rsid w:val="008C7F81"/>
    <w:rsid w:val="008D01B3"/>
    <w:rsid w:val="008D0A74"/>
    <w:rsid w:val="008D0D40"/>
    <w:rsid w:val="008D1509"/>
    <w:rsid w:val="008D319C"/>
    <w:rsid w:val="008D3574"/>
    <w:rsid w:val="008D41AB"/>
    <w:rsid w:val="008D4CA0"/>
    <w:rsid w:val="008D56EA"/>
    <w:rsid w:val="008D63BA"/>
    <w:rsid w:val="008D6513"/>
    <w:rsid w:val="008D6C57"/>
    <w:rsid w:val="008D6DEF"/>
    <w:rsid w:val="008E0AB9"/>
    <w:rsid w:val="008E25BA"/>
    <w:rsid w:val="008E2DEF"/>
    <w:rsid w:val="008E3BBC"/>
    <w:rsid w:val="008E471D"/>
    <w:rsid w:val="008E6C24"/>
    <w:rsid w:val="008E7139"/>
    <w:rsid w:val="008E7B39"/>
    <w:rsid w:val="008E7B58"/>
    <w:rsid w:val="008F0D23"/>
    <w:rsid w:val="008F202B"/>
    <w:rsid w:val="008F24A1"/>
    <w:rsid w:val="008F24D7"/>
    <w:rsid w:val="008F2B89"/>
    <w:rsid w:val="008F2DE6"/>
    <w:rsid w:val="008F3764"/>
    <w:rsid w:val="008F3C12"/>
    <w:rsid w:val="008F3CFA"/>
    <w:rsid w:val="008F4007"/>
    <w:rsid w:val="008F4457"/>
    <w:rsid w:val="008F5517"/>
    <w:rsid w:val="008F5681"/>
    <w:rsid w:val="008F57DC"/>
    <w:rsid w:val="008F5CC3"/>
    <w:rsid w:val="008F61C5"/>
    <w:rsid w:val="008F6203"/>
    <w:rsid w:val="008F6955"/>
    <w:rsid w:val="008F6D4F"/>
    <w:rsid w:val="008F6EFC"/>
    <w:rsid w:val="008F7CDB"/>
    <w:rsid w:val="0090183C"/>
    <w:rsid w:val="0090210C"/>
    <w:rsid w:val="00902319"/>
    <w:rsid w:val="009024D8"/>
    <w:rsid w:val="00903179"/>
    <w:rsid w:val="00903DF9"/>
    <w:rsid w:val="00903DFA"/>
    <w:rsid w:val="009043FF"/>
    <w:rsid w:val="0090480A"/>
    <w:rsid w:val="00904D44"/>
    <w:rsid w:val="00905980"/>
    <w:rsid w:val="00905F9E"/>
    <w:rsid w:val="009065E9"/>
    <w:rsid w:val="009072C8"/>
    <w:rsid w:val="00907551"/>
    <w:rsid w:val="00910A35"/>
    <w:rsid w:val="00911325"/>
    <w:rsid w:val="00911827"/>
    <w:rsid w:val="00911CE8"/>
    <w:rsid w:val="00912121"/>
    <w:rsid w:val="009125DA"/>
    <w:rsid w:val="00912616"/>
    <w:rsid w:val="00914145"/>
    <w:rsid w:val="009147B5"/>
    <w:rsid w:val="009147FB"/>
    <w:rsid w:val="00914C59"/>
    <w:rsid w:val="00915FBD"/>
    <w:rsid w:val="009161B7"/>
    <w:rsid w:val="00920BD7"/>
    <w:rsid w:val="00920E28"/>
    <w:rsid w:val="00920EC1"/>
    <w:rsid w:val="009213F0"/>
    <w:rsid w:val="00921B0E"/>
    <w:rsid w:val="0092271D"/>
    <w:rsid w:val="00922E76"/>
    <w:rsid w:val="00923363"/>
    <w:rsid w:val="00923C58"/>
    <w:rsid w:val="00924292"/>
    <w:rsid w:val="009302F2"/>
    <w:rsid w:val="00930331"/>
    <w:rsid w:val="009314FB"/>
    <w:rsid w:val="00931EEF"/>
    <w:rsid w:val="0093240B"/>
    <w:rsid w:val="0093403D"/>
    <w:rsid w:val="00934CC1"/>
    <w:rsid w:val="00935D95"/>
    <w:rsid w:val="0093632E"/>
    <w:rsid w:val="00936551"/>
    <w:rsid w:val="00936577"/>
    <w:rsid w:val="00936835"/>
    <w:rsid w:val="00937127"/>
    <w:rsid w:val="009403D5"/>
    <w:rsid w:val="0094065F"/>
    <w:rsid w:val="00941C57"/>
    <w:rsid w:val="0094228C"/>
    <w:rsid w:val="0094339D"/>
    <w:rsid w:val="00943BAC"/>
    <w:rsid w:val="00944973"/>
    <w:rsid w:val="00946612"/>
    <w:rsid w:val="00946A0C"/>
    <w:rsid w:val="009474A6"/>
    <w:rsid w:val="0094FBFA"/>
    <w:rsid w:val="00951677"/>
    <w:rsid w:val="00951EE7"/>
    <w:rsid w:val="00952397"/>
    <w:rsid w:val="00954755"/>
    <w:rsid w:val="009549E8"/>
    <w:rsid w:val="00954B72"/>
    <w:rsid w:val="00954D5E"/>
    <w:rsid w:val="009551DC"/>
    <w:rsid w:val="0095547D"/>
    <w:rsid w:val="009555B7"/>
    <w:rsid w:val="009558CF"/>
    <w:rsid w:val="00956004"/>
    <w:rsid w:val="009570FA"/>
    <w:rsid w:val="00957DB3"/>
    <w:rsid w:val="00960144"/>
    <w:rsid w:val="00960318"/>
    <w:rsid w:val="009605D0"/>
    <w:rsid w:val="009605DE"/>
    <w:rsid w:val="00960A43"/>
    <w:rsid w:val="009610E2"/>
    <w:rsid w:val="009620E7"/>
    <w:rsid w:val="009621AC"/>
    <w:rsid w:val="009622B1"/>
    <w:rsid w:val="009649AC"/>
    <w:rsid w:val="00964D3C"/>
    <w:rsid w:val="00965370"/>
    <w:rsid w:val="00965624"/>
    <w:rsid w:val="0096572A"/>
    <w:rsid w:val="00967003"/>
    <w:rsid w:val="009674E8"/>
    <w:rsid w:val="00967595"/>
    <w:rsid w:val="00967F58"/>
    <w:rsid w:val="009702D8"/>
    <w:rsid w:val="00970972"/>
    <w:rsid w:val="00972711"/>
    <w:rsid w:val="009738F0"/>
    <w:rsid w:val="009743E8"/>
    <w:rsid w:val="0097474B"/>
    <w:rsid w:val="009753B2"/>
    <w:rsid w:val="00975627"/>
    <w:rsid w:val="0097617F"/>
    <w:rsid w:val="00976462"/>
    <w:rsid w:val="00977655"/>
    <w:rsid w:val="00977BB1"/>
    <w:rsid w:val="009803E0"/>
    <w:rsid w:val="009808DF"/>
    <w:rsid w:val="009810A5"/>
    <w:rsid w:val="00981417"/>
    <w:rsid w:val="0098151D"/>
    <w:rsid w:val="0098220F"/>
    <w:rsid w:val="00982899"/>
    <w:rsid w:val="00982B83"/>
    <w:rsid w:val="00982B8D"/>
    <w:rsid w:val="009834D6"/>
    <w:rsid w:val="009845D3"/>
    <w:rsid w:val="00984C8D"/>
    <w:rsid w:val="00985172"/>
    <w:rsid w:val="009879B7"/>
    <w:rsid w:val="00990D01"/>
    <w:rsid w:val="0099110B"/>
    <w:rsid w:val="00991398"/>
    <w:rsid w:val="009914CC"/>
    <w:rsid w:val="0099181B"/>
    <w:rsid w:val="00991C43"/>
    <w:rsid w:val="00995352"/>
    <w:rsid w:val="00995497"/>
    <w:rsid w:val="009955CD"/>
    <w:rsid w:val="00995F40"/>
    <w:rsid w:val="00996AE7"/>
    <w:rsid w:val="009971BA"/>
    <w:rsid w:val="009974A7"/>
    <w:rsid w:val="00997E24"/>
    <w:rsid w:val="009A02E2"/>
    <w:rsid w:val="009A0310"/>
    <w:rsid w:val="009A0751"/>
    <w:rsid w:val="009A2B3C"/>
    <w:rsid w:val="009A3229"/>
    <w:rsid w:val="009A3B18"/>
    <w:rsid w:val="009A46DC"/>
    <w:rsid w:val="009A5044"/>
    <w:rsid w:val="009A53C8"/>
    <w:rsid w:val="009A5AFC"/>
    <w:rsid w:val="009A60CF"/>
    <w:rsid w:val="009A63E9"/>
    <w:rsid w:val="009A6941"/>
    <w:rsid w:val="009A6C1A"/>
    <w:rsid w:val="009A7641"/>
    <w:rsid w:val="009A7C42"/>
    <w:rsid w:val="009B06DA"/>
    <w:rsid w:val="009B0A93"/>
    <w:rsid w:val="009B17B7"/>
    <w:rsid w:val="009B17DE"/>
    <w:rsid w:val="009B34B7"/>
    <w:rsid w:val="009B3520"/>
    <w:rsid w:val="009B395C"/>
    <w:rsid w:val="009B48CD"/>
    <w:rsid w:val="009B4C2C"/>
    <w:rsid w:val="009B4EF0"/>
    <w:rsid w:val="009B4EFF"/>
    <w:rsid w:val="009B5675"/>
    <w:rsid w:val="009B5F24"/>
    <w:rsid w:val="009B66CC"/>
    <w:rsid w:val="009B769B"/>
    <w:rsid w:val="009B7778"/>
    <w:rsid w:val="009B7E65"/>
    <w:rsid w:val="009C0BD6"/>
    <w:rsid w:val="009C1806"/>
    <w:rsid w:val="009C2034"/>
    <w:rsid w:val="009C4095"/>
    <w:rsid w:val="009C40AB"/>
    <w:rsid w:val="009C453F"/>
    <w:rsid w:val="009C5DEC"/>
    <w:rsid w:val="009C5FE0"/>
    <w:rsid w:val="009C6163"/>
    <w:rsid w:val="009C6595"/>
    <w:rsid w:val="009C663A"/>
    <w:rsid w:val="009C6945"/>
    <w:rsid w:val="009C7B3A"/>
    <w:rsid w:val="009D08CF"/>
    <w:rsid w:val="009D0B49"/>
    <w:rsid w:val="009D0FA2"/>
    <w:rsid w:val="009D12FD"/>
    <w:rsid w:val="009D26D6"/>
    <w:rsid w:val="009D2D5E"/>
    <w:rsid w:val="009D337A"/>
    <w:rsid w:val="009D34B3"/>
    <w:rsid w:val="009D48A9"/>
    <w:rsid w:val="009D5DFB"/>
    <w:rsid w:val="009D674A"/>
    <w:rsid w:val="009D6C6C"/>
    <w:rsid w:val="009D6DF7"/>
    <w:rsid w:val="009D71E9"/>
    <w:rsid w:val="009E0539"/>
    <w:rsid w:val="009E3444"/>
    <w:rsid w:val="009E35EA"/>
    <w:rsid w:val="009E382B"/>
    <w:rsid w:val="009E457B"/>
    <w:rsid w:val="009E47BC"/>
    <w:rsid w:val="009E49AB"/>
    <w:rsid w:val="009E4D17"/>
    <w:rsid w:val="009E4D47"/>
    <w:rsid w:val="009E51CA"/>
    <w:rsid w:val="009E577A"/>
    <w:rsid w:val="009E6818"/>
    <w:rsid w:val="009E7111"/>
    <w:rsid w:val="009F0A01"/>
    <w:rsid w:val="009F12E2"/>
    <w:rsid w:val="009F2712"/>
    <w:rsid w:val="009F2946"/>
    <w:rsid w:val="009F2AAE"/>
    <w:rsid w:val="009F2CCF"/>
    <w:rsid w:val="009F2D10"/>
    <w:rsid w:val="009F3105"/>
    <w:rsid w:val="009F31D5"/>
    <w:rsid w:val="009F4D0D"/>
    <w:rsid w:val="009F558A"/>
    <w:rsid w:val="009F79F1"/>
    <w:rsid w:val="009F7B03"/>
    <w:rsid w:val="00A01229"/>
    <w:rsid w:val="00A01665"/>
    <w:rsid w:val="00A01677"/>
    <w:rsid w:val="00A01D5C"/>
    <w:rsid w:val="00A01F2D"/>
    <w:rsid w:val="00A023ED"/>
    <w:rsid w:val="00A026D7"/>
    <w:rsid w:val="00A02837"/>
    <w:rsid w:val="00A02ADD"/>
    <w:rsid w:val="00A02FED"/>
    <w:rsid w:val="00A034B8"/>
    <w:rsid w:val="00A034C4"/>
    <w:rsid w:val="00A03EDF"/>
    <w:rsid w:val="00A04786"/>
    <w:rsid w:val="00A05F24"/>
    <w:rsid w:val="00A0756C"/>
    <w:rsid w:val="00A07D11"/>
    <w:rsid w:val="00A115A6"/>
    <w:rsid w:val="00A119C7"/>
    <w:rsid w:val="00A128D0"/>
    <w:rsid w:val="00A13A0F"/>
    <w:rsid w:val="00A13F19"/>
    <w:rsid w:val="00A1506C"/>
    <w:rsid w:val="00A1586B"/>
    <w:rsid w:val="00A15C8B"/>
    <w:rsid w:val="00A17C66"/>
    <w:rsid w:val="00A17D4D"/>
    <w:rsid w:val="00A2005B"/>
    <w:rsid w:val="00A209CD"/>
    <w:rsid w:val="00A20AC0"/>
    <w:rsid w:val="00A2152C"/>
    <w:rsid w:val="00A23AAB"/>
    <w:rsid w:val="00A23B87"/>
    <w:rsid w:val="00A23DA1"/>
    <w:rsid w:val="00A2472D"/>
    <w:rsid w:val="00A24B05"/>
    <w:rsid w:val="00A25241"/>
    <w:rsid w:val="00A26300"/>
    <w:rsid w:val="00A26EDB"/>
    <w:rsid w:val="00A27672"/>
    <w:rsid w:val="00A3000E"/>
    <w:rsid w:val="00A30028"/>
    <w:rsid w:val="00A31951"/>
    <w:rsid w:val="00A32277"/>
    <w:rsid w:val="00A322F5"/>
    <w:rsid w:val="00A323F9"/>
    <w:rsid w:val="00A32758"/>
    <w:rsid w:val="00A328F8"/>
    <w:rsid w:val="00A33F14"/>
    <w:rsid w:val="00A35596"/>
    <w:rsid w:val="00A35FEE"/>
    <w:rsid w:val="00A36264"/>
    <w:rsid w:val="00A379BF"/>
    <w:rsid w:val="00A37A5B"/>
    <w:rsid w:val="00A37DC4"/>
    <w:rsid w:val="00A4098D"/>
    <w:rsid w:val="00A41ED5"/>
    <w:rsid w:val="00A420BA"/>
    <w:rsid w:val="00A42E17"/>
    <w:rsid w:val="00A4310C"/>
    <w:rsid w:val="00A43EBB"/>
    <w:rsid w:val="00A44FD6"/>
    <w:rsid w:val="00A4509A"/>
    <w:rsid w:val="00A458BB"/>
    <w:rsid w:val="00A45D85"/>
    <w:rsid w:val="00A46D6C"/>
    <w:rsid w:val="00A475B0"/>
    <w:rsid w:val="00A4AC58"/>
    <w:rsid w:val="00A51255"/>
    <w:rsid w:val="00A52E25"/>
    <w:rsid w:val="00A52F02"/>
    <w:rsid w:val="00A53664"/>
    <w:rsid w:val="00A54967"/>
    <w:rsid w:val="00A55967"/>
    <w:rsid w:val="00A56353"/>
    <w:rsid w:val="00A56732"/>
    <w:rsid w:val="00A5691E"/>
    <w:rsid w:val="00A618B9"/>
    <w:rsid w:val="00A63ECE"/>
    <w:rsid w:val="00A6458F"/>
    <w:rsid w:val="00A64BDF"/>
    <w:rsid w:val="00A64EA0"/>
    <w:rsid w:val="00A65179"/>
    <w:rsid w:val="00A659A2"/>
    <w:rsid w:val="00A65B80"/>
    <w:rsid w:val="00A65D44"/>
    <w:rsid w:val="00A66DC9"/>
    <w:rsid w:val="00A67061"/>
    <w:rsid w:val="00A67623"/>
    <w:rsid w:val="00A67765"/>
    <w:rsid w:val="00A67BA0"/>
    <w:rsid w:val="00A67E07"/>
    <w:rsid w:val="00A70787"/>
    <w:rsid w:val="00A70FD8"/>
    <w:rsid w:val="00A72EB2"/>
    <w:rsid w:val="00A738E3"/>
    <w:rsid w:val="00A742D1"/>
    <w:rsid w:val="00A75304"/>
    <w:rsid w:val="00A75331"/>
    <w:rsid w:val="00A75547"/>
    <w:rsid w:val="00A76D94"/>
    <w:rsid w:val="00A77528"/>
    <w:rsid w:val="00A80887"/>
    <w:rsid w:val="00A8243D"/>
    <w:rsid w:val="00A82F4A"/>
    <w:rsid w:val="00A83352"/>
    <w:rsid w:val="00A839D1"/>
    <w:rsid w:val="00A84523"/>
    <w:rsid w:val="00A84EEC"/>
    <w:rsid w:val="00A8524C"/>
    <w:rsid w:val="00A86BE5"/>
    <w:rsid w:val="00A8719E"/>
    <w:rsid w:val="00A87299"/>
    <w:rsid w:val="00A87484"/>
    <w:rsid w:val="00A90C89"/>
    <w:rsid w:val="00A916BD"/>
    <w:rsid w:val="00A917AF"/>
    <w:rsid w:val="00A933C1"/>
    <w:rsid w:val="00A9392B"/>
    <w:rsid w:val="00A95227"/>
    <w:rsid w:val="00A956CD"/>
    <w:rsid w:val="00A9670E"/>
    <w:rsid w:val="00A97896"/>
    <w:rsid w:val="00AA06E0"/>
    <w:rsid w:val="00AA1161"/>
    <w:rsid w:val="00AA1544"/>
    <w:rsid w:val="00AA1B3E"/>
    <w:rsid w:val="00AA1DC8"/>
    <w:rsid w:val="00AA211D"/>
    <w:rsid w:val="00AA4606"/>
    <w:rsid w:val="00AA5930"/>
    <w:rsid w:val="00AA6016"/>
    <w:rsid w:val="00AA634A"/>
    <w:rsid w:val="00AA64BB"/>
    <w:rsid w:val="00AA65F8"/>
    <w:rsid w:val="00AB0745"/>
    <w:rsid w:val="00AB0D1B"/>
    <w:rsid w:val="00AB119D"/>
    <w:rsid w:val="00AB152B"/>
    <w:rsid w:val="00AB15AF"/>
    <w:rsid w:val="00AB2324"/>
    <w:rsid w:val="00AB2360"/>
    <w:rsid w:val="00AB2AE5"/>
    <w:rsid w:val="00AB2B1B"/>
    <w:rsid w:val="00AB3660"/>
    <w:rsid w:val="00AB373B"/>
    <w:rsid w:val="00AB38C3"/>
    <w:rsid w:val="00AB39AE"/>
    <w:rsid w:val="00AB3CE5"/>
    <w:rsid w:val="00AB3E19"/>
    <w:rsid w:val="00AB3E8B"/>
    <w:rsid w:val="00AB41EF"/>
    <w:rsid w:val="00AB4300"/>
    <w:rsid w:val="00AB4320"/>
    <w:rsid w:val="00AB5DD0"/>
    <w:rsid w:val="00AB66F2"/>
    <w:rsid w:val="00AB7342"/>
    <w:rsid w:val="00AB7DBD"/>
    <w:rsid w:val="00AC0DFE"/>
    <w:rsid w:val="00AC1541"/>
    <w:rsid w:val="00AC1F99"/>
    <w:rsid w:val="00AC27FE"/>
    <w:rsid w:val="00AC3146"/>
    <w:rsid w:val="00AC3525"/>
    <w:rsid w:val="00AC45BF"/>
    <w:rsid w:val="00AC4A2D"/>
    <w:rsid w:val="00AC5BE8"/>
    <w:rsid w:val="00AC69D7"/>
    <w:rsid w:val="00AC72E9"/>
    <w:rsid w:val="00AC7890"/>
    <w:rsid w:val="00AD0187"/>
    <w:rsid w:val="00AD0C54"/>
    <w:rsid w:val="00AD1742"/>
    <w:rsid w:val="00AD281F"/>
    <w:rsid w:val="00AD38CB"/>
    <w:rsid w:val="00AD4DAD"/>
    <w:rsid w:val="00AD52B4"/>
    <w:rsid w:val="00AD66BA"/>
    <w:rsid w:val="00AD6B97"/>
    <w:rsid w:val="00AE0471"/>
    <w:rsid w:val="00AE0ADE"/>
    <w:rsid w:val="00AE2796"/>
    <w:rsid w:val="00AE3DE6"/>
    <w:rsid w:val="00AE3F15"/>
    <w:rsid w:val="00AE3F98"/>
    <w:rsid w:val="00AE44DB"/>
    <w:rsid w:val="00AE5669"/>
    <w:rsid w:val="00AE58C4"/>
    <w:rsid w:val="00AE7682"/>
    <w:rsid w:val="00AE7718"/>
    <w:rsid w:val="00AE7B93"/>
    <w:rsid w:val="00AF0019"/>
    <w:rsid w:val="00AF0DF8"/>
    <w:rsid w:val="00AF166F"/>
    <w:rsid w:val="00AF2CD7"/>
    <w:rsid w:val="00AF2E45"/>
    <w:rsid w:val="00AF3865"/>
    <w:rsid w:val="00AF39CE"/>
    <w:rsid w:val="00AF44A9"/>
    <w:rsid w:val="00AF4AAF"/>
    <w:rsid w:val="00AF5085"/>
    <w:rsid w:val="00AF5845"/>
    <w:rsid w:val="00AF64FE"/>
    <w:rsid w:val="00AF74C1"/>
    <w:rsid w:val="00AF772A"/>
    <w:rsid w:val="00AF77DB"/>
    <w:rsid w:val="00B0061C"/>
    <w:rsid w:val="00B00632"/>
    <w:rsid w:val="00B007AC"/>
    <w:rsid w:val="00B00845"/>
    <w:rsid w:val="00B0221A"/>
    <w:rsid w:val="00B025B9"/>
    <w:rsid w:val="00B0339D"/>
    <w:rsid w:val="00B03808"/>
    <w:rsid w:val="00B0398B"/>
    <w:rsid w:val="00B04E56"/>
    <w:rsid w:val="00B052C3"/>
    <w:rsid w:val="00B05EE9"/>
    <w:rsid w:val="00B065B8"/>
    <w:rsid w:val="00B0676E"/>
    <w:rsid w:val="00B1064A"/>
    <w:rsid w:val="00B11BE2"/>
    <w:rsid w:val="00B127DD"/>
    <w:rsid w:val="00B1344B"/>
    <w:rsid w:val="00B13C3E"/>
    <w:rsid w:val="00B13D00"/>
    <w:rsid w:val="00B14FCF"/>
    <w:rsid w:val="00B154B1"/>
    <w:rsid w:val="00B1560B"/>
    <w:rsid w:val="00B15617"/>
    <w:rsid w:val="00B15E63"/>
    <w:rsid w:val="00B1714F"/>
    <w:rsid w:val="00B17B82"/>
    <w:rsid w:val="00B17DAA"/>
    <w:rsid w:val="00B20FAA"/>
    <w:rsid w:val="00B21825"/>
    <w:rsid w:val="00B219FF"/>
    <w:rsid w:val="00B21EEF"/>
    <w:rsid w:val="00B22624"/>
    <w:rsid w:val="00B234CA"/>
    <w:rsid w:val="00B24698"/>
    <w:rsid w:val="00B24E99"/>
    <w:rsid w:val="00B24F80"/>
    <w:rsid w:val="00B25565"/>
    <w:rsid w:val="00B25A48"/>
    <w:rsid w:val="00B268A9"/>
    <w:rsid w:val="00B303AB"/>
    <w:rsid w:val="00B3064E"/>
    <w:rsid w:val="00B309E8"/>
    <w:rsid w:val="00B30E1C"/>
    <w:rsid w:val="00B315AB"/>
    <w:rsid w:val="00B33CAF"/>
    <w:rsid w:val="00B3460F"/>
    <w:rsid w:val="00B3481C"/>
    <w:rsid w:val="00B35823"/>
    <w:rsid w:val="00B35911"/>
    <w:rsid w:val="00B35A9E"/>
    <w:rsid w:val="00B36B36"/>
    <w:rsid w:val="00B37084"/>
    <w:rsid w:val="00B3732D"/>
    <w:rsid w:val="00B3770F"/>
    <w:rsid w:val="00B378ED"/>
    <w:rsid w:val="00B37BF4"/>
    <w:rsid w:val="00B40589"/>
    <w:rsid w:val="00B40680"/>
    <w:rsid w:val="00B4157A"/>
    <w:rsid w:val="00B41AAA"/>
    <w:rsid w:val="00B41D83"/>
    <w:rsid w:val="00B424AA"/>
    <w:rsid w:val="00B42F50"/>
    <w:rsid w:val="00B432EE"/>
    <w:rsid w:val="00B43AFB"/>
    <w:rsid w:val="00B43B64"/>
    <w:rsid w:val="00B4417C"/>
    <w:rsid w:val="00B44D44"/>
    <w:rsid w:val="00B44F8D"/>
    <w:rsid w:val="00B4526F"/>
    <w:rsid w:val="00B45610"/>
    <w:rsid w:val="00B456B1"/>
    <w:rsid w:val="00B460C8"/>
    <w:rsid w:val="00B4676F"/>
    <w:rsid w:val="00B46E3E"/>
    <w:rsid w:val="00B502D4"/>
    <w:rsid w:val="00B50714"/>
    <w:rsid w:val="00B50D65"/>
    <w:rsid w:val="00B50E95"/>
    <w:rsid w:val="00B5152B"/>
    <w:rsid w:val="00B5166E"/>
    <w:rsid w:val="00B51EB1"/>
    <w:rsid w:val="00B5269B"/>
    <w:rsid w:val="00B53215"/>
    <w:rsid w:val="00B5446E"/>
    <w:rsid w:val="00B554F3"/>
    <w:rsid w:val="00B55652"/>
    <w:rsid w:val="00B55915"/>
    <w:rsid w:val="00B559E2"/>
    <w:rsid w:val="00B573F5"/>
    <w:rsid w:val="00B57A6F"/>
    <w:rsid w:val="00B6004F"/>
    <w:rsid w:val="00B604A5"/>
    <w:rsid w:val="00B60CD4"/>
    <w:rsid w:val="00B617A6"/>
    <w:rsid w:val="00B62902"/>
    <w:rsid w:val="00B62BDF"/>
    <w:rsid w:val="00B65455"/>
    <w:rsid w:val="00B656F9"/>
    <w:rsid w:val="00B65A82"/>
    <w:rsid w:val="00B663F3"/>
    <w:rsid w:val="00B6694F"/>
    <w:rsid w:val="00B67D07"/>
    <w:rsid w:val="00B70544"/>
    <w:rsid w:val="00B70AF9"/>
    <w:rsid w:val="00B71333"/>
    <w:rsid w:val="00B71FD0"/>
    <w:rsid w:val="00B72491"/>
    <w:rsid w:val="00B725C6"/>
    <w:rsid w:val="00B732CC"/>
    <w:rsid w:val="00B73D15"/>
    <w:rsid w:val="00B749AB"/>
    <w:rsid w:val="00B75211"/>
    <w:rsid w:val="00B7628E"/>
    <w:rsid w:val="00B76364"/>
    <w:rsid w:val="00B76627"/>
    <w:rsid w:val="00B76F74"/>
    <w:rsid w:val="00B77D30"/>
    <w:rsid w:val="00B77D46"/>
    <w:rsid w:val="00B77E07"/>
    <w:rsid w:val="00B80867"/>
    <w:rsid w:val="00B812C4"/>
    <w:rsid w:val="00B812FE"/>
    <w:rsid w:val="00B813AC"/>
    <w:rsid w:val="00B81A3E"/>
    <w:rsid w:val="00B83A71"/>
    <w:rsid w:val="00B83C08"/>
    <w:rsid w:val="00B8578B"/>
    <w:rsid w:val="00B85DBB"/>
    <w:rsid w:val="00B85E4B"/>
    <w:rsid w:val="00B878F6"/>
    <w:rsid w:val="00B91766"/>
    <w:rsid w:val="00B92343"/>
    <w:rsid w:val="00B9499E"/>
    <w:rsid w:val="00B94E68"/>
    <w:rsid w:val="00B95201"/>
    <w:rsid w:val="00B95635"/>
    <w:rsid w:val="00B956BF"/>
    <w:rsid w:val="00B961AD"/>
    <w:rsid w:val="00B96353"/>
    <w:rsid w:val="00B970D8"/>
    <w:rsid w:val="00B973DA"/>
    <w:rsid w:val="00B97D62"/>
    <w:rsid w:val="00B97FE6"/>
    <w:rsid w:val="00BA03AE"/>
    <w:rsid w:val="00BA0DEC"/>
    <w:rsid w:val="00BA2A10"/>
    <w:rsid w:val="00BA2B56"/>
    <w:rsid w:val="00BA2B9A"/>
    <w:rsid w:val="00BA2F50"/>
    <w:rsid w:val="00BA4005"/>
    <w:rsid w:val="00BA405B"/>
    <w:rsid w:val="00BA452E"/>
    <w:rsid w:val="00BA4A43"/>
    <w:rsid w:val="00BA580D"/>
    <w:rsid w:val="00BA6A13"/>
    <w:rsid w:val="00BA6E75"/>
    <w:rsid w:val="00BB0F4A"/>
    <w:rsid w:val="00BB156F"/>
    <w:rsid w:val="00BB28E0"/>
    <w:rsid w:val="00BB2A10"/>
    <w:rsid w:val="00BB2CBF"/>
    <w:rsid w:val="00BB3424"/>
    <w:rsid w:val="00BB3D54"/>
    <w:rsid w:val="00BB42D1"/>
    <w:rsid w:val="00BB47E0"/>
    <w:rsid w:val="00BB543C"/>
    <w:rsid w:val="00BB6244"/>
    <w:rsid w:val="00BB65B1"/>
    <w:rsid w:val="00BB75A5"/>
    <w:rsid w:val="00BC1852"/>
    <w:rsid w:val="00BC315A"/>
    <w:rsid w:val="00BC3CA5"/>
    <w:rsid w:val="00BC3FF1"/>
    <w:rsid w:val="00BC49DB"/>
    <w:rsid w:val="00BC58D4"/>
    <w:rsid w:val="00BC593A"/>
    <w:rsid w:val="00BC690D"/>
    <w:rsid w:val="00BC72AD"/>
    <w:rsid w:val="00BC75FB"/>
    <w:rsid w:val="00BD0B1B"/>
    <w:rsid w:val="00BD11DD"/>
    <w:rsid w:val="00BD150A"/>
    <w:rsid w:val="00BD19B6"/>
    <w:rsid w:val="00BD2477"/>
    <w:rsid w:val="00BD2774"/>
    <w:rsid w:val="00BD4FBE"/>
    <w:rsid w:val="00BD56E1"/>
    <w:rsid w:val="00BD5E62"/>
    <w:rsid w:val="00BD5F48"/>
    <w:rsid w:val="00BD650E"/>
    <w:rsid w:val="00BD656B"/>
    <w:rsid w:val="00BD6625"/>
    <w:rsid w:val="00BD6926"/>
    <w:rsid w:val="00BD7F5D"/>
    <w:rsid w:val="00BE0E5B"/>
    <w:rsid w:val="00BE188B"/>
    <w:rsid w:val="00BE323F"/>
    <w:rsid w:val="00BE39C5"/>
    <w:rsid w:val="00BE3BFB"/>
    <w:rsid w:val="00BE3C03"/>
    <w:rsid w:val="00BE3E9E"/>
    <w:rsid w:val="00BE43BF"/>
    <w:rsid w:val="00BE52A8"/>
    <w:rsid w:val="00BE5843"/>
    <w:rsid w:val="00BE636A"/>
    <w:rsid w:val="00BE64B4"/>
    <w:rsid w:val="00BE68B0"/>
    <w:rsid w:val="00BE69C3"/>
    <w:rsid w:val="00BF10F4"/>
    <w:rsid w:val="00BF1D42"/>
    <w:rsid w:val="00BF1F90"/>
    <w:rsid w:val="00BF21A5"/>
    <w:rsid w:val="00BF22D8"/>
    <w:rsid w:val="00BF2402"/>
    <w:rsid w:val="00BF3B03"/>
    <w:rsid w:val="00BF3D51"/>
    <w:rsid w:val="00BF40E4"/>
    <w:rsid w:val="00BF50CD"/>
    <w:rsid w:val="00BF56B6"/>
    <w:rsid w:val="00BF5BBF"/>
    <w:rsid w:val="00BF5BCB"/>
    <w:rsid w:val="00BF641A"/>
    <w:rsid w:val="00BF68EC"/>
    <w:rsid w:val="00BF74E6"/>
    <w:rsid w:val="00BF75EB"/>
    <w:rsid w:val="00BF76E9"/>
    <w:rsid w:val="00BF7892"/>
    <w:rsid w:val="00C00BD1"/>
    <w:rsid w:val="00C016F3"/>
    <w:rsid w:val="00C01FBF"/>
    <w:rsid w:val="00C0205A"/>
    <w:rsid w:val="00C027B0"/>
    <w:rsid w:val="00C0370E"/>
    <w:rsid w:val="00C03B56"/>
    <w:rsid w:val="00C0482D"/>
    <w:rsid w:val="00C05938"/>
    <w:rsid w:val="00C05BCE"/>
    <w:rsid w:val="00C06B23"/>
    <w:rsid w:val="00C06D7B"/>
    <w:rsid w:val="00C07915"/>
    <w:rsid w:val="00C07EEC"/>
    <w:rsid w:val="00C1070A"/>
    <w:rsid w:val="00C10CAD"/>
    <w:rsid w:val="00C11BD6"/>
    <w:rsid w:val="00C11DF8"/>
    <w:rsid w:val="00C11FD8"/>
    <w:rsid w:val="00C1201A"/>
    <w:rsid w:val="00C13151"/>
    <w:rsid w:val="00C13463"/>
    <w:rsid w:val="00C135ED"/>
    <w:rsid w:val="00C14475"/>
    <w:rsid w:val="00C14AAD"/>
    <w:rsid w:val="00C153A4"/>
    <w:rsid w:val="00C158D9"/>
    <w:rsid w:val="00C15B95"/>
    <w:rsid w:val="00C16B80"/>
    <w:rsid w:val="00C16B96"/>
    <w:rsid w:val="00C1728B"/>
    <w:rsid w:val="00C17C13"/>
    <w:rsid w:val="00C17E3B"/>
    <w:rsid w:val="00C20ED0"/>
    <w:rsid w:val="00C21525"/>
    <w:rsid w:val="00C22078"/>
    <w:rsid w:val="00C22890"/>
    <w:rsid w:val="00C2297E"/>
    <w:rsid w:val="00C22FA8"/>
    <w:rsid w:val="00C24B1E"/>
    <w:rsid w:val="00C258EC"/>
    <w:rsid w:val="00C25902"/>
    <w:rsid w:val="00C2737A"/>
    <w:rsid w:val="00C310A9"/>
    <w:rsid w:val="00C323B9"/>
    <w:rsid w:val="00C34838"/>
    <w:rsid w:val="00C35BC7"/>
    <w:rsid w:val="00C3626A"/>
    <w:rsid w:val="00C363A6"/>
    <w:rsid w:val="00C36436"/>
    <w:rsid w:val="00C36C3B"/>
    <w:rsid w:val="00C36E64"/>
    <w:rsid w:val="00C37546"/>
    <w:rsid w:val="00C37C4B"/>
    <w:rsid w:val="00C402FC"/>
    <w:rsid w:val="00C40552"/>
    <w:rsid w:val="00C4093A"/>
    <w:rsid w:val="00C40BD0"/>
    <w:rsid w:val="00C40D9C"/>
    <w:rsid w:val="00C4226D"/>
    <w:rsid w:val="00C42B10"/>
    <w:rsid w:val="00C42EB8"/>
    <w:rsid w:val="00C43114"/>
    <w:rsid w:val="00C437F8"/>
    <w:rsid w:val="00C43B30"/>
    <w:rsid w:val="00C43B39"/>
    <w:rsid w:val="00C43C6E"/>
    <w:rsid w:val="00C44159"/>
    <w:rsid w:val="00C445A8"/>
    <w:rsid w:val="00C45D61"/>
    <w:rsid w:val="00C45EDF"/>
    <w:rsid w:val="00C460FB"/>
    <w:rsid w:val="00C46E6E"/>
    <w:rsid w:val="00C47118"/>
    <w:rsid w:val="00C4714B"/>
    <w:rsid w:val="00C47A84"/>
    <w:rsid w:val="00C503E9"/>
    <w:rsid w:val="00C50858"/>
    <w:rsid w:val="00C50DF1"/>
    <w:rsid w:val="00C51CB6"/>
    <w:rsid w:val="00C5247A"/>
    <w:rsid w:val="00C529E0"/>
    <w:rsid w:val="00C532BE"/>
    <w:rsid w:val="00C53BB8"/>
    <w:rsid w:val="00C53D81"/>
    <w:rsid w:val="00C54BA0"/>
    <w:rsid w:val="00C55680"/>
    <w:rsid w:val="00C557A9"/>
    <w:rsid w:val="00C563D2"/>
    <w:rsid w:val="00C568CD"/>
    <w:rsid w:val="00C56EDA"/>
    <w:rsid w:val="00C5721C"/>
    <w:rsid w:val="00C5739C"/>
    <w:rsid w:val="00C57DB2"/>
    <w:rsid w:val="00C57F25"/>
    <w:rsid w:val="00C62A04"/>
    <w:rsid w:val="00C63482"/>
    <w:rsid w:val="00C64391"/>
    <w:rsid w:val="00C643FE"/>
    <w:rsid w:val="00C6488D"/>
    <w:rsid w:val="00C64899"/>
    <w:rsid w:val="00C64EB6"/>
    <w:rsid w:val="00C6501E"/>
    <w:rsid w:val="00C654F9"/>
    <w:rsid w:val="00C65668"/>
    <w:rsid w:val="00C65804"/>
    <w:rsid w:val="00C65C76"/>
    <w:rsid w:val="00C660F7"/>
    <w:rsid w:val="00C66421"/>
    <w:rsid w:val="00C67625"/>
    <w:rsid w:val="00C679FA"/>
    <w:rsid w:val="00C7143D"/>
    <w:rsid w:val="00C71542"/>
    <w:rsid w:val="00C7176B"/>
    <w:rsid w:val="00C717BF"/>
    <w:rsid w:val="00C72336"/>
    <w:rsid w:val="00C7245C"/>
    <w:rsid w:val="00C727B0"/>
    <w:rsid w:val="00C72BB6"/>
    <w:rsid w:val="00C72D4E"/>
    <w:rsid w:val="00C73085"/>
    <w:rsid w:val="00C747E4"/>
    <w:rsid w:val="00C74D8B"/>
    <w:rsid w:val="00C74F8A"/>
    <w:rsid w:val="00C77317"/>
    <w:rsid w:val="00C77D9A"/>
    <w:rsid w:val="00C80A3C"/>
    <w:rsid w:val="00C81CAA"/>
    <w:rsid w:val="00C8228A"/>
    <w:rsid w:val="00C823C3"/>
    <w:rsid w:val="00C82681"/>
    <w:rsid w:val="00C8502E"/>
    <w:rsid w:val="00C854C4"/>
    <w:rsid w:val="00C85672"/>
    <w:rsid w:val="00C8651E"/>
    <w:rsid w:val="00C878CB"/>
    <w:rsid w:val="00C9142B"/>
    <w:rsid w:val="00C91733"/>
    <w:rsid w:val="00C92C61"/>
    <w:rsid w:val="00C92E07"/>
    <w:rsid w:val="00C932A9"/>
    <w:rsid w:val="00C94FEE"/>
    <w:rsid w:val="00C95AEA"/>
    <w:rsid w:val="00C96732"/>
    <w:rsid w:val="00C96AC3"/>
    <w:rsid w:val="00C9758B"/>
    <w:rsid w:val="00CA098F"/>
    <w:rsid w:val="00CA103B"/>
    <w:rsid w:val="00CA123D"/>
    <w:rsid w:val="00CA1F85"/>
    <w:rsid w:val="00CA1FB4"/>
    <w:rsid w:val="00CA254B"/>
    <w:rsid w:val="00CA2D9A"/>
    <w:rsid w:val="00CA4901"/>
    <w:rsid w:val="00CA4C51"/>
    <w:rsid w:val="00CA5BCC"/>
    <w:rsid w:val="00CA5CB5"/>
    <w:rsid w:val="00CA5FF2"/>
    <w:rsid w:val="00CA6542"/>
    <w:rsid w:val="00CA6673"/>
    <w:rsid w:val="00CA6A31"/>
    <w:rsid w:val="00CA6E20"/>
    <w:rsid w:val="00CB0508"/>
    <w:rsid w:val="00CB07B1"/>
    <w:rsid w:val="00CB0C55"/>
    <w:rsid w:val="00CB153D"/>
    <w:rsid w:val="00CB1F8A"/>
    <w:rsid w:val="00CB2905"/>
    <w:rsid w:val="00CB2D0B"/>
    <w:rsid w:val="00CB2E33"/>
    <w:rsid w:val="00CB2EDA"/>
    <w:rsid w:val="00CB34FB"/>
    <w:rsid w:val="00CB3729"/>
    <w:rsid w:val="00CB3866"/>
    <w:rsid w:val="00CB57AE"/>
    <w:rsid w:val="00CB6D5F"/>
    <w:rsid w:val="00CB71FC"/>
    <w:rsid w:val="00CC11B9"/>
    <w:rsid w:val="00CC1A29"/>
    <w:rsid w:val="00CC2A22"/>
    <w:rsid w:val="00CC2A59"/>
    <w:rsid w:val="00CC3255"/>
    <w:rsid w:val="00CC3787"/>
    <w:rsid w:val="00CC3D3F"/>
    <w:rsid w:val="00CC3EC5"/>
    <w:rsid w:val="00CC3EC8"/>
    <w:rsid w:val="00CC4720"/>
    <w:rsid w:val="00CC4EA4"/>
    <w:rsid w:val="00CC627F"/>
    <w:rsid w:val="00CC63E0"/>
    <w:rsid w:val="00CD053A"/>
    <w:rsid w:val="00CD1AE5"/>
    <w:rsid w:val="00CD290A"/>
    <w:rsid w:val="00CD3281"/>
    <w:rsid w:val="00CD48A8"/>
    <w:rsid w:val="00CD6690"/>
    <w:rsid w:val="00CD66E6"/>
    <w:rsid w:val="00CD7535"/>
    <w:rsid w:val="00CD7790"/>
    <w:rsid w:val="00CE0218"/>
    <w:rsid w:val="00CE0264"/>
    <w:rsid w:val="00CE1316"/>
    <w:rsid w:val="00CE264A"/>
    <w:rsid w:val="00CE29D5"/>
    <w:rsid w:val="00CE2E2C"/>
    <w:rsid w:val="00CE2E55"/>
    <w:rsid w:val="00CE2F30"/>
    <w:rsid w:val="00CE2FA5"/>
    <w:rsid w:val="00CE4BBB"/>
    <w:rsid w:val="00CE4FD9"/>
    <w:rsid w:val="00CE50C1"/>
    <w:rsid w:val="00CE519C"/>
    <w:rsid w:val="00CE595F"/>
    <w:rsid w:val="00CE5D33"/>
    <w:rsid w:val="00CE603F"/>
    <w:rsid w:val="00CE701E"/>
    <w:rsid w:val="00CE7323"/>
    <w:rsid w:val="00CE74A5"/>
    <w:rsid w:val="00CE760C"/>
    <w:rsid w:val="00CE7CF9"/>
    <w:rsid w:val="00CF00ED"/>
    <w:rsid w:val="00CF0779"/>
    <w:rsid w:val="00CF1230"/>
    <w:rsid w:val="00CF2BA5"/>
    <w:rsid w:val="00CF3330"/>
    <w:rsid w:val="00CF5193"/>
    <w:rsid w:val="00CF744D"/>
    <w:rsid w:val="00CF78BB"/>
    <w:rsid w:val="00CF7DDE"/>
    <w:rsid w:val="00CF7E86"/>
    <w:rsid w:val="00D0003C"/>
    <w:rsid w:val="00D01D5C"/>
    <w:rsid w:val="00D01D68"/>
    <w:rsid w:val="00D02838"/>
    <w:rsid w:val="00D0359D"/>
    <w:rsid w:val="00D03BEB"/>
    <w:rsid w:val="00D04566"/>
    <w:rsid w:val="00D052F3"/>
    <w:rsid w:val="00D05763"/>
    <w:rsid w:val="00D0628B"/>
    <w:rsid w:val="00D06F16"/>
    <w:rsid w:val="00D0761F"/>
    <w:rsid w:val="00D07B5B"/>
    <w:rsid w:val="00D10D9B"/>
    <w:rsid w:val="00D12598"/>
    <w:rsid w:val="00D12955"/>
    <w:rsid w:val="00D12B9C"/>
    <w:rsid w:val="00D14562"/>
    <w:rsid w:val="00D14674"/>
    <w:rsid w:val="00D1495C"/>
    <w:rsid w:val="00D14A68"/>
    <w:rsid w:val="00D14D85"/>
    <w:rsid w:val="00D157B6"/>
    <w:rsid w:val="00D160EF"/>
    <w:rsid w:val="00D1628E"/>
    <w:rsid w:val="00D16978"/>
    <w:rsid w:val="00D16A75"/>
    <w:rsid w:val="00D17060"/>
    <w:rsid w:val="00D20728"/>
    <w:rsid w:val="00D21019"/>
    <w:rsid w:val="00D240D3"/>
    <w:rsid w:val="00D2418B"/>
    <w:rsid w:val="00D241C1"/>
    <w:rsid w:val="00D248AA"/>
    <w:rsid w:val="00D254DF"/>
    <w:rsid w:val="00D25F75"/>
    <w:rsid w:val="00D26328"/>
    <w:rsid w:val="00D264DF"/>
    <w:rsid w:val="00D2687F"/>
    <w:rsid w:val="00D301B0"/>
    <w:rsid w:val="00D303F0"/>
    <w:rsid w:val="00D30C1C"/>
    <w:rsid w:val="00D30F0D"/>
    <w:rsid w:val="00D31FE8"/>
    <w:rsid w:val="00D32056"/>
    <w:rsid w:val="00D329D9"/>
    <w:rsid w:val="00D32CB2"/>
    <w:rsid w:val="00D33007"/>
    <w:rsid w:val="00D33223"/>
    <w:rsid w:val="00D334AD"/>
    <w:rsid w:val="00D336D3"/>
    <w:rsid w:val="00D34369"/>
    <w:rsid w:val="00D34E8B"/>
    <w:rsid w:val="00D34F71"/>
    <w:rsid w:val="00D35C76"/>
    <w:rsid w:val="00D35C85"/>
    <w:rsid w:val="00D35DCB"/>
    <w:rsid w:val="00D36F64"/>
    <w:rsid w:val="00D37A1F"/>
    <w:rsid w:val="00D4026C"/>
    <w:rsid w:val="00D4107A"/>
    <w:rsid w:val="00D41177"/>
    <w:rsid w:val="00D4198E"/>
    <w:rsid w:val="00D423AA"/>
    <w:rsid w:val="00D426AC"/>
    <w:rsid w:val="00D42A70"/>
    <w:rsid w:val="00D43150"/>
    <w:rsid w:val="00D43C63"/>
    <w:rsid w:val="00D45287"/>
    <w:rsid w:val="00D45469"/>
    <w:rsid w:val="00D456B3"/>
    <w:rsid w:val="00D45E25"/>
    <w:rsid w:val="00D46206"/>
    <w:rsid w:val="00D4630E"/>
    <w:rsid w:val="00D46397"/>
    <w:rsid w:val="00D467A4"/>
    <w:rsid w:val="00D46DB9"/>
    <w:rsid w:val="00D47FC2"/>
    <w:rsid w:val="00D506B5"/>
    <w:rsid w:val="00D50910"/>
    <w:rsid w:val="00D51AB3"/>
    <w:rsid w:val="00D51D93"/>
    <w:rsid w:val="00D51E1E"/>
    <w:rsid w:val="00D52B26"/>
    <w:rsid w:val="00D532F8"/>
    <w:rsid w:val="00D533DB"/>
    <w:rsid w:val="00D53AD2"/>
    <w:rsid w:val="00D53D80"/>
    <w:rsid w:val="00D540BF"/>
    <w:rsid w:val="00D5420A"/>
    <w:rsid w:val="00D5492C"/>
    <w:rsid w:val="00D5512C"/>
    <w:rsid w:val="00D55959"/>
    <w:rsid w:val="00D55D97"/>
    <w:rsid w:val="00D561D2"/>
    <w:rsid w:val="00D56A43"/>
    <w:rsid w:val="00D570C4"/>
    <w:rsid w:val="00D57C3C"/>
    <w:rsid w:val="00D6062E"/>
    <w:rsid w:val="00D616F8"/>
    <w:rsid w:val="00D632A4"/>
    <w:rsid w:val="00D63C11"/>
    <w:rsid w:val="00D652A7"/>
    <w:rsid w:val="00D6659C"/>
    <w:rsid w:val="00D66C0C"/>
    <w:rsid w:val="00D7043D"/>
    <w:rsid w:val="00D70C14"/>
    <w:rsid w:val="00D7108A"/>
    <w:rsid w:val="00D718D5"/>
    <w:rsid w:val="00D71FA3"/>
    <w:rsid w:val="00D72D4E"/>
    <w:rsid w:val="00D73C93"/>
    <w:rsid w:val="00D74194"/>
    <w:rsid w:val="00D757A4"/>
    <w:rsid w:val="00D7654C"/>
    <w:rsid w:val="00D77D8F"/>
    <w:rsid w:val="00D77DE9"/>
    <w:rsid w:val="00D77EDD"/>
    <w:rsid w:val="00D80F34"/>
    <w:rsid w:val="00D8162B"/>
    <w:rsid w:val="00D817E5"/>
    <w:rsid w:val="00D81DA6"/>
    <w:rsid w:val="00D82CDC"/>
    <w:rsid w:val="00D82FE4"/>
    <w:rsid w:val="00D8341F"/>
    <w:rsid w:val="00D83B2E"/>
    <w:rsid w:val="00D83E2A"/>
    <w:rsid w:val="00D842C8"/>
    <w:rsid w:val="00D85ED2"/>
    <w:rsid w:val="00D8602C"/>
    <w:rsid w:val="00D86923"/>
    <w:rsid w:val="00D87A8A"/>
    <w:rsid w:val="00D90124"/>
    <w:rsid w:val="00D90870"/>
    <w:rsid w:val="00D90BAA"/>
    <w:rsid w:val="00D90CD3"/>
    <w:rsid w:val="00D92C4B"/>
    <w:rsid w:val="00D92CD0"/>
    <w:rsid w:val="00D930D7"/>
    <w:rsid w:val="00D93B51"/>
    <w:rsid w:val="00D946C9"/>
    <w:rsid w:val="00D94A99"/>
    <w:rsid w:val="00D95100"/>
    <w:rsid w:val="00D96159"/>
    <w:rsid w:val="00D9618D"/>
    <w:rsid w:val="00D971E7"/>
    <w:rsid w:val="00D9735A"/>
    <w:rsid w:val="00D97A25"/>
    <w:rsid w:val="00DA0300"/>
    <w:rsid w:val="00DA06F1"/>
    <w:rsid w:val="00DA0B81"/>
    <w:rsid w:val="00DA2840"/>
    <w:rsid w:val="00DA38EB"/>
    <w:rsid w:val="00DA40B1"/>
    <w:rsid w:val="00DA464A"/>
    <w:rsid w:val="00DA496B"/>
    <w:rsid w:val="00DA4EFC"/>
    <w:rsid w:val="00DA5147"/>
    <w:rsid w:val="00DA631E"/>
    <w:rsid w:val="00DA6D43"/>
    <w:rsid w:val="00DA7281"/>
    <w:rsid w:val="00DA7DD2"/>
    <w:rsid w:val="00DB06C5"/>
    <w:rsid w:val="00DB0798"/>
    <w:rsid w:val="00DB2786"/>
    <w:rsid w:val="00DB3FC9"/>
    <w:rsid w:val="00DB6766"/>
    <w:rsid w:val="00DB6D70"/>
    <w:rsid w:val="00DB71E4"/>
    <w:rsid w:val="00DC0032"/>
    <w:rsid w:val="00DC0BED"/>
    <w:rsid w:val="00DC15D8"/>
    <w:rsid w:val="00DC16AE"/>
    <w:rsid w:val="00DC18D6"/>
    <w:rsid w:val="00DC2192"/>
    <w:rsid w:val="00DC2CBF"/>
    <w:rsid w:val="00DC325D"/>
    <w:rsid w:val="00DC3D75"/>
    <w:rsid w:val="00DC42E9"/>
    <w:rsid w:val="00DC4EA4"/>
    <w:rsid w:val="00DC5A14"/>
    <w:rsid w:val="00DC6768"/>
    <w:rsid w:val="00DC7647"/>
    <w:rsid w:val="00DD010F"/>
    <w:rsid w:val="00DD095E"/>
    <w:rsid w:val="00DD12A9"/>
    <w:rsid w:val="00DD15F7"/>
    <w:rsid w:val="00DD1E2A"/>
    <w:rsid w:val="00DD250E"/>
    <w:rsid w:val="00DD2E03"/>
    <w:rsid w:val="00DD2E47"/>
    <w:rsid w:val="00DD3A9E"/>
    <w:rsid w:val="00DD40A6"/>
    <w:rsid w:val="00DD43FC"/>
    <w:rsid w:val="00DD44D2"/>
    <w:rsid w:val="00DD452C"/>
    <w:rsid w:val="00DD45A7"/>
    <w:rsid w:val="00DD5295"/>
    <w:rsid w:val="00DD567A"/>
    <w:rsid w:val="00DD6EF3"/>
    <w:rsid w:val="00DD7952"/>
    <w:rsid w:val="00DE0679"/>
    <w:rsid w:val="00DE0AD5"/>
    <w:rsid w:val="00DE0EB8"/>
    <w:rsid w:val="00DE1547"/>
    <w:rsid w:val="00DE2E89"/>
    <w:rsid w:val="00DE34A7"/>
    <w:rsid w:val="00DE44CD"/>
    <w:rsid w:val="00DE44E2"/>
    <w:rsid w:val="00DE463F"/>
    <w:rsid w:val="00DE4C49"/>
    <w:rsid w:val="00DE5315"/>
    <w:rsid w:val="00DE53A3"/>
    <w:rsid w:val="00DE72E5"/>
    <w:rsid w:val="00DE7540"/>
    <w:rsid w:val="00DF079D"/>
    <w:rsid w:val="00DF133C"/>
    <w:rsid w:val="00DF1363"/>
    <w:rsid w:val="00DF16E3"/>
    <w:rsid w:val="00DF2286"/>
    <w:rsid w:val="00DF2BDE"/>
    <w:rsid w:val="00DF3312"/>
    <w:rsid w:val="00DF3A97"/>
    <w:rsid w:val="00DF41C1"/>
    <w:rsid w:val="00DF5083"/>
    <w:rsid w:val="00DF6115"/>
    <w:rsid w:val="00DF6138"/>
    <w:rsid w:val="00DF6597"/>
    <w:rsid w:val="00DF7156"/>
    <w:rsid w:val="00DF7834"/>
    <w:rsid w:val="00E00B56"/>
    <w:rsid w:val="00E00EA0"/>
    <w:rsid w:val="00E01215"/>
    <w:rsid w:val="00E02003"/>
    <w:rsid w:val="00E0290A"/>
    <w:rsid w:val="00E02F4F"/>
    <w:rsid w:val="00E03702"/>
    <w:rsid w:val="00E05E16"/>
    <w:rsid w:val="00E0666F"/>
    <w:rsid w:val="00E07876"/>
    <w:rsid w:val="00E07A7F"/>
    <w:rsid w:val="00E10865"/>
    <w:rsid w:val="00E109FD"/>
    <w:rsid w:val="00E10AB0"/>
    <w:rsid w:val="00E10D0A"/>
    <w:rsid w:val="00E11690"/>
    <w:rsid w:val="00E120FA"/>
    <w:rsid w:val="00E127EC"/>
    <w:rsid w:val="00E12E3E"/>
    <w:rsid w:val="00E13449"/>
    <w:rsid w:val="00E14AE7"/>
    <w:rsid w:val="00E1508B"/>
    <w:rsid w:val="00E15363"/>
    <w:rsid w:val="00E1554C"/>
    <w:rsid w:val="00E15DD9"/>
    <w:rsid w:val="00E164FA"/>
    <w:rsid w:val="00E16D90"/>
    <w:rsid w:val="00E17ACF"/>
    <w:rsid w:val="00E17EF4"/>
    <w:rsid w:val="00E20744"/>
    <w:rsid w:val="00E20F97"/>
    <w:rsid w:val="00E2146B"/>
    <w:rsid w:val="00E22703"/>
    <w:rsid w:val="00E23732"/>
    <w:rsid w:val="00E24503"/>
    <w:rsid w:val="00E24D24"/>
    <w:rsid w:val="00E25234"/>
    <w:rsid w:val="00E253B6"/>
    <w:rsid w:val="00E30059"/>
    <w:rsid w:val="00E30698"/>
    <w:rsid w:val="00E3085C"/>
    <w:rsid w:val="00E30974"/>
    <w:rsid w:val="00E30A27"/>
    <w:rsid w:val="00E30A8C"/>
    <w:rsid w:val="00E30DC2"/>
    <w:rsid w:val="00E30E1D"/>
    <w:rsid w:val="00E31EB0"/>
    <w:rsid w:val="00E31EB8"/>
    <w:rsid w:val="00E32BAB"/>
    <w:rsid w:val="00E332B0"/>
    <w:rsid w:val="00E345C0"/>
    <w:rsid w:val="00E347CF"/>
    <w:rsid w:val="00E35B54"/>
    <w:rsid w:val="00E35DF2"/>
    <w:rsid w:val="00E366B6"/>
    <w:rsid w:val="00E3673C"/>
    <w:rsid w:val="00E37087"/>
    <w:rsid w:val="00E37AF8"/>
    <w:rsid w:val="00E40493"/>
    <w:rsid w:val="00E4069B"/>
    <w:rsid w:val="00E40A9D"/>
    <w:rsid w:val="00E418E4"/>
    <w:rsid w:val="00E421E4"/>
    <w:rsid w:val="00E42982"/>
    <w:rsid w:val="00E42D0A"/>
    <w:rsid w:val="00E43049"/>
    <w:rsid w:val="00E44654"/>
    <w:rsid w:val="00E44877"/>
    <w:rsid w:val="00E44B9D"/>
    <w:rsid w:val="00E44C3A"/>
    <w:rsid w:val="00E4507F"/>
    <w:rsid w:val="00E45268"/>
    <w:rsid w:val="00E45BC2"/>
    <w:rsid w:val="00E45F99"/>
    <w:rsid w:val="00E46105"/>
    <w:rsid w:val="00E46339"/>
    <w:rsid w:val="00E470F1"/>
    <w:rsid w:val="00E477D9"/>
    <w:rsid w:val="00E50380"/>
    <w:rsid w:val="00E503F0"/>
    <w:rsid w:val="00E508C0"/>
    <w:rsid w:val="00E51198"/>
    <w:rsid w:val="00E512AA"/>
    <w:rsid w:val="00E53C04"/>
    <w:rsid w:val="00E566A3"/>
    <w:rsid w:val="00E56991"/>
    <w:rsid w:val="00E56C7A"/>
    <w:rsid w:val="00E56CB5"/>
    <w:rsid w:val="00E57062"/>
    <w:rsid w:val="00E571C7"/>
    <w:rsid w:val="00E5722E"/>
    <w:rsid w:val="00E60D65"/>
    <w:rsid w:val="00E60EC9"/>
    <w:rsid w:val="00E6146E"/>
    <w:rsid w:val="00E617EB"/>
    <w:rsid w:val="00E61F31"/>
    <w:rsid w:val="00E62092"/>
    <w:rsid w:val="00E62D81"/>
    <w:rsid w:val="00E634AF"/>
    <w:rsid w:val="00E63809"/>
    <w:rsid w:val="00E64B5D"/>
    <w:rsid w:val="00E64D88"/>
    <w:rsid w:val="00E65431"/>
    <w:rsid w:val="00E65A53"/>
    <w:rsid w:val="00E65AA0"/>
    <w:rsid w:val="00E65D24"/>
    <w:rsid w:val="00E66376"/>
    <w:rsid w:val="00E665C0"/>
    <w:rsid w:val="00E71D19"/>
    <w:rsid w:val="00E73798"/>
    <w:rsid w:val="00E73A3F"/>
    <w:rsid w:val="00E73A53"/>
    <w:rsid w:val="00E74844"/>
    <w:rsid w:val="00E75ECB"/>
    <w:rsid w:val="00E769B5"/>
    <w:rsid w:val="00E76E64"/>
    <w:rsid w:val="00E77425"/>
    <w:rsid w:val="00E80255"/>
    <w:rsid w:val="00E806EE"/>
    <w:rsid w:val="00E8078A"/>
    <w:rsid w:val="00E81E88"/>
    <w:rsid w:val="00E81F01"/>
    <w:rsid w:val="00E82219"/>
    <w:rsid w:val="00E83A67"/>
    <w:rsid w:val="00E83E94"/>
    <w:rsid w:val="00E8482C"/>
    <w:rsid w:val="00E853FF"/>
    <w:rsid w:val="00E857AA"/>
    <w:rsid w:val="00E85F2B"/>
    <w:rsid w:val="00E86CFD"/>
    <w:rsid w:val="00E86DD7"/>
    <w:rsid w:val="00E8709D"/>
    <w:rsid w:val="00E87591"/>
    <w:rsid w:val="00E903A1"/>
    <w:rsid w:val="00E90D0D"/>
    <w:rsid w:val="00E91036"/>
    <w:rsid w:val="00E9141E"/>
    <w:rsid w:val="00E91732"/>
    <w:rsid w:val="00E91FBA"/>
    <w:rsid w:val="00E9247D"/>
    <w:rsid w:val="00E929D0"/>
    <w:rsid w:val="00E929FC"/>
    <w:rsid w:val="00E94035"/>
    <w:rsid w:val="00E9442B"/>
    <w:rsid w:val="00E954D6"/>
    <w:rsid w:val="00E955F8"/>
    <w:rsid w:val="00E95C0C"/>
    <w:rsid w:val="00E95CF1"/>
    <w:rsid w:val="00E96243"/>
    <w:rsid w:val="00E96A44"/>
    <w:rsid w:val="00EA04B3"/>
    <w:rsid w:val="00EA0D3E"/>
    <w:rsid w:val="00EA14DE"/>
    <w:rsid w:val="00EA1BC2"/>
    <w:rsid w:val="00EA20ED"/>
    <w:rsid w:val="00EA3C53"/>
    <w:rsid w:val="00EA3D3C"/>
    <w:rsid w:val="00EA42B7"/>
    <w:rsid w:val="00EA512D"/>
    <w:rsid w:val="00EA538E"/>
    <w:rsid w:val="00EA653C"/>
    <w:rsid w:val="00EA68FB"/>
    <w:rsid w:val="00EA6E89"/>
    <w:rsid w:val="00EA748A"/>
    <w:rsid w:val="00EA7983"/>
    <w:rsid w:val="00EA7FD6"/>
    <w:rsid w:val="00EB0C14"/>
    <w:rsid w:val="00EB1C4E"/>
    <w:rsid w:val="00EB2222"/>
    <w:rsid w:val="00EB2288"/>
    <w:rsid w:val="00EB25EC"/>
    <w:rsid w:val="00EB3A2B"/>
    <w:rsid w:val="00EB3C8D"/>
    <w:rsid w:val="00EB4B3C"/>
    <w:rsid w:val="00EB5CD5"/>
    <w:rsid w:val="00EB6FD4"/>
    <w:rsid w:val="00EB7012"/>
    <w:rsid w:val="00EB79BD"/>
    <w:rsid w:val="00EB7CAB"/>
    <w:rsid w:val="00EB7DC4"/>
    <w:rsid w:val="00EC10B3"/>
    <w:rsid w:val="00EC1ABC"/>
    <w:rsid w:val="00EC1BC9"/>
    <w:rsid w:val="00EC23AC"/>
    <w:rsid w:val="00EC25E6"/>
    <w:rsid w:val="00EC2B39"/>
    <w:rsid w:val="00EC2FB8"/>
    <w:rsid w:val="00EC352D"/>
    <w:rsid w:val="00EC3C66"/>
    <w:rsid w:val="00EC40DE"/>
    <w:rsid w:val="00EC58F9"/>
    <w:rsid w:val="00EC667C"/>
    <w:rsid w:val="00EC70C8"/>
    <w:rsid w:val="00EC7AE4"/>
    <w:rsid w:val="00EC7BE4"/>
    <w:rsid w:val="00ED00C7"/>
    <w:rsid w:val="00ED01E0"/>
    <w:rsid w:val="00ED0776"/>
    <w:rsid w:val="00ED136C"/>
    <w:rsid w:val="00ED1D7D"/>
    <w:rsid w:val="00ED2257"/>
    <w:rsid w:val="00ED3376"/>
    <w:rsid w:val="00ED33F5"/>
    <w:rsid w:val="00ED3C14"/>
    <w:rsid w:val="00ED3CC8"/>
    <w:rsid w:val="00ED43FC"/>
    <w:rsid w:val="00ED4B80"/>
    <w:rsid w:val="00ED568D"/>
    <w:rsid w:val="00ED5BD3"/>
    <w:rsid w:val="00ED5E1F"/>
    <w:rsid w:val="00ED5E79"/>
    <w:rsid w:val="00ED641C"/>
    <w:rsid w:val="00ED6FAB"/>
    <w:rsid w:val="00ED770D"/>
    <w:rsid w:val="00ED7AC0"/>
    <w:rsid w:val="00EE0E6B"/>
    <w:rsid w:val="00EE1DDC"/>
    <w:rsid w:val="00EE1F15"/>
    <w:rsid w:val="00EE250C"/>
    <w:rsid w:val="00EE2CA5"/>
    <w:rsid w:val="00EE2E36"/>
    <w:rsid w:val="00EE535E"/>
    <w:rsid w:val="00EE5E5A"/>
    <w:rsid w:val="00EE6700"/>
    <w:rsid w:val="00EE72E7"/>
    <w:rsid w:val="00EF2A31"/>
    <w:rsid w:val="00EF2A39"/>
    <w:rsid w:val="00EF3137"/>
    <w:rsid w:val="00EF39AF"/>
    <w:rsid w:val="00EF4AA0"/>
    <w:rsid w:val="00EF51E9"/>
    <w:rsid w:val="00EF5B91"/>
    <w:rsid w:val="00EF615A"/>
    <w:rsid w:val="00EF651A"/>
    <w:rsid w:val="00EF6610"/>
    <w:rsid w:val="00EF67E9"/>
    <w:rsid w:val="00EF6A8B"/>
    <w:rsid w:val="00EF779B"/>
    <w:rsid w:val="00EF7E5B"/>
    <w:rsid w:val="00F00C04"/>
    <w:rsid w:val="00F012E9"/>
    <w:rsid w:val="00F024FD"/>
    <w:rsid w:val="00F0280D"/>
    <w:rsid w:val="00F02B2A"/>
    <w:rsid w:val="00F02DCB"/>
    <w:rsid w:val="00F03266"/>
    <w:rsid w:val="00F043D1"/>
    <w:rsid w:val="00F04531"/>
    <w:rsid w:val="00F04D88"/>
    <w:rsid w:val="00F04DAA"/>
    <w:rsid w:val="00F05066"/>
    <w:rsid w:val="00F066F9"/>
    <w:rsid w:val="00F06946"/>
    <w:rsid w:val="00F06AEE"/>
    <w:rsid w:val="00F104B1"/>
    <w:rsid w:val="00F10945"/>
    <w:rsid w:val="00F109FD"/>
    <w:rsid w:val="00F11BE5"/>
    <w:rsid w:val="00F11F19"/>
    <w:rsid w:val="00F12650"/>
    <w:rsid w:val="00F12DC3"/>
    <w:rsid w:val="00F13BD0"/>
    <w:rsid w:val="00F149CC"/>
    <w:rsid w:val="00F1532F"/>
    <w:rsid w:val="00F15E71"/>
    <w:rsid w:val="00F16E19"/>
    <w:rsid w:val="00F16F76"/>
    <w:rsid w:val="00F17A92"/>
    <w:rsid w:val="00F17AEF"/>
    <w:rsid w:val="00F17BF0"/>
    <w:rsid w:val="00F20223"/>
    <w:rsid w:val="00F20D36"/>
    <w:rsid w:val="00F20D5E"/>
    <w:rsid w:val="00F22C05"/>
    <w:rsid w:val="00F22E2F"/>
    <w:rsid w:val="00F23B2A"/>
    <w:rsid w:val="00F248A8"/>
    <w:rsid w:val="00F24DB0"/>
    <w:rsid w:val="00F24E21"/>
    <w:rsid w:val="00F26838"/>
    <w:rsid w:val="00F26E11"/>
    <w:rsid w:val="00F3043E"/>
    <w:rsid w:val="00F3228F"/>
    <w:rsid w:val="00F329FF"/>
    <w:rsid w:val="00F32B52"/>
    <w:rsid w:val="00F32CC7"/>
    <w:rsid w:val="00F331C7"/>
    <w:rsid w:val="00F34C06"/>
    <w:rsid w:val="00F34DAD"/>
    <w:rsid w:val="00F35081"/>
    <w:rsid w:val="00F355AE"/>
    <w:rsid w:val="00F35D15"/>
    <w:rsid w:val="00F36309"/>
    <w:rsid w:val="00F36609"/>
    <w:rsid w:val="00F37132"/>
    <w:rsid w:val="00F37BFC"/>
    <w:rsid w:val="00F4206A"/>
    <w:rsid w:val="00F42B0D"/>
    <w:rsid w:val="00F4541F"/>
    <w:rsid w:val="00F45CDE"/>
    <w:rsid w:val="00F45EE5"/>
    <w:rsid w:val="00F4616F"/>
    <w:rsid w:val="00F46879"/>
    <w:rsid w:val="00F46EFC"/>
    <w:rsid w:val="00F4765E"/>
    <w:rsid w:val="00F47B5D"/>
    <w:rsid w:val="00F47B74"/>
    <w:rsid w:val="00F50F20"/>
    <w:rsid w:val="00F51C5D"/>
    <w:rsid w:val="00F528F8"/>
    <w:rsid w:val="00F5358E"/>
    <w:rsid w:val="00F545C8"/>
    <w:rsid w:val="00F55320"/>
    <w:rsid w:val="00F57022"/>
    <w:rsid w:val="00F577A6"/>
    <w:rsid w:val="00F57D5B"/>
    <w:rsid w:val="00F61709"/>
    <w:rsid w:val="00F621E3"/>
    <w:rsid w:val="00F63720"/>
    <w:rsid w:val="00F63B55"/>
    <w:rsid w:val="00F6480B"/>
    <w:rsid w:val="00F64AFE"/>
    <w:rsid w:val="00F65EA9"/>
    <w:rsid w:val="00F67098"/>
    <w:rsid w:val="00F67A59"/>
    <w:rsid w:val="00F67EBD"/>
    <w:rsid w:val="00F71E31"/>
    <w:rsid w:val="00F72ADB"/>
    <w:rsid w:val="00F72EBC"/>
    <w:rsid w:val="00F743F7"/>
    <w:rsid w:val="00F7449D"/>
    <w:rsid w:val="00F75BF5"/>
    <w:rsid w:val="00F764EC"/>
    <w:rsid w:val="00F76EE4"/>
    <w:rsid w:val="00F77239"/>
    <w:rsid w:val="00F775AD"/>
    <w:rsid w:val="00F77B73"/>
    <w:rsid w:val="00F800B7"/>
    <w:rsid w:val="00F8031C"/>
    <w:rsid w:val="00F8033F"/>
    <w:rsid w:val="00F8087E"/>
    <w:rsid w:val="00F80AA1"/>
    <w:rsid w:val="00F80EE7"/>
    <w:rsid w:val="00F80FD2"/>
    <w:rsid w:val="00F818A5"/>
    <w:rsid w:val="00F818A7"/>
    <w:rsid w:val="00F81EFE"/>
    <w:rsid w:val="00F82163"/>
    <w:rsid w:val="00F831CE"/>
    <w:rsid w:val="00F84817"/>
    <w:rsid w:val="00F84937"/>
    <w:rsid w:val="00F84C9F"/>
    <w:rsid w:val="00F853B1"/>
    <w:rsid w:val="00F855E7"/>
    <w:rsid w:val="00F867E9"/>
    <w:rsid w:val="00F869A4"/>
    <w:rsid w:val="00F86F4B"/>
    <w:rsid w:val="00F87135"/>
    <w:rsid w:val="00F90618"/>
    <w:rsid w:val="00F90A41"/>
    <w:rsid w:val="00F90C58"/>
    <w:rsid w:val="00F9149B"/>
    <w:rsid w:val="00F91709"/>
    <w:rsid w:val="00F91FAF"/>
    <w:rsid w:val="00F921CD"/>
    <w:rsid w:val="00F92971"/>
    <w:rsid w:val="00F92D2B"/>
    <w:rsid w:val="00F9316B"/>
    <w:rsid w:val="00F93408"/>
    <w:rsid w:val="00F9347D"/>
    <w:rsid w:val="00F93B0C"/>
    <w:rsid w:val="00F93F76"/>
    <w:rsid w:val="00F93F85"/>
    <w:rsid w:val="00F940F5"/>
    <w:rsid w:val="00F94CC6"/>
    <w:rsid w:val="00F955EA"/>
    <w:rsid w:val="00F9578A"/>
    <w:rsid w:val="00F96A0E"/>
    <w:rsid w:val="00F96B37"/>
    <w:rsid w:val="00FA006B"/>
    <w:rsid w:val="00FA0DB7"/>
    <w:rsid w:val="00FA0E7D"/>
    <w:rsid w:val="00FA174B"/>
    <w:rsid w:val="00FA2135"/>
    <w:rsid w:val="00FA23D5"/>
    <w:rsid w:val="00FA291E"/>
    <w:rsid w:val="00FA471B"/>
    <w:rsid w:val="00FA4860"/>
    <w:rsid w:val="00FA4980"/>
    <w:rsid w:val="00FA49D1"/>
    <w:rsid w:val="00FA4AAC"/>
    <w:rsid w:val="00FA6358"/>
    <w:rsid w:val="00FA6869"/>
    <w:rsid w:val="00FA70AD"/>
    <w:rsid w:val="00FA74AC"/>
    <w:rsid w:val="00FA771C"/>
    <w:rsid w:val="00FB2968"/>
    <w:rsid w:val="00FB32D2"/>
    <w:rsid w:val="00FB3B2F"/>
    <w:rsid w:val="00FB3FDD"/>
    <w:rsid w:val="00FB47DE"/>
    <w:rsid w:val="00FB4FA1"/>
    <w:rsid w:val="00FB5A9C"/>
    <w:rsid w:val="00FB5AEA"/>
    <w:rsid w:val="00FB5AEB"/>
    <w:rsid w:val="00FB62E2"/>
    <w:rsid w:val="00FB6A26"/>
    <w:rsid w:val="00FB6FF2"/>
    <w:rsid w:val="00FB7197"/>
    <w:rsid w:val="00FB7BD3"/>
    <w:rsid w:val="00FC04C4"/>
    <w:rsid w:val="00FC0789"/>
    <w:rsid w:val="00FC1277"/>
    <w:rsid w:val="00FC188F"/>
    <w:rsid w:val="00FC1C62"/>
    <w:rsid w:val="00FC2021"/>
    <w:rsid w:val="00FC28D4"/>
    <w:rsid w:val="00FC2A9B"/>
    <w:rsid w:val="00FC2FCF"/>
    <w:rsid w:val="00FC32BD"/>
    <w:rsid w:val="00FC3677"/>
    <w:rsid w:val="00FC45EC"/>
    <w:rsid w:val="00FC52BC"/>
    <w:rsid w:val="00FC7138"/>
    <w:rsid w:val="00FC71A7"/>
    <w:rsid w:val="00FC72D2"/>
    <w:rsid w:val="00FC7785"/>
    <w:rsid w:val="00FD01C6"/>
    <w:rsid w:val="00FD1253"/>
    <w:rsid w:val="00FD1644"/>
    <w:rsid w:val="00FD1C23"/>
    <w:rsid w:val="00FD1E37"/>
    <w:rsid w:val="00FD2508"/>
    <w:rsid w:val="00FD3B44"/>
    <w:rsid w:val="00FD3BE8"/>
    <w:rsid w:val="00FD3D86"/>
    <w:rsid w:val="00FD4224"/>
    <w:rsid w:val="00FD4D38"/>
    <w:rsid w:val="00FD536E"/>
    <w:rsid w:val="00FD613C"/>
    <w:rsid w:val="00FD6BC7"/>
    <w:rsid w:val="00FD6CBA"/>
    <w:rsid w:val="00FD6FE2"/>
    <w:rsid w:val="00FD77B5"/>
    <w:rsid w:val="00FE00A0"/>
    <w:rsid w:val="00FE08C3"/>
    <w:rsid w:val="00FE09D8"/>
    <w:rsid w:val="00FE122B"/>
    <w:rsid w:val="00FE1535"/>
    <w:rsid w:val="00FE1659"/>
    <w:rsid w:val="00FE1D20"/>
    <w:rsid w:val="00FE4701"/>
    <w:rsid w:val="00FE4BA9"/>
    <w:rsid w:val="00FE5231"/>
    <w:rsid w:val="00FE53A8"/>
    <w:rsid w:val="00FE5615"/>
    <w:rsid w:val="00FE5DDC"/>
    <w:rsid w:val="00FE5EFC"/>
    <w:rsid w:val="00FE6D9B"/>
    <w:rsid w:val="00FF070D"/>
    <w:rsid w:val="00FF087E"/>
    <w:rsid w:val="00FF1068"/>
    <w:rsid w:val="00FF1836"/>
    <w:rsid w:val="00FF1FAC"/>
    <w:rsid w:val="00FF2F08"/>
    <w:rsid w:val="00FF2FD5"/>
    <w:rsid w:val="00FF336F"/>
    <w:rsid w:val="00FF3E3D"/>
    <w:rsid w:val="00FF46B8"/>
    <w:rsid w:val="00FF6A32"/>
    <w:rsid w:val="00FF7958"/>
    <w:rsid w:val="01592DC4"/>
    <w:rsid w:val="0160108B"/>
    <w:rsid w:val="016624FA"/>
    <w:rsid w:val="01A03A9F"/>
    <w:rsid w:val="01B8328B"/>
    <w:rsid w:val="01EA0F34"/>
    <w:rsid w:val="02AF74B8"/>
    <w:rsid w:val="02C634C2"/>
    <w:rsid w:val="02D83D36"/>
    <w:rsid w:val="02E7A6B8"/>
    <w:rsid w:val="0338A70D"/>
    <w:rsid w:val="034DF93B"/>
    <w:rsid w:val="036F58F9"/>
    <w:rsid w:val="03AC7174"/>
    <w:rsid w:val="03D8568D"/>
    <w:rsid w:val="0442A88C"/>
    <w:rsid w:val="04759E53"/>
    <w:rsid w:val="04A63212"/>
    <w:rsid w:val="04F689B9"/>
    <w:rsid w:val="04F86FEF"/>
    <w:rsid w:val="04FFFF31"/>
    <w:rsid w:val="052AB88A"/>
    <w:rsid w:val="056E6AB7"/>
    <w:rsid w:val="058121A0"/>
    <w:rsid w:val="0588B532"/>
    <w:rsid w:val="059704CA"/>
    <w:rsid w:val="05C91E3B"/>
    <w:rsid w:val="06104895"/>
    <w:rsid w:val="0630CB14"/>
    <w:rsid w:val="069997E6"/>
    <w:rsid w:val="069D3C93"/>
    <w:rsid w:val="06E01BCC"/>
    <w:rsid w:val="0730A134"/>
    <w:rsid w:val="07B0C574"/>
    <w:rsid w:val="08116DFB"/>
    <w:rsid w:val="08448FCB"/>
    <w:rsid w:val="0846EA22"/>
    <w:rsid w:val="084FFBFB"/>
    <w:rsid w:val="08E5ED77"/>
    <w:rsid w:val="092C37EC"/>
    <w:rsid w:val="0930657F"/>
    <w:rsid w:val="095B5461"/>
    <w:rsid w:val="095F4DEF"/>
    <w:rsid w:val="09A33C15"/>
    <w:rsid w:val="0A0982AF"/>
    <w:rsid w:val="0A1F48ED"/>
    <w:rsid w:val="0A2CC3D2"/>
    <w:rsid w:val="0A4C8968"/>
    <w:rsid w:val="0A69E3E0"/>
    <w:rsid w:val="0A883A9B"/>
    <w:rsid w:val="0A93EAB7"/>
    <w:rsid w:val="0ACF6190"/>
    <w:rsid w:val="0AFF5836"/>
    <w:rsid w:val="0B108983"/>
    <w:rsid w:val="0B1270C5"/>
    <w:rsid w:val="0B33CC55"/>
    <w:rsid w:val="0B707F87"/>
    <w:rsid w:val="0B7A9477"/>
    <w:rsid w:val="0BD8A8CA"/>
    <w:rsid w:val="0C1DF630"/>
    <w:rsid w:val="0C225710"/>
    <w:rsid w:val="0C28242B"/>
    <w:rsid w:val="0C2FF23E"/>
    <w:rsid w:val="0C5BD740"/>
    <w:rsid w:val="0C615215"/>
    <w:rsid w:val="0C65E1AB"/>
    <w:rsid w:val="0CD44913"/>
    <w:rsid w:val="0D003DFE"/>
    <w:rsid w:val="0D1E6BA2"/>
    <w:rsid w:val="0D2901E4"/>
    <w:rsid w:val="0D5CD69A"/>
    <w:rsid w:val="0DAA692D"/>
    <w:rsid w:val="0E12A465"/>
    <w:rsid w:val="0E130135"/>
    <w:rsid w:val="0E367D6E"/>
    <w:rsid w:val="0E3A1248"/>
    <w:rsid w:val="0E5008AA"/>
    <w:rsid w:val="0ED71306"/>
    <w:rsid w:val="0EE8798D"/>
    <w:rsid w:val="0F0EF141"/>
    <w:rsid w:val="0F26048F"/>
    <w:rsid w:val="0F50D1D8"/>
    <w:rsid w:val="0F565947"/>
    <w:rsid w:val="0FC3A208"/>
    <w:rsid w:val="0FC87573"/>
    <w:rsid w:val="0FF33A3E"/>
    <w:rsid w:val="100716BE"/>
    <w:rsid w:val="1024B934"/>
    <w:rsid w:val="1030738C"/>
    <w:rsid w:val="10662EA6"/>
    <w:rsid w:val="10A137C0"/>
    <w:rsid w:val="10B447C0"/>
    <w:rsid w:val="10D02501"/>
    <w:rsid w:val="10E00584"/>
    <w:rsid w:val="110443CB"/>
    <w:rsid w:val="111E83A2"/>
    <w:rsid w:val="11401DAC"/>
    <w:rsid w:val="11534455"/>
    <w:rsid w:val="116162E2"/>
    <w:rsid w:val="116DC6B9"/>
    <w:rsid w:val="118BC1AE"/>
    <w:rsid w:val="118DF570"/>
    <w:rsid w:val="119C2563"/>
    <w:rsid w:val="11B3998D"/>
    <w:rsid w:val="11BFC0E1"/>
    <w:rsid w:val="11E6346F"/>
    <w:rsid w:val="121FC16A"/>
    <w:rsid w:val="123A84E8"/>
    <w:rsid w:val="123E482E"/>
    <w:rsid w:val="12529E48"/>
    <w:rsid w:val="1284C9BB"/>
    <w:rsid w:val="12CB25BA"/>
    <w:rsid w:val="12D2A314"/>
    <w:rsid w:val="12FB6DF2"/>
    <w:rsid w:val="130C0DF8"/>
    <w:rsid w:val="13133B6F"/>
    <w:rsid w:val="13160364"/>
    <w:rsid w:val="131F7246"/>
    <w:rsid w:val="133EAE00"/>
    <w:rsid w:val="137AB3EA"/>
    <w:rsid w:val="137FA96D"/>
    <w:rsid w:val="137FE8B0"/>
    <w:rsid w:val="13B64E4E"/>
    <w:rsid w:val="13C9BFAD"/>
    <w:rsid w:val="1470076E"/>
    <w:rsid w:val="14B466A2"/>
    <w:rsid w:val="14C34B6A"/>
    <w:rsid w:val="14EF13FF"/>
    <w:rsid w:val="1511E638"/>
    <w:rsid w:val="157968EC"/>
    <w:rsid w:val="16078CDC"/>
    <w:rsid w:val="162E6ABE"/>
    <w:rsid w:val="1640FF78"/>
    <w:rsid w:val="1643C06F"/>
    <w:rsid w:val="16446464"/>
    <w:rsid w:val="165E6FE5"/>
    <w:rsid w:val="16B47572"/>
    <w:rsid w:val="16C39AFA"/>
    <w:rsid w:val="16DAB11A"/>
    <w:rsid w:val="16E5858B"/>
    <w:rsid w:val="1715F8E1"/>
    <w:rsid w:val="1741F856"/>
    <w:rsid w:val="1744892F"/>
    <w:rsid w:val="1768D4F7"/>
    <w:rsid w:val="176A5FD1"/>
    <w:rsid w:val="17D546E5"/>
    <w:rsid w:val="17EADDE9"/>
    <w:rsid w:val="18281293"/>
    <w:rsid w:val="183608CD"/>
    <w:rsid w:val="183C2A50"/>
    <w:rsid w:val="184E19CE"/>
    <w:rsid w:val="18896F57"/>
    <w:rsid w:val="189AA8FA"/>
    <w:rsid w:val="18C14407"/>
    <w:rsid w:val="18CD86CB"/>
    <w:rsid w:val="19282AE3"/>
    <w:rsid w:val="193FE0ED"/>
    <w:rsid w:val="1956D582"/>
    <w:rsid w:val="19717F23"/>
    <w:rsid w:val="1986F1A1"/>
    <w:rsid w:val="199EDE9F"/>
    <w:rsid w:val="19A29E95"/>
    <w:rsid w:val="19C941AD"/>
    <w:rsid w:val="19CB86E4"/>
    <w:rsid w:val="19D17D34"/>
    <w:rsid w:val="19DA471A"/>
    <w:rsid w:val="19FAF19E"/>
    <w:rsid w:val="1A1C5183"/>
    <w:rsid w:val="1A2E4765"/>
    <w:rsid w:val="1A3D8264"/>
    <w:rsid w:val="1A4F3C1A"/>
    <w:rsid w:val="1A55CE9C"/>
    <w:rsid w:val="1A5A37BC"/>
    <w:rsid w:val="1A67EAED"/>
    <w:rsid w:val="1AC1F82F"/>
    <w:rsid w:val="1AC4E932"/>
    <w:rsid w:val="1ACF7F90"/>
    <w:rsid w:val="1AE2BD6F"/>
    <w:rsid w:val="1B159E53"/>
    <w:rsid w:val="1B16A7C4"/>
    <w:rsid w:val="1B212F37"/>
    <w:rsid w:val="1B389EBF"/>
    <w:rsid w:val="1B609B61"/>
    <w:rsid w:val="1B9B914C"/>
    <w:rsid w:val="1BCA65A9"/>
    <w:rsid w:val="1BF19E76"/>
    <w:rsid w:val="1BF1AA3C"/>
    <w:rsid w:val="1C008305"/>
    <w:rsid w:val="1C1DC81A"/>
    <w:rsid w:val="1C2F69B7"/>
    <w:rsid w:val="1C4DDFAA"/>
    <w:rsid w:val="1C61DEB6"/>
    <w:rsid w:val="1C6B3B99"/>
    <w:rsid w:val="1CA32E2D"/>
    <w:rsid w:val="1CC9FAC7"/>
    <w:rsid w:val="1D2BBCE5"/>
    <w:rsid w:val="1D440805"/>
    <w:rsid w:val="1D575955"/>
    <w:rsid w:val="1D84EA35"/>
    <w:rsid w:val="1D8E9A13"/>
    <w:rsid w:val="1D9D6F7A"/>
    <w:rsid w:val="1E125327"/>
    <w:rsid w:val="1E214585"/>
    <w:rsid w:val="1EAF2D83"/>
    <w:rsid w:val="1EC2EB1F"/>
    <w:rsid w:val="1EE5D0F5"/>
    <w:rsid w:val="1F5DEDF3"/>
    <w:rsid w:val="1F60FBA9"/>
    <w:rsid w:val="1F778391"/>
    <w:rsid w:val="1F8AF17F"/>
    <w:rsid w:val="1FB30BB3"/>
    <w:rsid w:val="200B870D"/>
    <w:rsid w:val="20368287"/>
    <w:rsid w:val="20414374"/>
    <w:rsid w:val="204248BC"/>
    <w:rsid w:val="20505A3E"/>
    <w:rsid w:val="205D2A02"/>
    <w:rsid w:val="206D12DC"/>
    <w:rsid w:val="208C7D8F"/>
    <w:rsid w:val="208CA1FC"/>
    <w:rsid w:val="209024EB"/>
    <w:rsid w:val="20AD4905"/>
    <w:rsid w:val="2126BF9F"/>
    <w:rsid w:val="212A80A0"/>
    <w:rsid w:val="212F854B"/>
    <w:rsid w:val="212FC6AD"/>
    <w:rsid w:val="212FE725"/>
    <w:rsid w:val="21341D11"/>
    <w:rsid w:val="213B59D2"/>
    <w:rsid w:val="2148191D"/>
    <w:rsid w:val="21E8C9BB"/>
    <w:rsid w:val="21F65E78"/>
    <w:rsid w:val="2225F5C3"/>
    <w:rsid w:val="2237EBCC"/>
    <w:rsid w:val="2279BC4E"/>
    <w:rsid w:val="22A05ECA"/>
    <w:rsid w:val="22B3D0C6"/>
    <w:rsid w:val="22F7E22B"/>
    <w:rsid w:val="23098586"/>
    <w:rsid w:val="230B6CD5"/>
    <w:rsid w:val="231E97E0"/>
    <w:rsid w:val="23279DCA"/>
    <w:rsid w:val="233A735E"/>
    <w:rsid w:val="23AD5F51"/>
    <w:rsid w:val="23E37881"/>
    <w:rsid w:val="23FDEF48"/>
    <w:rsid w:val="2424E715"/>
    <w:rsid w:val="243CA306"/>
    <w:rsid w:val="244939F5"/>
    <w:rsid w:val="24B7FA65"/>
    <w:rsid w:val="24F58D78"/>
    <w:rsid w:val="252A0EB3"/>
    <w:rsid w:val="254ED9CC"/>
    <w:rsid w:val="25752D67"/>
    <w:rsid w:val="25CA6B1B"/>
    <w:rsid w:val="25FBF211"/>
    <w:rsid w:val="2620B123"/>
    <w:rsid w:val="26338211"/>
    <w:rsid w:val="267C1887"/>
    <w:rsid w:val="2687329E"/>
    <w:rsid w:val="268A45DE"/>
    <w:rsid w:val="268B5B35"/>
    <w:rsid w:val="26F0C5DA"/>
    <w:rsid w:val="26F262FC"/>
    <w:rsid w:val="26F4A119"/>
    <w:rsid w:val="270ABD40"/>
    <w:rsid w:val="274A2D0C"/>
    <w:rsid w:val="2752E889"/>
    <w:rsid w:val="27535585"/>
    <w:rsid w:val="2756736D"/>
    <w:rsid w:val="276DE8A4"/>
    <w:rsid w:val="276F12E9"/>
    <w:rsid w:val="2799E63C"/>
    <w:rsid w:val="27ED17A9"/>
    <w:rsid w:val="28510DF0"/>
    <w:rsid w:val="286DE9D7"/>
    <w:rsid w:val="28A0D5C4"/>
    <w:rsid w:val="28D46A37"/>
    <w:rsid w:val="28F6D813"/>
    <w:rsid w:val="28FABAEE"/>
    <w:rsid w:val="29317844"/>
    <w:rsid w:val="29377DC8"/>
    <w:rsid w:val="293B33BF"/>
    <w:rsid w:val="29581D4F"/>
    <w:rsid w:val="2961FA0B"/>
    <w:rsid w:val="29B85AA2"/>
    <w:rsid w:val="29D0F946"/>
    <w:rsid w:val="29DA47F2"/>
    <w:rsid w:val="2A46FC0B"/>
    <w:rsid w:val="2A60C713"/>
    <w:rsid w:val="2A7A5015"/>
    <w:rsid w:val="2A82D587"/>
    <w:rsid w:val="2A94B3D5"/>
    <w:rsid w:val="2A974CE1"/>
    <w:rsid w:val="2AC2267E"/>
    <w:rsid w:val="2AF698BD"/>
    <w:rsid w:val="2B04B995"/>
    <w:rsid w:val="2B23E9FB"/>
    <w:rsid w:val="2B79D288"/>
    <w:rsid w:val="2B8F33C7"/>
    <w:rsid w:val="2BC61566"/>
    <w:rsid w:val="2BEF9834"/>
    <w:rsid w:val="2C32A7A0"/>
    <w:rsid w:val="2C566BDA"/>
    <w:rsid w:val="2C7EDC85"/>
    <w:rsid w:val="2C96AFEA"/>
    <w:rsid w:val="2C96E7A9"/>
    <w:rsid w:val="2CFC5798"/>
    <w:rsid w:val="2D01C5D3"/>
    <w:rsid w:val="2D9C1138"/>
    <w:rsid w:val="2DA61ADA"/>
    <w:rsid w:val="2DC08E07"/>
    <w:rsid w:val="2DD6A1A6"/>
    <w:rsid w:val="2DDFD5A7"/>
    <w:rsid w:val="2E0792D3"/>
    <w:rsid w:val="2E25F52E"/>
    <w:rsid w:val="2E7C8B67"/>
    <w:rsid w:val="2E8C7E61"/>
    <w:rsid w:val="2E92B365"/>
    <w:rsid w:val="2EAFF3D0"/>
    <w:rsid w:val="2EB3C430"/>
    <w:rsid w:val="2ED4F246"/>
    <w:rsid w:val="2F0B38D1"/>
    <w:rsid w:val="2F296E5F"/>
    <w:rsid w:val="2F2FE062"/>
    <w:rsid w:val="2F55F5E1"/>
    <w:rsid w:val="2F64644B"/>
    <w:rsid w:val="2FAD4008"/>
    <w:rsid w:val="2FB93735"/>
    <w:rsid w:val="2FBB4837"/>
    <w:rsid w:val="2FDE020F"/>
    <w:rsid w:val="2FF951C6"/>
    <w:rsid w:val="300F6A4B"/>
    <w:rsid w:val="3011E43A"/>
    <w:rsid w:val="3018859D"/>
    <w:rsid w:val="30360169"/>
    <w:rsid w:val="304B5C71"/>
    <w:rsid w:val="306756B5"/>
    <w:rsid w:val="3090013E"/>
    <w:rsid w:val="30947198"/>
    <w:rsid w:val="3098DE81"/>
    <w:rsid w:val="30E5A66C"/>
    <w:rsid w:val="30E85F09"/>
    <w:rsid w:val="30F7D8FF"/>
    <w:rsid w:val="30FD6B69"/>
    <w:rsid w:val="31649BD4"/>
    <w:rsid w:val="31935661"/>
    <w:rsid w:val="319A2D2E"/>
    <w:rsid w:val="31DFD5C9"/>
    <w:rsid w:val="31E2C5B2"/>
    <w:rsid w:val="32141A6B"/>
    <w:rsid w:val="321CC7E2"/>
    <w:rsid w:val="321F9F8A"/>
    <w:rsid w:val="329CE5D3"/>
    <w:rsid w:val="32B35AC3"/>
    <w:rsid w:val="32D6774A"/>
    <w:rsid w:val="32F643C0"/>
    <w:rsid w:val="330A1721"/>
    <w:rsid w:val="331DB5D0"/>
    <w:rsid w:val="33521F4F"/>
    <w:rsid w:val="33649F52"/>
    <w:rsid w:val="33918AC0"/>
    <w:rsid w:val="33B8A1CF"/>
    <w:rsid w:val="33C3E45B"/>
    <w:rsid w:val="33D151AF"/>
    <w:rsid w:val="341E33BD"/>
    <w:rsid w:val="343A3649"/>
    <w:rsid w:val="343FD8CB"/>
    <w:rsid w:val="3456507D"/>
    <w:rsid w:val="34577D3E"/>
    <w:rsid w:val="3473CD1D"/>
    <w:rsid w:val="34854472"/>
    <w:rsid w:val="349AE3EA"/>
    <w:rsid w:val="34B3CEB7"/>
    <w:rsid w:val="34BE6C51"/>
    <w:rsid w:val="34D39DF7"/>
    <w:rsid w:val="35199B8E"/>
    <w:rsid w:val="3543C087"/>
    <w:rsid w:val="355C67D2"/>
    <w:rsid w:val="35A5FA70"/>
    <w:rsid w:val="35DEA882"/>
    <w:rsid w:val="35F3EBA2"/>
    <w:rsid w:val="3699F84D"/>
    <w:rsid w:val="369C2B10"/>
    <w:rsid w:val="36AD8376"/>
    <w:rsid w:val="36D15F58"/>
    <w:rsid w:val="36FF0B9B"/>
    <w:rsid w:val="3732F82F"/>
    <w:rsid w:val="373B16D7"/>
    <w:rsid w:val="373C9C8F"/>
    <w:rsid w:val="378501D5"/>
    <w:rsid w:val="37B96B61"/>
    <w:rsid w:val="37C27F29"/>
    <w:rsid w:val="380A988D"/>
    <w:rsid w:val="38221003"/>
    <w:rsid w:val="385A8136"/>
    <w:rsid w:val="3881CE1F"/>
    <w:rsid w:val="38B60F3C"/>
    <w:rsid w:val="38CD4D99"/>
    <w:rsid w:val="38D69E14"/>
    <w:rsid w:val="38F3CA57"/>
    <w:rsid w:val="38F7DA0C"/>
    <w:rsid w:val="38FE0200"/>
    <w:rsid w:val="39154ECC"/>
    <w:rsid w:val="3955A36F"/>
    <w:rsid w:val="39902531"/>
    <w:rsid w:val="39A70E88"/>
    <w:rsid w:val="39B66E7C"/>
    <w:rsid w:val="39CAAD84"/>
    <w:rsid w:val="39CEAE5E"/>
    <w:rsid w:val="3A0550E0"/>
    <w:rsid w:val="3A2C185E"/>
    <w:rsid w:val="3A2D4430"/>
    <w:rsid w:val="3A67D0E0"/>
    <w:rsid w:val="3A7DF37A"/>
    <w:rsid w:val="3AA3B0DF"/>
    <w:rsid w:val="3AB84019"/>
    <w:rsid w:val="3AC5C83F"/>
    <w:rsid w:val="3AE7E5D5"/>
    <w:rsid w:val="3B0EDBFB"/>
    <w:rsid w:val="3B2917F2"/>
    <w:rsid w:val="3B2CC6C9"/>
    <w:rsid w:val="3B551CA0"/>
    <w:rsid w:val="3B5D88B8"/>
    <w:rsid w:val="3B6D2682"/>
    <w:rsid w:val="3B9B8E24"/>
    <w:rsid w:val="3B9EDCCA"/>
    <w:rsid w:val="3BB133FF"/>
    <w:rsid w:val="3BE7EA98"/>
    <w:rsid w:val="3C36D976"/>
    <w:rsid w:val="3C89B362"/>
    <w:rsid w:val="3CE34F10"/>
    <w:rsid w:val="3CE5F3A6"/>
    <w:rsid w:val="3CF4340C"/>
    <w:rsid w:val="3D033FDE"/>
    <w:rsid w:val="3D4FA64E"/>
    <w:rsid w:val="3DB01DC2"/>
    <w:rsid w:val="3DC9C23B"/>
    <w:rsid w:val="3E21A13A"/>
    <w:rsid w:val="3E4D89C5"/>
    <w:rsid w:val="3E845E41"/>
    <w:rsid w:val="3E89717D"/>
    <w:rsid w:val="3ECCFB55"/>
    <w:rsid w:val="3ED379DC"/>
    <w:rsid w:val="3F1E544C"/>
    <w:rsid w:val="3F2218B3"/>
    <w:rsid w:val="3F4227EE"/>
    <w:rsid w:val="3FA3D861"/>
    <w:rsid w:val="4056FD54"/>
    <w:rsid w:val="40A8BC1E"/>
    <w:rsid w:val="40CEBC7E"/>
    <w:rsid w:val="40D6B3BE"/>
    <w:rsid w:val="40EEDC63"/>
    <w:rsid w:val="41183A7D"/>
    <w:rsid w:val="41225F08"/>
    <w:rsid w:val="4134F4BE"/>
    <w:rsid w:val="414E7223"/>
    <w:rsid w:val="415A10AF"/>
    <w:rsid w:val="41E8D2D1"/>
    <w:rsid w:val="41F4A0FC"/>
    <w:rsid w:val="420CD9CA"/>
    <w:rsid w:val="425A7594"/>
    <w:rsid w:val="42B818A8"/>
    <w:rsid w:val="42BCA747"/>
    <w:rsid w:val="42D29100"/>
    <w:rsid w:val="42FF4C22"/>
    <w:rsid w:val="4306FE7C"/>
    <w:rsid w:val="433718CB"/>
    <w:rsid w:val="43932791"/>
    <w:rsid w:val="43A2DC91"/>
    <w:rsid w:val="43A5A290"/>
    <w:rsid w:val="43B970F4"/>
    <w:rsid w:val="43D5C124"/>
    <w:rsid w:val="44062728"/>
    <w:rsid w:val="4438D680"/>
    <w:rsid w:val="44510D27"/>
    <w:rsid w:val="44BF1DB6"/>
    <w:rsid w:val="44C2CABF"/>
    <w:rsid w:val="44D11AFF"/>
    <w:rsid w:val="44F4B8D7"/>
    <w:rsid w:val="452F66EA"/>
    <w:rsid w:val="45359E84"/>
    <w:rsid w:val="4535B8A8"/>
    <w:rsid w:val="4545CE54"/>
    <w:rsid w:val="45780273"/>
    <w:rsid w:val="45BA88CA"/>
    <w:rsid w:val="45CAB0BD"/>
    <w:rsid w:val="45CFBFE6"/>
    <w:rsid w:val="463965B3"/>
    <w:rsid w:val="463E366E"/>
    <w:rsid w:val="4685BFDB"/>
    <w:rsid w:val="469B2A48"/>
    <w:rsid w:val="46B5A735"/>
    <w:rsid w:val="46B6DCE9"/>
    <w:rsid w:val="46D4A0CB"/>
    <w:rsid w:val="46F45CD1"/>
    <w:rsid w:val="4744B195"/>
    <w:rsid w:val="474CF88A"/>
    <w:rsid w:val="477CD013"/>
    <w:rsid w:val="47859A67"/>
    <w:rsid w:val="47AA0506"/>
    <w:rsid w:val="47B20953"/>
    <w:rsid w:val="47BC7ABF"/>
    <w:rsid w:val="47D1FDC6"/>
    <w:rsid w:val="47E1F5E5"/>
    <w:rsid w:val="47EB9699"/>
    <w:rsid w:val="47F53EB7"/>
    <w:rsid w:val="480D9149"/>
    <w:rsid w:val="482A139F"/>
    <w:rsid w:val="485FB1FF"/>
    <w:rsid w:val="4886E1EC"/>
    <w:rsid w:val="48CF55E3"/>
    <w:rsid w:val="48DC876C"/>
    <w:rsid w:val="48E77468"/>
    <w:rsid w:val="49133042"/>
    <w:rsid w:val="4932B1C8"/>
    <w:rsid w:val="495D8987"/>
    <w:rsid w:val="4988B344"/>
    <w:rsid w:val="49FE5AB3"/>
    <w:rsid w:val="4A085532"/>
    <w:rsid w:val="4A3D95C5"/>
    <w:rsid w:val="4A44713E"/>
    <w:rsid w:val="4A6CCAC5"/>
    <w:rsid w:val="4AA28A9D"/>
    <w:rsid w:val="4AF84215"/>
    <w:rsid w:val="4AFA52F7"/>
    <w:rsid w:val="4B1A33FE"/>
    <w:rsid w:val="4B5943F6"/>
    <w:rsid w:val="4B68CA81"/>
    <w:rsid w:val="4B70B39B"/>
    <w:rsid w:val="4C2BEC41"/>
    <w:rsid w:val="4C35FC4E"/>
    <w:rsid w:val="4C5C7DEC"/>
    <w:rsid w:val="4C7A4D9F"/>
    <w:rsid w:val="4C8C37A7"/>
    <w:rsid w:val="4D055CEE"/>
    <w:rsid w:val="4D25A3D4"/>
    <w:rsid w:val="4D33E1E6"/>
    <w:rsid w:val="4D4AA9B0"/>
    <w:rsid w:val="4D62B94C"/>
    <w:rsid w:val="4D96D1EE"/>
    <w:rsid w:val="4DDD17B6"/>
    <w:rsid w:val="4DE47774"/>
    <w:rsid w:val="4E2D2E22"/>
    <w:rsid w:val="4E45D24F"/>
    <w:rsid w:val="4E71E0A7"/>
    <w:rsid w:val="4E88D59B"/>
    <w:rsid w:val="4EAF6008"/>
    <w:rsid w:val="4EC8311B"/>
    <w:rsid w:val="4EE85A16"/>
    <w:rsid w:val="4F077D58"/>
    <w:rsid w:val="4F176B39"/>
    <w:rsid w:val="4F2AE9B1"/>
    <w:rsid w:val="4F46B9DA"/>
    <w:rsid w:val="4F715FB9"/>
    <w:rsid w:val="4FFC5AE3"/>
    <w:rsid w:val="5006F958"/>
    <w:rsid w:val="506F8024"/>
    <w:rsid w:val="509C5F53"/>
    <w:rsid w:val="50A35815"/>
    <w:rsid w:val="5134E2B8"/>
    <w:rsid w:val="513BA738"/>
    <w:rsid w:val="5149AAF8"/>
    <w:rsid w:val="514DA2FC"/>
    <w:rsid w:val="5183A9AA"/>
    <w:rsid w:val="518BB27D"/>
    <w:rsid w:val="519552EF"/>
    <w:rsid w:val="51CE5FA2"/>
    <w:rsid w:val="51DECE92"/>
    <w:rsid w:val="51F02F25"/>
    <w:rsid w:val="52170425"/>
    <w:rsid w:val="52268584"/>
    <w:rsid w:val="52735DF3"/>
    <w:rsid w:val="527D230F"/>
    <w:rsid w:val="528D95A8"/>
    <w:rsid w:val="5291244C"/>
    <w:rsid w:val="531BB77C"/>
    <w:rsid w:val="532E6C85"/>
    <w:rsid w:val="533B12D7"/>
    <w:rsid w:val="535A96CA"/>
    <w:rsid w:val="535CA631"/>
    <w:rsid w:val="53734DA0"/>
    <w:rsid w:val="5384F394"/>
    <w:rsid w:val="5389992B"/>
    <w:rsid w:val="538A7860"/>
    <w:rsid w:val="538A7CF5"/>
    <w:rsid w:val="5397582E"/>
    <w:rsid w:val="53A636F4"/>
    <w:rsid w:val="53C30D18"/>
    <w:rsid w:val="53F033BF"/>
    <w:rsid w:val="540B087C"/>
    <w:rsid w:val="540C6103"/>
    <w:rsid w:val="54B3C001"/>
    <w:rsid w:val="54CC663C"/>
    <w:rsid w:val="54D961DA"/>
    <w:rsid w:val="54ED32A4"/>
    <w:rsid w:val="54FE4301"/>
    <w:rsid w:val="557EEAB4"/>
    <w:rsid w:val="558A04B9"/>
    <w:rsid w:val="558D68A1"/>
    <w:rsid w:val="559C82D6"/>
    <w:rsid w:val="55AC2773"/>
    <w:rsid w:val="55BDF8B3"/>
    <w:rsid w:val="55C1C10B"/>
    <w:rsid w:val="55C84FE8"/>
    <w:rsid w:val="55D53276"/>
    <w:rsid w:val="55F6812F"/>
    <w:rsid w:val="5622E94F"/>
    <w:rsid w:val="56487998"/>
    <w:rsid w:val="569246F3"/>
    <w:rsid w:val="5697CF8E"/>
    <w:rsid w:val="56C76AF9"/>
    <w:rsid w:val="56D6A61C"/>
    <w:rsid w:val="56EA4BF3"/>
    <w:rsid w:val="57050591"/>
    <w:rsid w:val="570A4B39"/>
    <w:rsid w:val="570DF38C"/>
    <w:rsid w:val="5718491A"/>
    <w:rsid w:val="576D1859"/>
    <w:rsid w:val="578807C7"/>
    <w:rsid w:val="57AE8754"/>
    <w:rsid w:val="57B7920C"/>
    <w:rsid w:val="57B9C50C"/>
    <w:rsid w:val="57C6CFF5"/>
    <w:rsid w:val="57EB19E3"/>
    <w:rsid w:val="57EDB16F"/>
    <w:rsid w:val="57FBC8CF"/>
    <w:rsid w:val="57FC62B6"/>
    <w:rsid w:val="582BC386"/>
    <w:rsid w:val="5834B345"/>
    <w:rsid w:val="5838B92F"/>
    <w:rsid w:val="5855AF57"/>
    <w:rsid w:val="587C9A9C"/>
    <w:rsid w:val="59174F5E"/>
    <w:rsid w:val="592DE4D3"/>
    <w:rsid w:val="594A5CBC"/>
    <w:rsid w:val="5950B590"/>
    <w:rsid w:val="597DF712"/>
    <w:rsid w:val="598B12A3"/>
    <w:rsid w:val="59941257"/>
    <w:rsid w:val="5997F046"/>
    <w:rsid w:val="59A0B06E"/>
    <w:rsid w:val="59B17636"/>
    <w:rsid w:val="59EA624C"/>
    <w:rsid w:val="5A0C32F6"/>
    <w:rsid w:val="5A3AF19E"/>
    <w:rsid w:val="5B20E7E5"/>
    <w:rsid w:val="5B22BC25"/>
    <w:rsid w:val="5B3672B8"/>
    <w:rsid w:val="5B53221E"/>
    <w:rsid w:val="5B9BC6D3"/>
    <w:rsid w:val="5BB85E67"/>
    <w:rsid w:val="5BC8017C"/>
    <w:rsid w:val="5BD90CAC"/>
    <w:rsid w:val="5C014A7F"/>
    <w:rsid w:val="5C0C1B43"/>
    <w:rsid w:val="5C0CBC6B"/>
    <w:rsid w:val="5C46F642"/>
    <w:rsid w:val="5C50F680"/>
    <w:rsid w:val="5C61C7D4"/>
    <w:rsid w:val="5C8CBA7A"/>
    <w:rsid w:val="5D00FAC0"/>
    <w:rsid w:val="5D2640B9"/>
    <w:rsid w:val="5D6D2BB8"/>
    <w:rsid w:val="5D888FB9"/>
    <w:rsid w:val="5DD62CC7"/>
    <w:rsid w:val="5DDF948E"/>
    <w:rsid w:val="5DE20736"/>
    <w:rsid w:val="5E122DB6"/>
    <w:rsid w:val="5E19ED6D"/>
    <w:rsid w:val="5EC0C898"/>
    <w:rsid w:val="5EC4377E"/>
    <w:rsid w:val="5EC5434A"/>
    <w:rsid w:val="5EEC2D8A"/>
    <w:rsid w:val="5F463997"/>
    <w:rsid w:val="5F760118"/>
    <w:rsid w:val="5F81D326"/>
    <w:rsid w:val="5F9486E7"/>
    <w:rsid w:val="5FEB5EA5"/>
    <w:rsid w:val="600C65C2"/>
    <w:rsid w:val="60186CAD"/>
    <w:rsid w:val="60217622"/>
    <w:rsid w:val="6033BA04"/>
    <w:rsid w:val="605D90B3"/>
    <w:rsid w:val="605E7F0A"/>
    <w:rsid w:val="6060539C"/>
    <w:rsid w:val="606FBD50"/>
    <w:rsid w:val="60792D12"/>
    <w:rsid w:val="607CC551"/>
    <w:rsid w:val="60C8037D"/>
    <w:rsid w:val="60D42205"/>
    <w:rsid w:val="60E41FE3"/>
    <w:rsid w:val="60ED7767"/>
    <w:rsid w:val="60EDBDD2"/>
    <w:rsid w:val="61338DC6"/>
    <w:rsid w:val="61447922"/>
    <w:rsid w:val="61469CE4"/>
    <w:rsid w:val="6158C4C3"/>
    <w:rsid w:val="6192BF80"/>
    <w:rsid w:val="61977F7A"/>
    <w:rsid w:val="61B287E2"/>
    <w:rsid w:val="61B770CA"/>
    <w:rsid w:val="620708A7"/>
    <w:rsid w:val="62198995"/>
    <w:rsid w:val="6227C822"/>
    <w:rsid w:val="627F79F3"/>
    <w:rsid w:val="629813BD"/>
    <w:rsid w:val="62B0EFFC"/>
    <w:rsid w:val="62B49D5D"/>
    <w:rsid w:val="62B7DBC3"/>
    <w:rsid w:val="62BC9FDF"/>
    <w:rsid w:val="6300380B"/>
    <w:rsid w:val="631A09E2"/>
    <w:rsid w:val="6329C487"/>
    <w:rsid w:val="632A431F"/>
    <w:rsid w:val="632DF7D4"/>
    <w:rsid w:val="6341753D"/>
    <w:rsid w:val="6372E2B1"/>
    <w:rsid w:val="6376B4A4"/>
    <w:rsid w:val="63C24C0D"/>
    <w:rsid w:val="63C909F3"/>
    <w:rsid w:val="64039BD7"/>
    <w:rsid w:val="6415B45D"/>
    <w:rsid w:val="64176EA1"/>
    <w:rsid w:val="641D4332"/>
    <w:rsid w:val="6420B12D"/>
    <w:rsid w:val="6426ABBD"/>
    <w:rsid w:val="64528BD0"/>
    <w:rsid w:val="6499C371"/>
    <w:rsid w:val="64D755D8"/>
    <w:rsid w:val="6515A349"/>
    <w:rsid w:val="657A6F7B"/>
    <w:rsid w:val="65D29DA1"/>
    <w:rsid w:val="65DE9946"/>
    <w:rsid w:val="65E48133"/>
    <w:rsid w:val="660089E1"/>
    <w:rsid w:val="6606CCB8"/>
    <w:rsid w:val="66118BE0"/>
    <w:rsid w:val="66129A5B"/>
    <w:rsid w:val="662505A4"/>
    <w:rsid w:val="664BDDB2"/>
    <w:rsid w:val="665B1B28"/>
    <w:rsid w:val="668799EA"/>
    <w:rsid w:val="668B96DB"/>
    <w:rsid w:val="668EF964"/>
    <w:rsid w:val="66A5EE04"/>
    <w:rsid w:val="66B57397"/>
    <w:rsid w:val="66BB8203"/>
    <w:rsid w:val="6719CD58"/>
    <w:rsid w:val="671C8565"/>
    <w:rsid w:val="671E9672"/>
    <w:rsid w:val="674E32D8"/>
    <w:rsid w:val="67827D59"/>
    <w:rsid w:val="67968C4E"/>
    <w:rsid w:val="67BF0077"/>
    <w:rsid w:val="67E15A6F"/>
    <w:rsid w:val="67F248C1"/>
    <w:rsid w:val="68083F11"/>
    <w:rsid w:val="680EFD4A"/>
    <w:rsid w:val="6825319A"/>
    <w:rsid w:val="68312C63"/>
    <w:rsid w:val="683CC6A1"/>
    <w:rsid w:val="6842C960"/>
    <w:rsid w:val="6858A1F4"/>
    <w:rsid w:val="685D6805"/>
    <w:rsid w:val="687C73C6"/>
    <w:rsid w:val="688CEE4B"/>
    <w:rsid w:val="68AE58CA"/>
    <w:rsid w:val="68C61ECF"/>
    <w:rsid w:val="68CD72EC"/>
    <w:rsid w:val="6902D08B"/>
    <w:rsid w:val="692297DA"/>
    <w:rsid w:val="6967074C"/>
    <w:rsid w:val="69693235"/>
    <w:rsid w:val="696F2126"/>
    <w:rsid w:val="69F64DA1"/>
    <w:rsid w:val="6A232216"/>
    <w:rsid w:val="6A389A11"/>
    <w:rsid w:val="6A46174D"/>
    <w:rsid w:val="6A4F1B87"/>
    <w:rsid w:val="6A7F1E9D"/>
    <w:rsid w:val="6A8E85A4"/>
    <w:rsid w:val="6A9511DF"/>
    <w:rsid w:val="6AB0F860"/>
    <w:rsid w:val="6AC7E355"/>
    <w:rsid w:val="6AF91C91"/>
    <w:rsid w:val="6AFB5DA6"/>
    <w:rsid w:val="6B11AADD"/>
    <w:rsid w:val="6B123D43"/>
    <w:rsid w:val="6B1D327D"/>
    <w:rsid w:val="6B2CF59D"/>
    <w:rsid w:val="6B642D9F"/>
    <w:rsid w:val="6B686EDA"/>
    <w:rsid w:val="6BC9FDAF"/>
    <w:rsid w:val="6C364203"/>
    <w:rsid w:val="6C885DF2"/>
    <w:rsid w:val="6CA1140C"/>
    <w:rsid w:val="6CA1963A"/>
    <w:rsid w:val="6CC03032"/>
    <w:rsid w:val="6CFBBBF7"/>
    <w:rsid w:val="6D0A5D35"/>
    <w:rsid w:val="6D37E967"/>
    <w:rsid w:val="6D3E6B2B"/>
    <w:rsid w:val="6D75A950"/>
    <w:rsid w:val="6D7AA863"/>
    <w:rsid w:val="6D93AC11"/>
    <w:rsid w:val="6DA1F896"/>
    <w:rsid w:val="6E15B2D6"/>
    <w:rsid w:val="6E750763"/>
    <w:rsid w:val="6E87FCD8"/>
    <w:rsid w:val="6E92A016"/>
    <w:rsid w:val="6ECF90BF"/>
    <w:rsid w:val="6F1DAF70"/>
    <w:rsid w:val="6F2ED45B"/>
    <w:rsid w:val="6F8A5FAA"/>
    <w:rsid w:val="6FA9B744"/>
    <w:rsid w:val="6FAB8211"/>
    <w:rsid w:val="6FC347F3"/>
    <w:rsid w:val="6FCFC0FD"/>
    <w:rsid w:val="6FE02DBC"/>
    <w:rsid w:val="6FEF02F8"/>
    <w:rsid w:val="7005B884"/>
    <w:rsid w:val="7010519B"/>
    <w:rsid w:val="70209A0B"/>
    <w:rsid w:val="7024F60F"/>
    <w:rsid w:val="703A231B"/>
    <w:rsid w:val="7041E67C"/>
    <w:rsid w:val="7045B3A5"/>
    <w:rsid w:val="704D7D99"/>
    <w:rsid w:val="706A35B9"/>
    <w:rsid w:val="7085FBF1"/>
    <w:rsid w:val="7089BF27"/>
    <w:rsid w:val="709F0B6D"/>
    <w:rsid w:val="70AD8EDF"/>
    <w:rsid w:val="70AECBDD"/>
    <w:rsid w:val="70DF4CD1"/>
    <w:rsid w:val="70E61782"/>
    <w:rsid w:val="71007EAE"/>
    <w:rsid w:val="71097356"/>
    <w:rsid w:val="711AA946"/>
    <w:rsid w:val="713E237F"/>
    <w:rsid w:val="717A9B14"/>
    <w:rsid w:val="71A47032"/>
    <w:rsid w:val="71AED7D2"/>
    <w:rsid w:val="71C3A6E3"/>
    <w:rsid w:val="71D3984E"/>
    <w:rsid w:val="71DD56E7"/>
    <w:rsid w:val="71E1CBC7"/>
    <w:rsid w:val="71EEDFF1"/>
    <w:rsid w:val="7217A67C"/>
    <w:rsid w:val="721C6AC9"/>
    <w:rsid w:val="72554ED3"/>
    <w:rsid w:val="7265A54F"/>
    <w:rsid w:val="728F2EE0"/>
    <w:rsid w:val="72ADB64A"/>
    <w:rsid w:val="7305AD56"/>
    <w:rsid w:val="731DD852"/>
    <w:rsid w:val="73230403"/>
    <w:rsid w:val="7345C9F2"/>
    <w:rsid w:val="734C2C82"/>
    <w:rsid w:val="7357442D"/>
    <w:rsid w:val="735D647F"/>
    <w:rsid w:val="737D052D"/>
    <w:rsid w:val="73985C90"/>
    <w:rsid w:val="73DCA0AD"/>
    <w:rsid w:val="741DDC1A"/>
    <w:rsid w:val="74370C15"/>
    <w:rsid w:val="74530D0F"/>
    <w:rsid w:val="74854977"/>
    <w:rsid w:val="753CA6F1"/>
    <w:rsid w:val="75499B4A"/>
    <w:rsid w:val="7561008A"/>
    <w:rsid w:val="7597F16B"/>
    <w:rsid w:val="75A03E3A"/>
    <w:rsid w:val="75B33149"/>
    <w:rsid w:val="761BC6AE"/>
    <w:rsid w:val="766D5692"/>
    <w:rsid w:val="766DA655"/>
    <w:rsid w:val="76E0A382"/>
    <w:rsid w:val="76FAACBB"/>
    <w:rsid w:val="7739224B"/>
    <w:rsid w:val="7744B769"/>
    <w:rsid w:val="775161FD"/>
    <w:rsid w:val="7758B094"/>
    <w:rsid w:val="7787D0B2"/>
    <w:rsid w:val="7792FC73"/>
    <w:rsid w:val="77CF73A7"/>
    <w:rsid w:val="77D81D86"/>
    <w:rsid w:val="77F8B779"/>
    <w:rsid w:val="7801EEA9"/>
    <w:rsid w:val="781827E1"/>
    <w:rsid w:val="78270430"/>
    <w:rsid w:val="782D5231"/>
    <w:rsid w:val="7834A457"/>
    <w:rsid w:val="783F3AA5"/>
    <w:rsid w:val="786E7D9E"/>
    <w:rsid w:val="7884131F"/>
    <w:rsid w:val="78E1C608"/>
    <w:rsid w:val="78EFE946"/>
    <w:rsid w:val="78F04F64"/>
    <w:rsid w:val="7943123E"/>
    <w:rsid w:val="795710F7"/>
    <w:rsid w:val="7958BBCF"/>
    <w:rsid w:val="7973CBCC"/>
    <w:rsid w:val="79C58099"/>
    <w:rsid w:val="79CF6AE4"/>
    <w:rsid w:val="79E53522"/>
    <w:rsid w:val="7A2D5075"/>
    <w:rsid w:val="7A5118DA"/>
    <w:rsid w:val="7A789FF4"/>
    <w:rsid w:val="7A9ADE3A"/>
    <w:rsid w:val="7AB922E2"/>
    <w:rsid w:val="7AEDB344"/>
    <w:rsid w:val="7B26ED99"/>
    <w:rsid w:val="7B28C9F8"/>
    <w:rsid w:val="7B30F8C1"/>
    <w:rsid w:val="7B5D9324"/>
    <w:rsid w:val="7B5DACF0"/>
    <w:rsid w:val="7B81A5D0"/>
    <w:rsid w:val="7B95C8DE"/>
    <w:rsid w:val="7BB85D39"/>
    <w:rsid w:val="7BCBB051"/>
    <w:rsid w:val="7C0100CD"/>
    <w:rsid w:val="7C21AA05"/>
    <w:rsid w:val="7C2F901F"/>
    <w:rsid w:val="7C6D5691"/>
    <w:rsid w:val="7CA6E524"/>
    <w:rsid w:val="7CCA8CC7"/>
    <w:rsid w:val="7D6C3BC5"/>
    <w:rsid w:val="7D7869ED"/>
    <w:rsid w:val="7DD35E56"/>
    <w:rsid w:val="7DD4B8FA"/>
    <w:rsid w:val="7DF416BB"/>
    <w:rsid w:val="7E33E052"/>
    <w:rsid w:val="7E6F326A"/>
    <w:rsid w:val="7E7B4CEA"/>
    <w:rsid w:val="7E944158"/>
    <w:rsid w:val="7ED54DBB"/>
    <w:rsid w:val="7EEA4BF2"/>
    <w:rsid w:val="7EF3DECE"/>
    <w:rsid w:val="7EF418F3"/>
    <w:rsid w:val="7EF4EE5D"/>
    <w:rsid w:val="7EFA18F3"/>
    <w:rsid w:val="7EFC163F"/>
    <w:rsid w:val="7F2366EE"/>
    <w:rsid w:val="7F2C1844"/>
    <w:rsid w:val="7F35F5B2"/>
    <w:rsid w:val="7F575D5B"/>
    <w:rsid w:val="7F96B87C"/>
    <w:rsid w:val="7FB88030"/>
    <w:rsid w:val="7FE96F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07E1"/>
  <w15:docId w15:val="{9DEA18AA-8C0A-4754-BB31-BE61C239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3D"/>
    <w:pPr>
      <w:spacing w:after="0"/>
    </w:pPr>
    <w:rPr>
      <w:rFonts w:ascii="Arial" w:hAnsi="Arial"/>
    </w:rPr>
  </w:style>
  <w:style w:type="paragraph" w:styleId="Heading1">
    <w:name w:val="heading 1"/>
    <w:basedOn w:val="Normal"/>
    <w:next w:val="Normal"/>
    <w:link w:val="Heading1Char"/>
    <w:uiPriority w:val="9"/>
    <w:qFormat/>
    <w:rsid w:val="00B97D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14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295"/>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9674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281"/>
    <w:pPr>
      <w:ind w:left="720"/>
      <w:contextualSpacing/>
    </w:pPr>
  </w:style>
  <w:style w:type="character" w:styleId="Hyperlink">
    <w:name w:val="Hyperlink"/>
    <w:basedOn w:val="DefaultParagraphFont"/>
    <w:uiPriority w:val="99"/>
    <w:unhideWhenUsed/>
    <w:rsid w:val="00CD3281"/>
    <w:rPr>
      <w:color w:val="0000FF" w:themeColor="hyperlink"/>
      <w:u w:val="single"/>
    </w:rPr>
  </w:style>
  <w:style w:type="character" w:styleId="CommentReference">
    <w:name w:val="annotation reference"/>
    <w:basedOn w:val="DefaultParagraphFont"/>
    <w:uiPriority w:val="99"/>
    <w:semiHidden/>
    <w:unhideWhenUsed/>
    <w:rsid w:val="00CD3281"/>
    <w:rPr>
      <w:sz w:val="16"/>
      <w:szCs w:val="16"/>
    </w:rPr>
  </w:style>
  <w:style w:type="paragraph" w:styleId="CommentText">
    <w:name w:val="annotation text"/>
    <w:basedOn w:val="Normal"/>
    <w:link w:val="CommentTextChar"/>
    <w:uiPriority w:val="99"/>
    <w:semiHidden/>
    <w:unhideWhenUsed/>
    <w:rsid w:val="00CD3281"/>
    <w:pPr>
      <w:spacing w:line="240" w:lineRule="auto"/>
    </w:pPr>
    <w:rPr>
      <w:sz w:val="20"/>
      <w:szCs w:val="20"/>
    </w:rPr>
  </w:style>
  <w:style w:type="character" w:customStyle="1" w:styleId="CommentTextChar">
    <w:name w:val="Comment Text Char"/>
    <w:basedOn w:val="DefaultParagraphFont"/>
    <w:link w:val="CommentText"/>
    <w:uiPriority w:val="99"/>
    <w:semiHidden/>
    <w:rsid w:val="00CD3281"/>
    <w:rPr>
      <w:sz w:val="20"/>
      <w:szCs w:val="20"/>
    </w:rPr>
  </w:style>
  <w:style w:type="paragraph" w:styleId="CommentSubject">
    <w:name w:val="annotation subject"/>
    <w:basedOn w:val="CommentText"/>
    <w:next w:val="CommentText"/>
    <w:link w:val="CommentSubjectChar"/>
    <w:uiPriority w:val="99"/>
    <w:semiHidden/>
    <w:unhideWhenUsed/>
    <w:rsid w:val="00CD3281"/>
    <w:rPr>
      <w:b/>
      <w:bCs/>
    </w:rPr>
  </w:style>
  <w:style w:type="character" w:customStyle="1" w:styleId="CommentSubjectChar">
    <w:name w:val="Comment Subject Char"/>
    <w:basedOn w:val="CommentTextChar"/>
    <w:link w:val="CommentSubject"/>
    <w:uiPriority w:val="99"/>
    <w:semiHidden/>
    <w:rsid w:val="00CD3281"/>
    <w:rPr>
      <w:b/>
      <w:bCs/>
      <w:sz w:val="20"/>
      <w:szCs w:val="20"/>
    </w:rPr>
  </w:style>
  <w:style w:type="paragraph" w:styleId="BalloonText">
    <w:name w:val="Balloon Text"/>
    <w:basedOn w:val="Normal"/>
    <w:link w:val="BalloonTextChar"/>
    <w:uiPriority w:val="99"/>
    <w:semiHidden/>
    <w:unhideWhenUsed/>
    <w:rsid w:val="00CD32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81"/>
    <w:rPr>
      <w:rFonts w:ascii="Tahoma" w:hAnsi="Tahoma" w:cs="Tahoma"/>
      <w:sz w:val="16"/>
      <w:szCs w:val="16"/>
    </w:rPr>
  </w:style>
  <w:style w:type="paragraph" w:customStyle="1" w:styleId="EGStyleGuide-Headline">
    <w:name w:val="EG Style Guide - Headline"/>
    <w:basedOn w:val="Normal"/>
    <w:autoRedefine/>
    <w:qFormat/>
    <w:rsid w:val="00CD3281"/>
    <w:pPr>
      <w:keepLines/>
      <w:pageBreakBefore/>
      <w:suppressAutoHyphens/>
      <w:autoSpaceDE w:val="0"/>
      <w:autoSpaceDN w:val="0"/>
      <w:adjustRightInd w:val="0"/>
      <w:spacing w:line="288" w:lineRule="auto"/>
      <w:textAlignment w:val="center"/>
    </w:pPr>
    <w:rPr>
      <w:rFonts w:eastAsiaTheme="minorEastAsia" w:cs="Arial"/>
      <w:b/>
      <w:color w:val="7D1651"/>
      <w:sz w:val="28"/>
      <w:szCs w:val="28"/>
      <w:lang w:val="en-GB" w:eastAsia="ja-JP"/>
    </w:rPr>
  </w:style>
  <w:style w:type="paragraph" w:styleId="Title">
    <w:name w:val="Title"/>
    <w:basedOn w:val="Normal"/>
    <w:next w:val="Normal"/>
    <w:link w:val="TitleChar"/>
    <w:uiPriority w:val="10"/>
    <w:qFormat/>
    <w:rsid w:val="00CD3281"/>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281"/>
    <w:rPr>
      <w:rFonts w:asciiTheme="majorHAnsi" w:eastAsiaTheme="majorEastAsia" w:hAnsiTheme="majorHAnsi" w:cstheme="majorBidi"/>
      <w:color w:val="17365D" w:themeColor="text2" w:themeShade="BF"/>
      <w:spacing w:val="5"/>
      <w:kern w:val="28"/>
      <w:sz w:val="52"/>
      <w:szCs w:val="52"/>
    </w:rPr>
  </w:style>
  <w:style w:type="paragraph" w:customStyle="1" w:styleId="EGStyleGuide-Subheadline">
    <w:name w:val="EG Style Guide - Subheadline"/>
    <w:basedOn w:val="EGStyleGuide-Headline"/>
    <w:autoRedefine/>
    <w:qFormat/>
    <w:rsid w:val="004F6CB9"/>
    <w:pPr>
      <w:keepNext/>
      <w:pageBreakBefore w:val="0"/>
      <w:spacing w:before="120" w:after="120" w:line="276" w:lineRule="auto"/>
    </w:pPr>
    <w:rPr>
      <w:bCs/>
      <w:color w:val="157C85"/>
      <w:sz w:val="24"/>
      <w:szCs w:val="24"/>
    </w:rPr>
  </w:style>
  <w:style w:type="table" w:styleId="TableGrid">
    <w:name w:val="Table Grid"/>
    <w:basedOn w:val="TableNormal"/>
    <w:uiPriority w:val="59"/>
    <w:rsid w:val="00CD3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CD32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EE250C"/>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E01215"/>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E01215"/>
    <w:rPr>
      <w:rFonts w:ascii="Calibri" w:hAnsi="Calibri"/>
      <w:szCs w:val="21"/>
    </w:rPr>
  </w:style>
  <w:style w:type="character" w:styleId="FollowedHyperlink">
    <w:name w:val="FollowedHyperlink"/>
    <w:basedOn w:val="DefaultParagraphFont"/>
    <w:uiPriority w:val="99"/>
    <w:semiHidden/>
    <w:unhideWhenUsed/>
    <w:rsid w:val="00624F9B"/>
    <w:rPr>
      <w:color w:val="800080" w:themeColor="followedHyperlink"/>
      <w:u w:val="single"/>
    </w:rPr>
  </w:style>
  <w:style w:type="paragraph" w:styleId="Header">
    <w:name w:val="header"/>
    <w:basedOn w:val="Normal"/>
    <w:link w:val="HeaderChar"/>
    <w:uiPriority w:val="99"/>
    <w:unhideWhenUsed/>
    <w:rsid w:val="00DE0AD5"/>
    <w:pPr>
      <w:tabs>
        <w:tab w:val="center" w:pos="4513"/>
        <w:tab w:val="right" w:pos="9026"/>
      </w:tabs>
      <w:spacing w:line="240" w:lineRule="auto"/>
    </w:pPr>
  </w:style>
  <w:style w:type="character" w:customStyle="1" w:styleId="HeaderChar">
    <w:name w:val="Header Char"/>
    <w:basedOn w:val="DefaultParagraphFont"/>
    <w:link w:val="Header"/>
    <w:uiPriority w:val="99"/>
    <w:rsid w:val="00DE0AD5"/>
  </w:style>
  <w:style w:type="paragraph" w:styleId="Footer">
    <w:name w:val="footer"/>
    <w:basedOn w:val="Normal"/>
    <w:link w:val="FooterChar"/>
    <w:uiPriority w:val="99"/>
    <w:unhideWhenUsed/>
    <w:rsid w:val="00DE0AD5"/>
    <w:pPr>
      <w:tabs>
        <w:tab w:val="center" w:pos="4513"/>
        <w:tab w:val="right" w:pos="9026"/>
      </w:tabs>
      <w:spacing w:line="240" w:lineRule="auto"/>
    </w:pPr>
  </w:style>
  <w:style w:type="character" w:customStyle="1" w:styleId="FooterChar">
    <w:name w:val="Footer Char"/>
    <w:basedOn w:val="DefaultParagraphFont"/>
    <w:link w:val="Footer"/>
    <w:uiPriority w:val="99"/>
    <w:rsid w:val="00DE0AD5"/>
  </w:style>
  <w:style w:type="paragraph" w:styleId="FootnoteText">
    <w:name w:val="footnote text"/>
    <w:basedOn w:val="Normal"/>
    <w:link w:val="FootnoteTextChar"/>
    <w:uiPriority w:val="99"/>
    <w:unhideWhenUsed/>
    <w:rsid w:val="00C8651E"/>
    <w:pPr>
      <w:spacing w:line="240" w:lineRule="auto"/>
    </w:pPr>
    <w:rPr>
      <w:rFonts w:eastAsia="MS Mincho"/>
      <w:sz w:val="20"/>
      <w:szCs w:val="20"/>
      <w:lang w:val="en-GB" w:eastAsia="en-GB"/>
    </w:rPr>
  </w:style>
  <w:style w:type="character" w:customStyle="1" w:styleId="FootnoteTextChar">
    <w:name w:val="Footnote Text Char"/>
    <w:basedOn w:val="DefaultParagraphFont"/>
    <w:link w:val="FootnoteText"/>
    <w:uiPriority w:val="99"/>
    <w:rsid w:val="00C8651E"/>
    <w:rPr>
      <w:rFonts w:eastAsia="MS Mincho"/>
      <w:sz w:val="20"/>
      <w:szCs w:val="20"/>
      <w:lang w:val="en-GB" w:eastAsia="en-GB"/>
    </w:rPr>
  </w:style>
  <w:style w:type="character" w:styleId="FootnoteReference">
    <w:name w:val="footnote reference"/>
    <w:basedOn w:val="DefaultParagraphFont"/>
    <w:uiPriority w:val="99"/>
    <w:unhideWhenUsed/>
    <w:rsid w:val="00C8651E"/>
    <w:rPr>
      <w:vertAlign w:val="superscript"/>
    </w:rPr>
  </w:style>
  <w:style w:type="paragraph" w:customStyle="1" w:styleId="Heading11">
    <w:name w:val="Heading 11"/>
    <w:basedOn w:val="Normal"/>
    <w:next w:val="Normal"/>
    <w:uiPriority w:val="9"/>
    <w:qFormat/>
    <w:rsid w:val="00C8651E"/>
    <w:pPr>
      <w:keepNext/>
      <w:keepLines/>
      <w:numPr>
        <w:numId w:val="8"/>
      </w:numPr>
      <w:tabs>
        <w:tab w:val="num" w:pos="360"/>
      </w:tabs>
      <w:spacing w:before="480" w:line="240" w:lineRule="auto"/>
      <w:ind w:left="360" w:firstLine="0"/>
      <w:outlineLvl w:val="0"/>
    </w:pPr>
    <w:rPr>
      <w:rFonts w:ascii="Calibri" w:eastAsia="MS Gothic" w:hAnsi="Calibri" w:cs="Times New Roman"/>
      <w:b/>
      <w:bCs/>
      <w:color w:val="345A8A"/>
      <w:sz w:val="32"/>
      <w:szCs w:val="32"/>
      <w:lang w:val="en-US" w:eastAsia="ja-JP"/>
    </w:rPr>
  </w:style>
  <w:style w:type="table" w:customStyle="1" w:styleId="TableGrid1">
    <w:name w:val="Table Grid1"/>
    <w:basedOn w:val="TableNormal"/>
    <w:next w:val="TableGrid"/>
    <w:uiPriority w:val="59"/>
    <w:rsid w:val="00C8651E"/>
    <w:pPr>
      <w:spacing w:after="0" w:line="240" w:lineRule="auto"/>
    </w:pPr>
    <w:rPr>
      <w:rFonts w:eastAsia="MS Mincho"/>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D62"/>
    <w:pPr>
      <w:spacing w:after="0" w:line="240" w:lineRule="auto"/>
    </w:pPr>
    <w:rPr>
      <w:rFonts w:eastAsia="MS Mincho"/>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7D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14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295"/>
    <w:rPr>
      <w:rFonts w:ascii="Arial" w:eastAsiaTheme="majorEastAsia" w:hAnsi="Arial" w:cstheme="majorBidi"/>
      <w:b/>
      <w:bCs/>
    </w:rPr>
  </w:style>
  <w:style w:type="character" w:customStyle="1" w:styleId="Heading4Char">
    <w:name w:val="Heading 4 Char"/>
    <w:basedOn w:val="DefaultParagraphFont"/>
    <w:link w:val="Heading4"/>
    <w:uiPriority w:val="9"/>
    <w:rsid w:val="009674E8"/>
    <w:rPr>
      <w:rFonts w:asciiTheme="majorHAnsi" w:eastAsiaTheme="majorEastAsia" w:hAnsiTheme="majorHAnsi" w:cstheme="majorBidi"/>
      <w:b/>
      <w:bCs/>
      <w:i/>
      <w:iCs/>
      <w:color w:val="4F81BD" w:themeColor="accent1"/>
    </w:rPr>
  </w:style>
  <w:style w:type="character" w:customStyle="1" w:styleId="UnresolvedMention1">
    <w:name w:val="Unresolved Mention1"/>
    <w:basedOn w:val="DefaultParagraphFont"/>
    <w:uiPriority w:val="99"/>
    <w:semiHidden/>
    <w:unhideWhenUsed/>
    <w:rsid w:val="00214F06"/>
    <w:rPr>
      <w:color w:val="605E5C"/>
      <w:shd w:val="clear" w:color="auto" w:fill="E1DFDD"/>
    </w:rPr>
  </w:style>
  <w:style w:type="paragraph" w:styleId="Revision">
    <w:name w:val="Revision"/>
    <w:hidden/>
    <w:uiPriority w:val="99"/>
    <w:semiHidden/>
    <w:rsid w:val="005107D0"/>
    <w:pPr>
      <w:spacing w:after="0" w:line="240" w:lineRule="auto"/>
    </w:pPr>
    <w:rPr>
      <w:rFonts w:ascii="Arial" w:hAnsi="Arial"/>
    </w:rPr>
  </w:style>
  <w:style w:type="paragraph" w:customStyle="1" w:styleId="xxmsonormal">
    <w:name w:val="x_xmsonormal"/>
    <w:basedOn w:val="Normal"/>
    <w:rsid w:val="00DA2840"/>
    <w:pPr>
      <w:spacing w:line="240" w:lineRule="auto"/>
    </w:pPr>
    <w:rPr>
      <w:rFonts w:ascii="Calibri" w:hAnsi="Calibri" w:cs="Calibri"/>
      <w:lang w:eastAsia="en-IE"/>
    </w:rPr>
  </w:style>
  <w:style w:type="character" w:customStyle="1" w:styleId="ui-provider">
    <w:name w:val="ui-provider"/>
    <w:basedOn w:val="DefaultParagraphFont"/>
    <w:rsid w:val="00816BC8"/>
  </w:style>
  <w:style w:type="character" w:styleId="UnresolvedMention">
    <w:name w:val="Unresolved Mention"/>
    <w:basedOn w:val="DefaultParagraphFont"/>
    <w:uiPriority w:val="99"/>
    <w:semiHidden/>
    <w:unhideWhenUsed/>
    <w:rsid w:val="004B3D0E"/>
    <w:rPr>
      <w:color w:val="605E5C"/>
      <w:shd w:val="clear" w:color="auto" w:fill="E1DFDD"/>
    </w:rPr>
  </w:style>
  <w:style w:type="table" w:styleId="ListTable1Light">
    <w:name w:val="List Table 1 Light"/>
    <w:basedOn w:val="TableNormal"/>
    <w:uiPriority w:val="46"/>
    <w:rsid w:val="005018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5341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233AB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125">
      <w:bodyDiv w:val="1"/>
      <w:marLeft w:val="0"/>
      <w:marRight w:val="0"/>
      <w:marTop w:val="0"/>
      <w:marBottom w:val="0"/>
      <w:divBdr>
        <w:top w:val="none" w:sz="0" w:space="0" w:color="auto"/>
        <w:left w:val="none" w:sz="0" w:space="0" w:color="auto"/>
        <w:bottom w:val="none" w:sz="0" w:space="0" w:color="auto"/>
        <w:right w:val="none" w:sz="0" w:space="0" w:color="auto"/>
      </w:divBdr>
    </w:div>
    <w:div w:id="41946631">
      <w:bodyDiv w:val="1"/>
      <w:marLeft w:val="0"/>
      <w:marRight w:val="0"/>
      <w:marTop w:val="0"/>
      <w:marBottom w:val="0"/>
      <w:divBdr>
        <w:top w:val="none" w:sz="0" w:space="0" w:color="auto"/>
        <w:left w:val="none" w:sz="0" w:space="0" w:color="auto"/>
        <w:bottom w:val="none" w:sz="0" w:space="0" w:color="auto"/>
        <w:right w:val="none" w:sz="0" w:space="0" w:color="auto"/>
      </w:divBdr>
    </w:div>
    <w:div w:id="45882812">
      <w:bodyDiv w:val="1"/>
      <w:marLeft w:val="0"/>
      <w:marRight w:val="0"/>
      <w:marTop w:val="0"/>
      <w:marBottom w:val="0"/>
      <w:divBdr>
        <w:top w:val="none" w:sz="0" w:space="0" w:color="auto"/>
        <w:left w:val="none" w:sz="0" w:space="0" w:color="auto"/>
        <w:bottom w:val="none" w:sz="0" w:space="0" w:color="auto"/>
        <w:right w:val="none" w:sz="0" w:space="0" w:color="auto"/>
      </w:divBdr>
    </w:div>
    <w:div w:id="150148239">
      <w:bodyDiv w:val="1"/>
      <w:marLeft w:val="0"/>
      <w:marRight w:val="0"/>
      <w:marTop w:val="0"/>
      <w:marBottom w:val="0"/>
      <w:divBdr>
        <w:top w:val="none" w:sz="0" w:space="0" w:color="auto"/>
        <w:left w:val="none" w:sz="0" w:space="0" w:color="auto"/>
        <w:bottom w:val="none" w:sz="0" w:space="0" w:color="auto"/>
        <w:right w:val="none" w:sz="0" w:space="0" w:color="auto"/>
      </w:divBdr>
      <w:divsChild>
        <w:div w:id="845250139">
          <w:marLeft w:val="0"/>
          <w:marRight w:val="0"/>
          <w:marTop w:val="0"/>
          <w:marBottom w:val="0"/>
          <w:divBdr>
            <w:top w:val="none" w:sz="0" w:space="0" w:color="auto"/>
            <w:left w:val="none" w:sz="0" w:space="0" w:color="auto"/>
            <w:bottom w:val="none" w:sz="0" w:space="0" w:color="auto"/>
            <w:right w:val="none" w:sz="0" w:space="0" w:color="auto"/>
          </w:divBdr>
        </w:div>
      </w:divsChild>
    </w:div>
    <w:div w:id="169567841">
      <w:bodyDiv w:val="1"/>
      <w:marLeft w:val="0"/>
      <w:marRight w:val="0"/>
      <w:marTop w:val="0"/>
      <w:marBottom w:val="0"/>
      <w:divBdr>
        <w:top w:val="none" w:sz="0" w:space="0" w:color="auto"/>
        <w:left w:val="none" w:sz="0" w:space="0" w:color="auto"/>
        <w:bottom w:val="none" w:sz="0" w:space="0" w:color="auto"/>
        <w:right w:val="none" w:sz="0" w:space="0" w:color="auto"/>
      </w:divBdr>
    </w:div>
    <w:div w:id="176694650">
      <w:bodyDiv w:val="1"/>
      <w:marLeft w:val="0"/>
      <w:marRight w:val="0"/>
      <w:marTop w:val="0"/>
      <w:marBottom w:val="0"/>
      <w:divBdr>
        <w:top w:val="none" w:sz="0" w:space="0" w:color="auto"/>
        <w:left w:val="none" w:sz="0" w:space="0" w:color="auto"/>
        <w:bottom w:val="none" w:sz="0" w:space="0" w:color="auto"/>
        <w:right w:val="none" w:sz="0" w:space="0" w:color="auto"/>
      </w:divBdr>
    </w:div>
    <w:div w:id="199707371">
      <w:bodyDiv w:val="1"/>
      <w:marLeft w:val="0"/>
      <w:marRight w:val="0"/>
      <w:marTop w:val="0"/>
      <w:marBottom w:val="0"/>
      <w:divBdr>
        <w:top w:val="none" w:sz="0" w:space="0" w:color="auto"/>
        <w:left w:val="none" w:sz="0" w:space="0" w:color="auto"/>
        <w:bottom w:val="none" w:sz="0" w:space="0" w:color="auto"/>
        <w:right w:val="none" w:sz="0" w:space="0" w:color="auto"/>
      </w:divBdr>
    </w:div>
    <w:div w:id="236481206">
      <w:bodyDiv w:val="1"/>
      <w:marLeft w:val="0"/>
      <w:marRight w:val="0"/>
      <w:marTop w:val="0"/>
      <w:marBottom w:val="0"/>
      <w:divBdr>
        <w:top w:val="none" w:sz="0" w:space="0" w:color="auto"/>
        <w:left w:val="none" w:sz="0" w:space="0" w:color="auto"/>
        <w:bottom w:val="none" w:sz="0" w:space="0" w:color="auto"/>
        <w:right w:val="none" w:sz="0" w:space="0" w:color="auto"/>
      </w:divBdr>
    </w:div>
    <w:div w:id="253780619">
      <w:bodyDiv w:val="1"/>
      <w:marLeft w:val="0"/>
      <w:marRight w:val="0"/>
      <w:marTop w:val="0"/>
      <w:marBottom w:val="0"/>
      <w:divBdr>
        <w:top w:val="none" w:sz="0" w:space="0" w:color="auto"/>
        <w:left w:val="none" w:sz="0" w:space="0" w:color="auto"/>
        <w:bottom w:val="none" w:sz="0" w:space="0" w:color="auto"/>
        <w:right w:val="none" w:sz="0" w:space="0" w:color="auto"/>
      </w:divBdr>
    </w:div>
    <w:div w:id="347221644">
      <w:bodyDiv w:val="1"/>
      <w:marLeft w:val="0"/>
      <w:marRight w:val="0"/>
      <w:marTop w:val="0"/>
      <w:marBottom w:val="0"/>
      <w:divBdr>
        <w:top w:val="none" w:sz="0" w:space="0" w:color="auto"/>
        <w:left w:val="none" w:sz="0" w:space="0" w:color="auto"/>
        <w:bottom w:val="none" w:sz="0" w:space="0" w:color="auto"/>
        <w:right w:val="none" w:sz="0" w:space="0" w:color="auto"/>
      </w:divBdr>
    </w:div>
    <w:div w:id="360322438">
      <w:bodyDiv w:val="1"/>
      <w:marLeft w:val="0"/>
      <w:marRight w:val="0"/>
      <w:marTop w:val="0"/>
      <w:marBottom w:val="0"/>
      <w:divBdr>
        <w:top w:val="none" w:sz="0" w:space="0" w:color="auto"/>
        <w:left w:val="none" w:sz="0" w:space="0" w:color="auto"/>
        <w:bottom w:val="none" w:sz="0" w:space="0" w:color="auto"/>
        <w:right w:val="none" w:sz="0" w:space="0" w:color="auto"/>
      </w:divBdr>
    </w:div>
    <w:div w:id="383067379">
      <w:bodyDiv w:val="1"/>
      <w:marLeft w:val="0"/>
      <w:marRight w:val="0"/>
      <w:marTop w:val="0"/>
      <w:marBottom w:val="0"/>
      <w:divBdr>
        <w:top w:val="none" w:sz="0" w:space="0" w:color="auto"/>
        <w:left w:val="none" w:sz="0" w:space="0" w:color="auto"/>
        <w:bottom w:val="none" w:sz="0" w:space="0" w:color="auto"/>
        <w:right w:val="none" w:sz="0" w:space="0" w:color="auto"/>
      </w:divBdr>
    </w:div>
    <w:div w:id="415127346">
      <w:bodyDiv w:val="1"/>
      <w:marLeft w:val="0"/>
      <w:marRight w:val="0"/>
      <w:marTop w:val="0"/>
      <w:marBottom w:val="0"/>
      <w:divBdr>
        <w:top w:val="none" w:sz="0" w:space="0" w:color="auto"/>
        <w:left w:val="none" w:sz="0" w:space="0" w:color="auto"/>
        <w:bottom w:val="none" w:sz="0" w:space="0" w:color="auto"/>
        <w:right w:val="none" w:sz="0" w:space="0" w:color="auto"/>
      </w:divBdr>
    </w:div>
    <w:div w:id="419060710">
      <w:bodyDiv w:val="1"/>
      <w:marLeft w:val="0"/>
      <w:marRight w:val="0"/>
      <w:marTop w:val="0"/>
      <w:marBottom w:val="0"/>
      <w:divBdr>
        <w:top w:val="none" w:sz="0" w:space="0" w:color="auto"/>
        <w:left w:val="none" w:sz="0" w:space="0" w:color="auto"/>
        <w:bottom w:val="none" w:sz="0" w:space="0" w:color="auto"/>
        <w:right w:val="none" w:sz="0" w:space="0" w:color="auto"/>
      </w:divBdr>
    </w:div>
    <w:div w:id="424157186">
      <w:bodyDiv w:val="1"/>
      <w:marLeft w:val="0"/>
      <w:marRight w:val="0"/>
      <w:marTop w:val="0"/>
      <w:marBottom w:val="0"/>
      <w:divBdr>
        <w:top w:val="none" w:sz="0" w:space="0" w:color="auto"/>
        <w:left w:val="none" w:sz="0" w:space="0" w:color="auto"/>
        <w:bottom w:val="none" w:sz="0" w:space="0" w:color="auto"/>
        <w:right w:val="none" w:sz="0" w:space="0" w:color="auto"/>
      </w:divBdr>
    </w:div>
    <w:div w:id="460460914">
      <w:bodyDiv w:val="1"/>
      <w:marLeft w:val="0"/>
      <w:marRight w:val="0"/>
      <w:marTop w:val="0"/>
      <w:marBottom w:val="0"/>
      <w:divBdr>
        <w:top w:val="none" w:sz="0" w:space="0" w:color="auto"/>
        <w:left w:val="none" w:sz="0" w:space="0" w:color="auto"/>
        <w:bottom w:val="none" w:sz="0" w:space="0" w:color="auto"/>
        <w:right w:val="none" w:sz="0" w:space="0" w:color="auto"/>
      </w:divBdr>
    </w:div>
    <w:div w:id="511529255">
      <w:bodyDiv w:val="1"/>
      <w:marLeft w:val="0"/>
      <w:marRight w:val="0"/>
      <w:marTop w:val="0"/>
      <w:marBottom w:val="0"/>
      <w:divBdr>
        <w:top w:val="none" w:sz="0" w:space="0" w:color="auto"/>
        <w:left w:val="none" w:sz="0" w:space="0" w:color="auto"/>
        <w:bottom w:val="none" w:sz="0" w:space="0" w:color="auto"/>
        <w:right w:val="none" w:sz="0" w:space="0" w:color="auto"/>
      </w:divBdr>
    </w:div>
    <w:div w:id="562910380">
      <w:bodyDiv w:val="1"/>
      <w:marLeft w:val="0"/>
      <w:marRight w:val="0"/>
      <w:marTop w:val="0"/>
      <w:marBottom w:val="0"/>
      <w:divBdr>
        <w:top w:val="none" w:sz="0" w:space="0" w:color="auto"/>
        <w:left w:val="none" w:sz="0" w:space="0" w:color="auto"/>
        <w:bottom w:val="none" w:sz="0" w:space="0" w:color="auto"/>
        <w:right w:val="none" w:sz="0" w:space="0" w:color="auto"/>
      </w:divBdr>
    </w:div>
    <w:div w:id="670717312">
      <w:bodyDiv w:val="1"/>
      <w:marLeft w:val="0"/>
      <w:marRight w:val="0"/>
      <w:marTop w:val="0"/>
      <w:marBottom w:val="0"/>
      <w:divBdr>
        <w:top w:val="none" w:sz="0" w:space="0" w:color="auto"/>
        <w:left w:val="none" w:sz="0" w:space="0" w:color="auto"/>
        <w:bottom w:val="none" w:sz="0" w:space="0" w:color="auto"/>
        <w:right w:val="none" w:sz="0" w:space="0" w:color="auto"/>
      </w:divBdr>
    </w:div>
    <w:div w:id="677077191">
      <w:bodyDiv w:val="1"/>
      <w:marLeft w:val="0"/>
      <w:marRight w:val="0"/>
      <w:marTop w:val="0"/>
      <w:marBottom w:val="0"/>
      <w:divBdr>
        <w:top w:val="none" w:sz="0" w:space="0" w:color="auto"/>
        <w:left w:val="none" w:sz="0" w:space="0" w:color="auto"/>
        <w:bottom w:val="none" w:sz="0" w:space="0" w:color="auto"/>
        <w:right w:val="none" w:sz="0" w:space="0" w:color="auto"/>
      </w:divBdr>
    </w:div>
    <w:div w:id="707606119">
      <w:bodyDiv w:val="1"/>
      <w:marLeft w:val="0"/>
      <w:marRight w:val="0"/>
      <w:marTop w:val="0"/>
      <w:marBottom w:val="0"/>
      <w:divBdr>
        <w:top w:val="none" w:sz="0" w:space="0" w:color="auto"/>
        <w:left w:val="none" w:sz="0" w:space="0" w:color="auto"/>
        <w:bottom w:val="none" w:sz="0" w:space="0" w:color="auto"/>
        <w:right w:val="none" w:sz="0" w:space="0" w:color="auto"/>
      </w:divBdr>
    </w:div>
    <w:div w:id="769467335">
      <w:bodyDiv w:val="1"/>
      <w:marLeft w:val="0"/>
      <w:marRight w:val="0"/>
      <w:marTop w:val="0"/>
      <w:marBottom w:val="0"/>
      <w:divBdr>
        <w:top w:val="none" w:sz="0" w:space="0" w:color="auto"/>
        <w:left w:val="none" w:sz="0" w:space="0" w:color="auto"/>
        <w:bottom w:val="none" w:sz="0" w:space="0" w:color="auto"/>
        <w:right w:val="none" w:sz="0" w:space="0" w:color="auto"/>
      </w:divBdr>
    </w:div>
    <w:div w:id="798960079">
      <w:bodyDiv w:val="1"/>
      <w:marLeft w:val="0"/>
      <w:marRight w:val="0"/>
      <w:marTop w:val="0"/>
      <w:marBottom w:val="0"/>
      <w:divBdr>
        <w:top w:val="none" w:sz="0" w:space="0" w:color="auto"/>
        <w:left w:val="none" w:sz="0" w:space="0" w:color="auto"/>
        <w:bottom w:val="none" w:sz="0" w:space="0" w:color="auto"/>
        <w:right w:val="none" w:sz="0" w:space="0" w:color="auto"/>
      </w:divBdr>
    </w:div>
    <w:div w:id="811754575">
      <w:bodyDiv w:val="1"/>
      <w:marLeft w:val="0"/>
      <w:marRight w:val="0"/>
      <w:marTop w:val="0"/>
      <w:marBottom w:val="0"/>
      <w:divBdr>
        <w:top w:val="none" w:sz="0" w:space="0" w:color="auto"/>
        <w:left w:val="none" w:sz="0" w:space="0" w:color="auto"/>
        <w:bottom w:val="none" w:sz="0" w:space="0" w:color="auto"/>
        <w:right w:val="none" w:sz="0" w:space="0" w:color="auto"/>
      </w:divBdr>
    </w:div>
    <w:div w:id="903492227">
      <w:bodyDiv w:val="1"/>
      <w:marLeft w:val="0"/>
      <w:marRight w:val="0"/>
      <w:marTop w:val="0"/>
      <w:marBottom w:val="0"/>
      <w:divBdr>
        <w:top w:val="none" w:sz="0" w:space="0" w:color="auto"/>
        <w:left w:val="none" w:sz="0" w:space="0" w:color="auto"/>
        <w:bottom w:val="none" w:sz="0" w:space="0" w:color="auto"/>
        <w:right w:val="none" w:sz="0" w:space="0" w:color="auto"/>
      </w:divBdr>
    </w:div>
    <w:div w:id="957956890">
      <w:bodyDiv w:val="1"/>
      <w:marLeft w:val="0"/>
      <w:marRight w:val="0"/>
      <w:marTop w:val="0"/>
      <w:marBottom w:val="0"/>
      <w:divBdr>
        <w:top w:val="none" w:sz="0" w:space="0" w:color="auto"/>
        <w:left w:val="none" w:sz="0" w:space="0" w:color="auto"/>
        <w:bottom w:val="none" w:sz="0" w:space="0" w:color="auto"/>
        <w:right w:val="none" w:sz="0" w:space="0" w:color="auto"/>
      </w:divBdr>
    </w:div>
    <w:div w:id="1011488144">
      <w:bodyDiv w:val="1"/>
      <w:marLeft w:val="0"/>
      <w:marRight w:val="0"/>
      <w:marTop w:val="0"/>
      <w:marBottom w:val="0"/>
      <w:divBdr>
        <w:top w:val="none" w:sz="0" w:space="0" w:color="auto"/>
        <w:left w:val="none" w:sz="0" w:space="0" w:color="auto"/>
        <w:bottom w:val="none" w:sz="0" w:space="0" w:color="auto"/>
        <w:right w:val="none" w:sz="0" w:space="0" w:color="auto"/>
      </w:divBdr>
    </w:div>
    <w:div w:id="1052121820">
      <w:bodyDiv w:val="1"/>
      <w:marLeft w:val="0"/>
      <w:marRight w:val="0"/>
      <w:marTop w:val="0"/>
      <w:marBottom w:val="0"/>
      <w:divBdr>
        <w:top w:val="none" w:sz="0" w:space="0" w:color="auto"/>
        <w:left w:val="none" w:sz="0" w:space="0" w:color="auto"/>
        <w:bottom w:val="none" w:sz="0" w:space="0" w:color="auto"/>
        <w:right w:val="none" w:sz="0" w:space="0" w:color="auto"/>
      </w:divBdr>
    </w:div>
    <w:div w:id="1058289199">
      <w:bodyDiv w:val="1"/>
      <w:marLeft w:val="0"/>
      <w:marRight w:val="0"/>
      <w:marTop w:val="0"/>
      <w:marBottom w:val="0"/>
      <w:divBdr>
        <w:top w:val="none" w:sz="0" w:space="0" w:color="auto"/>
        <w:left w:val="none" w:sz="0" w:space="0" w:color="auto"/>
        <w:bottom w:val="none" w:sz="0" w:space="0" w:color="auto"/>
        <w:right w:val="none" w:sz="0" w:space="0" w:color="auto"/>
      </w:divBdr>
    </w:div>
    <w:div w:id="1061751086">
      <w:bodyDiv w:val="1"/>
      <w:marLeft w:val="0"/>
      <w:marRight w:val="0"/>
      <w:marTop w:val="0"/>
      <w:marBottom w:val="0"/>
      <w:divBdr>
        <w:top w:val="none" w:sz="0" w:space="0" w:color="auto"/>
        <w:left w:val="none" w:sz="0" w:space="0" w:color="auto"/>
        <w:bottom w:val="none" w:sz="0" w:space="0" w:color="auto"/>
        <w:right w:val="none" w:sz="0" w:space="0" w:color="auto"/>
      </w:divBdr>
    </w:div>
    <w:div w:id="1116873799">
      <w:bodyDiv w:val="1"/>
      <w:marLeft w:val="0"/>
      <w:marRight w:val="0"/>
      <w:marTop w:val="0"/>
      <w:marBottom w:val="0"/>
      <w:divBdr>
        <w:top w:val="none" w:sz="0" w:space="0" w:color="auto"/>
        <w:left w:val="none" w:sz="0" w:space="0" w:color="auto"/>
        <w:bottom w:val="none" w:sz="0" w:space="0" w:color="auto"/>
        <w:right w:val="none" w:sz="0" w:space="0" w:color="auto"/>
      </w:divBdr>
    </w:div>
    <w:div w:id="1146166741">
      <w:bodyDiv w:val="1"/>
      <w:marLeft w:val="0"/>
      <w:marRight w:val="0"/>
      <w:marTop w:val="0"/>
      <w:marBottom w:val="0"/>
      <w:divBdr>
        <w:top w:val="none" w:sz="0" w:space="0" w:color="auto"/>
        <w:left w:val="none" w:sz="0" w:space="0" w:color="auto"/>
        <w:bottom w:val="none" w:sz="0" w:space="0" w:color="auto"/>
        <w:right w:val="none" w:sz="0" w:space="0" w:color="auto"/>
      </w:divBdr>
    </w:div>
    <w:div w:id="1188444729">
      <w:bodyDiv w:val="1"/>
      <w:marLeft w:val="0"/>
      <w:marRight w:val="0"/>
      <w:marTop w:val="0"/>
      <w:marBottom w:val="0"/>
      <w:divBdr>
        <w:top w:val="none" w:sz="0" w:space="0" w:color="auto"/>
        <w:left w:val="none" w:sz="0" w:space="0" w:color="auto"/>
        <w:bottom w:val="none" w:sz="0" w:space="0" w:color="auto"/>
        <w:right w:val="none" w:sz="0" w:space="0" w:color="auto"/>
      </w:divBdr>
    </w:div>
    <w:div w:id="1206255985">
      <w:bodyDiv w:val="1"/>
      <w:marLeft w:val="0"/>
      <w:marRight w:val="0"/>
      <w:marTop w:val="0"/>
      <w:marBottom w:val="0"/>
      <w:divBdr>
        <w:top w:val="none" w:sz="0" w:space="0" w:color="auto"/>
        <w:left w:val="none" w:sz="0" w:space="0" w:color="auto"/>
        <w:bottom w:val="none" w:sz="0" w:space="0" w:color="auto"/>
        <w:right w:val="none" w:sz="0" w:space="0" w:color="auto"/>
      </w:divBdr>
    </w:div>
    <w:div w:id="1288510382">
      <w:bodyDiv w:val="1"/>
      <w:marLeft w:val="0"/>
      <w:marRight w:val="0"/>
      <w:marTop w:val="0"/>
      <w:marBottom w:val="0"/>
      <w:divBdr>
        <w:top w:val="none" w:sz="0" w:space="0" w:color="auto"/>
        <w:left w:val="none" w:sz="0" w:space="0" w:color="auto"/>
        <w:bottom w:val="none" w:sz="0" w:space="0" w:color="auto"/>
        <w:right w:val="none" w:sz="0" w:space="0" w:color="auto"/>
      </w:divBdr>
    </w:div>
    <w:div w:id="1303999723">
      <w:bodyDiv w:val="1"/>
      <w:marLeft w:val="0"/>
      <w:marRight w:val="0"/>
      <w:marTop w:val="0"/>
      <w:marBottom w:val="0"/>
      <w:divBdr>
        <w:top w:val="none" w:sz="0" w:space="0" w:color="auto"/>
        <w:left w:val="none" w:sz="0" w:space="0" w:color="auto"/>
        <w:bottom w:val="none" w:sz="0" w:space="0" w:color="auto"/>
        <w:right w:val="none" w:sz="0" w:space="0" w:color="auto"/>
      </w:divBdr>
    </w:div>
    <w:div w:id="1398673121">
      <w:bodyDiv w:val="1"/>
      <w:marLeft w:val="0"/>
      <w:marRight w:val="0"/>
      <w:marTop w:val="0"/>
      <w:marBottom w:val="0"/>
      <w:divBdr>
        <w:top w:val="none" w:sz="0" w:space="0" w:color="auto"/>
        <w:left w:val="none" w:sz="0" w:space="0" w:color="auto"/>
        <w:bottom w:val="none" w:sz="0" w:space="0" w:color="auto"/>
        <w:right w:val="none" w:sz="0" w:space="0" w:color="auto"/>
      </w:divBdr>
    </w:div>
    <w:div w:id="1402100049">
      <w:bodyDiv w:val="1"/>
      <w:marLeft w:val="0"/>
      <w:marRight w:val="0"/>
      <w:marTop w:val="0"/>
      <w:marBottom w:val="0"/>
      <w:divBdr>
        <w:top w:val="none" w:sz="0" w:space="0" w:color="auto"/>
        <w:left w:val="none" w:sz="0" w:space="0" w:color="auto"/>
        <w:bottom w:val="none" w:sz="0" w:space="0" w:color="auto"/>
        <w:right w:val="none" w:sz="0" w:space="0" w:color="auto"/>
      </w:divBdr>
    </w:div>
    <w:div w:id="1422800379">
      <w:bodyDiv w:val="1"/>
      <w:marLeft w:val="0"/>
      <w:marRight w:val="0"/>
      <w:marTop w:val="0"/>
      <w:marBottom w:val="0"/>
      <w:divBdr>
        <w:top w:val="none" w:sz="0" w:space="0" w:color="auto"/>
        <w:left w:val="none" w:sz="0" w:space="0" w:color="auto"/>
        <w:bottom w:val="none" w:sz="0" w:space="0" w:color="auto"/>
        <w:right w:val="none" w:sz="0" w:space="0" w:color="auto"/>
      </w:divBdr>
    </w:div>
    <w:div w:id="1495225182">
      <w:bodyDiv w:val="1"/>
      <w:marLeft w:val="0"/>
      <w:marRight w:val="0"/>
      <w:marTop w:val="0"/>
      <w:marBottom w:val="0"/>
      <w:divBdr>
        <w:top w:val="none" w:sz="0" w:space="0" w:color="auto"/>
        <w:left w:val="none" w:sz="0" w:space="0" w:color="auto"/>
        <w:bottom w:val="none" w:sz="0" w:space="0" w:color="auto"/>
        <w:right w:val="none" w:sz="0" w:space="0" w:color="auto"/>
      </w:divBdr>
    </w:div>
    <w:div w:id="1629388457">
      <w:bodyDiv w:val="1"/>
      <w:marLeft w:val="0"/>
      <w:marRight w:val="0"/>
      <w:marTop w:val="0"/>
      <w:marBottom w:val="0"/>
      <w:divBdr>
        <w:top w:val="none" w:sz="0" w:space="0" w:color="auto"/>
        <w:left w:val="none" w:sz="0" w:space="0" w:color="auto"/>
        <w:bottom w:val="none" w:sz="0" w:space="0" w:color="auto"/>
        <w:right w:val="none" w:sz="0" w:space="0" w:color="auto"/>
      </w:divBdr>
    </w:div>
    <w:div w:id="1731616437">
      <w:bodyDiv w:val="1"/>
      <w:marLeft w:val="0"/>
      <w:marRight w:val="0"/>
      <w:marTop w:val="0"/>
      <w:marBottom w:val="0"/>
      <w:divBdr>
        <w:top w:val="none" w:sz="0" w:space="0" w:color="auto"/>
        <w:left w:val="none" w:sz="0" w:space="0" w:color="auto"/>
        <w:bottom w:val="none" w:sz="0" w:space="0" w:color="auto"/>
        <w:right w:val="none" w:sz="0" w:space="0" w:color="auto"/>
      </w:divBdr>
    </w:div>
    <w:div w:id="1745568543">
      <w:bodyDiv w:val="1"/>
      <w:marLeft w:val="0"/>
      <w:marRight w:val="0"/>
      <w:marTop w:val="0"/>
      <w:marBottom w:val="0"/>
      <w:divBdr>
        <w:top w:val="none" w:sz="0" w:space="0" w:color="auto"/>
        <w:left w:val="none" w:sz="0" w:space="0" w:color="auto"/>
        <w:bottom w:val="none" w:sz="0" w:space="0" w:color="auto"/>
        <w:right w:val="none" w:sz="0" w:space="0" w:color="auto"/>
      </w:divBdr>
    </w:div>
    <w:div w:id="1766808469">
      <w:bodyDiv w:val="1"/>
      <w:marLeft w:val="0"/>
      <w:marRight w:val="0"/>
      <w:marTop w:val="0"/>
      <w:marBottom w:val="0"/>
      <w:divBdr>
        <w:top w:val="none" w:sz="0" w:space="0" w:color="auto"/>
        <w:left w:val="none" w:sz="0" w:space="0" w:color="auto"/>
        <w:bottom w:val="none" w:sz="0" w:space="0" w:color="auto"/>
        <w:right w:val="none" w:sz="0" w:space="0" w:color="auto"/>
      </w:divBdr>
    </w:div>
    <w:div w:id="2052806549">
      <w:bodyDiv w:val="1"/>
      <w:marLeft w:val="0"/>
      <w:marRight w:val="0"/>
      <w:marTop w:val="0"/>
      <w:marBottom w:val="0"/>
      <w:divBdr>
        <w:top w:val="none" w:sz="0" w:space="0" w:color="auto"/>
        <w:left w:val="none" w:sz="0" w:space="0" w:color="auto"/>
        <w:bottom w:val="none" w:sz="0" w:space="0" w:color="auto"/>
        <w:right w:val="none" w:sz="0" w:space="0" w:color="auto"/>
      </w:divBdr>
    </w:div>
    <w:div w:id="21267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rgridgroup.com/customer-and-industry/general-customer-information/outage-inform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m-o.com/documents/general-publications/Information_Note_on_Inter-Area_Flow_Constraint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soni.ltd.uk/customer-and-industry/general-customer-information/outage-information/transmission-outag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rgridgroup.com/customer-and-industry/general-customer-information/outage-information/transmission-outag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ms.eirgrid.ie/sites/default/files/publications/Balancing_Market_Principles_Statement_Version_9.0.pdf" TargetMode="External"/><Relationship Id="rId2" Type="http://schemas.openxmlformats.org/officeDocument/2006/relationships/hyperlink" Target="https://cms.eirgrid.ie/sites/default/files/publications/EirGrid_Operating-Security-Standards_2021.pdf" TargetMode="External"/><Relationship Id="rId1" Type="http://schemas.openxmlformats.org/officeDocument/2006/relationships/hyperlink" Target="https://eirgrid.sharepoint.com/sites/prv-so-neartime/Weekly_Constraints_Report/Operating-Security-Standards-Version-3.0-April-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523B4766BF44EAF9A45E5755BA0CA" ma:contentTypeVersion="14" ma:contentTypeDescription="Create a new document." ma:contentTypeScope="" ma:versionID="a505b5b868c069d5719e2806215072a3">
  <xsd:schema xmlns:xsd="http://www.w3.org/2001/XMLSchema" xmlns:xs="http://www.w3.org/2001/XMLSchema" xmlns:p="http://schemas.microsoft.com/office/2006/metadata/properties" xmlns:ns2="7038a6e8-2202-417a-81ce-df81f5319825" xmlns:ns3="23b120c3-493d-42cd-b185-f764050522fb" targetNamespace="http://schemas.microsoft.com/office/2006/metadata/properties" ma:root="true" ma:fieldsID="6d1174c99ac5b37babe2fc3ee9da0330" ns2:_="" ns3:_="">
    <xsd:import namespace="7038a6e8-2202-417a-81ce-df81f5319825"/>
    <xsd:import namespace="23b120c3-493d-42cd-b185-f764050522fb"/>
    <xsd:element name="properties">
      <xsd:complexType>
        <xsd:sequence>
          <xsd:element name="documentManagement">
            <xsd:complexType>
              <xsd:all>
                <xsd:element ref="ns2:iab7cdb7554d4997ae876b11632fa575"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8a6e8-2202-417a-81ce-df81f5319825" elementFormDefault="qualified">
    <xsd:import namespace="http://schemas.microsoft.com/office/2006/documentManagement/types"/>
    <xsd:import namespace="http://schemas.microsoft.com/office/infopath/2007/PartnerControls"/>
    <xsd:element name="iab7cdb7554d4997ae876b11632fa575" ma:index="4" nillable="true" ma:displayName="File Category_0" ma:hidden="true" ma:internalName="iab7cdb7554d4997ae876b11632fa575" ma:readOnly="false">
      <xsd:simpleType>
        <xsd:restriction base="dms:Note"/>
      </xsd:simpleType>
    </xsd:element>
    <xsd:element name="TaxCatchAll" ma:index="5" nillable="true" ma:displayName="Taxonomy Catch All Column" ma:hidden="true" ma:list="{5ce008c6-a03f-471e-b0c7-00c1ebe445b9}" ma:internalName="TaxCatchAll" ma:readOnly="false" ma:showField="CatchAllData" ma:web="7038a6e8-2202-417a-81ce-df81f5319825">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5ce008c6-a03f-471e-b0c7-00c1ebe445b9}" ma:internalName="TaxCatchAllLabel" ma:readOnly="true" ma:showField="CatchAllDataLabel" ma:web="7038a6e8-2202-417a-81ce-df81f53198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120c3-493d-42cd-b185-f764050522f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ab7cdb7554d4997ae876b11632fa575 xmlns="7038a6e8-2202-417a-81ce-df81f5319825" xsi:nil="true"/>
    <TaxCatchAll xmlns="7038a6e8-2202-417a-81ce-df81f53198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1F44-D7CD-4140-B135-190E9019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8a6e8-2202-417a-81ce-df81f5319825"/>
    <ds:schemaRef ds:uri="23b120c3-493d-42cd-b185-f7640505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9B135-4DD4-414A-A7ED-9408216B100C}">
  <ds:schemaRefs>
    <ds:schemaRef ds:uri="http://schemas.microsoft.com/sharepoint/v3/contenttype/forms"/>
  </ds:schemaRefs>
</ds:datastoreItem>
</file>

<file path=customXml/itemProps3.xml><?xml version="1.0" encoding="utf-8"?>
<ds:datastoreItem xmlns:ds="http://schemas.openxmlformats.org/officeDocument/2006/customXml" ds:itemID="{AB9226FC-AB21-45BF-B471-43AB25C06D0E}">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23b120c3-493d-42cd-b185-f764050522fb"/>
    <ds:schemaRef ds:uri="http://purl.org/dc/terms/"/>
    <ds:schemaRef ds:uri="http://schemas.microsoft.com/office/infopath/2007/PartnerControls"/>
    <ds:schemaRef ds:uri="7038a6e8-2202-417a-81ce-df81f5319825"/>
    <ds:schemaRef ds:uri="http://www.w3.org/XML/1998/namespace"/>
  </ds:schemaRefs>
</ds:datastoreItem>
</file>

<file path=customXml/itemProps4.xml><?xml version="1.0" encoding="utf-8"?>
<ds:datastoreItem xmlns:ds="http://schemas.openxmlformats.org/officeDocument/2006/customXml" ds:itemID="{333338BF-F32A-446D-B2AC-A072BC8E7495}">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3607</Words>
  <Characters>20563</Characters>
  <Application>Microsoft Office Word</Application>
  <DocSecurity>0</DocSecurity>
  <Lines>171</Lines>
  <Paragraphs>48</Paragraphs>
  <ScaleCrop>false</ScaleCrop>
  <Company>EirGrid</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Martin</dc:creator>
  <cp:keywords/>
  <cp:lastModifiedBy>Mathews, Conor</cp:lastModifiedBy>
  <cp:revision>2</cp:revision>
  <cp:lastPrinted>2025-12-06T08:37:00Z</cp:lastPrinted>
  <dcterms:created xsi:type="dcterms:W3CDTF">2025-12-19T16:11:00Z</dcterms:created>
  <dcterms:modified xsi:type="dcterms:W3CDTF">2025-12-19T16:11:00Z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0x010100033523B4766BF44EAF9A45E5755BA0CA</vt:lpwstr>
  </property>
  <property fmtid="{D5CDD505-2E9C-101B-9397-08002B2CF9AE}" pid="3" name="File Category">
    <vt:lpwstr/>
  </property>
  <property fmtid="{D5CDD505-2E9C-101B-9397-08002B2CF9AE}" pid="4" name="MSIP_Label_4c99bc9a-9772-4b7e-bcf5-e39ce86bfb30_Enabled">
    <vt:lpwstr>true</vt:lpwstr>
  </property>
  <property fmtid="{D5CDD505-2E9C-101B-9397-08002B2CF9AE}" pid="5" name="MSIP_Label_4c99bc9a-9772-4b7e-bcf5-e39ce86bfb30_SetDate">
    <vt:lpwstr>2023-08-21T08:48:40Z</vt:lpwstr>
  </property>
  <property fmtid="{D5CDD505-2E9C-101B-9397-08002B2CF9AE}" pid="6" name="MSIP_Label_4c99bc9a-9772-4b7e-bcf5-e39ce86bfb30_Method">
    <vt:lpwstr>Standard</vt:lpwstr>
  </property>
  <property fmtid="{D5CDD505-2E9C-101B-9397-08002B2CF9AE}" pid="7" name="MSIP_Label_4c99bc9a-9772-4b7e-bcf5-e39ce86bfb30_Name">
    <vt:lpwstr>Internal</vt:lpwstr>
  </property>
  <property fmtid="{D5CDD505-2E9C-101B-9397-08002B2CF9AE}" pid="8" name="MSIP_Label_4c99bc9a-9772-4b7e-bcf5-e39ce86bfb30_SiteId">
    <vt:lpwstr>c1528ebb-73e5-4ac2-9d93-677ac4834cc5</vt:lpwstr>
  </property>
  <property fmtid="{D5CDD505-2E9C-101B-9397-08002B2CF9AE}" pid="9" name="MSIP_Label_4c99bc9a-9772-4b7e-bcf5-e39ce86bfb30_ActionId">
    <vt:lpwstr>987ddf77-6abc-4c3b-8bdf-d50f4ebfdad9</vt:lpwstr>
  </property>
  <property fmtid="{D5CDD505-2E9C-101B-9397-08002B2CF9AE}" pid="10" name="MSIP_Label_4c99bc9a-9772-4b7e-bcf5-e39ce86bfb30_ContentBits">
    <vt:lpwstr>0</vt:lpwstr>
  </property>
  <property fmtid="{D5CDD505-2E9C-101B-9397-08002B2CF9AE}" pid="11" name="File_x0020_Category">
    <vt:lpwstr/>
  </property>
</Properties>
</file>