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BA8BF" w14:textId="77777777" w:rsidR="00375DBC" w:rsidRPr="00375DBC" w:rsidRDefault="00375DBC" w:rsidP="00375DBC">
      <w:pPr>
        <w:pStyle w:val="Title"/>
        <w:spacing w:line="276" w:lineRule="auto"/>
        <w:rPr>
          <w:lang w:val="en-GB"/>
        </w:rPr>
      </w:pPr>
      <w:r w:rsidRPr="00375DBC">
        <w:rPr>
          <w:lang w:val="en-GB"/>
        </w:rPr>
        <w:t>Market Revenue Cap –</w:t>
      </w:r>
    </w:p>
    <w:p w14:paraId="2200E0B0" w14:textId="442DC40E" w:rsidR="00375DBC" w:rsidRDefault="00375DBC" w:rsidP="00375DBC">
      <w:pPr>
        <w:pStyle w:val="Title"/>
        <w:spacing w:line="276" w:lineRule="auto"/>
        <w:rPr>
          <w:lang w:val="en-GB"/>
        </w:rPr>
      </w:pPr>
      <w:r w:rsidRPr="00375DBC">
        <w:rPr>
          <w:lang w:val="en-GB"/>
        </w:rPr>
        <w:t>Surplus Assessment</w:t>
      </w:r>
      <w:r w:rsidR="00073345">
        <w:rPr>
          <w:lang w:val="en-GB"/>
        </w:rPr>
        <w:t xml:space="preserve"> (updated assessments)</w:t>
      </w:r>
      <w:r w:rsidR="00100C4D">
        <w:rPr>
          <w:lang w:val="en-GB"/>
        </w:rPr>
        <w:t xml:space="preserve"> </w:t>
      </w:r>
    </w:p>
    <w:p w14:paraId="3677B4E6" w14:textId="43DF5E44" w:rsidR="00073345" w:rsidRDefault="00073345" w:rsidP="009B634E">
      <w:pPr>
        <w:pStyle w:val="Date"/>
        <w:spacing w:line="276" w:lineRule="auto"/>
        <w:rPr>
          <w:rFonts w:eastAsiaTheme="minorEastAsia"/>
          <w:b w:val="0"/>
          <w:color w:val="00A88E" w:themeColor="background2"/>
          <w:sz w:val="60"/>
          <w:lang w:val="en-GB"/>
        </w:rPr>
      </w:pPr>
      <w:r>
        <w:rPr>
          <w:rFonts w:eastAsiaTheme="minorEastAsia"/>
          <w:b w:val="0"/>
          <w:color w:val="00A88E" w:themeColor="background2"/>
          <w:sz w:val="60"/>
          <w:lang w:val="en-GB"/>
        </w:rPr>
        <w:t>M+13 and Hedging Arrangements or PPA</w:t>
      </w:r>
    </w:p>
    <w:p w14:paraId="58AF255C" w14:textId="3AC0A82A" w:rsidR="00603E7A" w:rsidRPr="00603E7A" w:rsidRDefault="00375DBC" w:rsidP="009B634E">
      <w:pPr>
        <w:pStyle w:val="Date"/>
        <w:spacing w:line="276" w:lineRule="auto"/>
        <w:rPr>
          <w:rFonts w:eastAsiaTheme="minorEastAsia"/>
          <w:b w:val="0"/>
          <w:color w:val="00A88E" w:themeColor="background2"/>
          <w:sz w:val="60"/>
          <w:lang w:val="en-GB"/>
        </w:rPr>
      </w:pPr>
      <w:r w:rsidRPr="00375DBC">
        <w:rPr>
          <w:rFonts w:eastAsiaTheme="minorEastAsia"/>
          <w:b w:val="0"/>
          <w:color w:val="00A88E" w:themeColor="background2"/>
          <w:sz w:val="60"/>
          <w:lang w:val="en-GB"/>
        </w:rPr>
        <w:t xml:space="preserve">Self-Billing </w:t>
      </w:r>
      <w:r w:rsidR="00073345">
        <w:rPr>
          <w:rFonts w:eastAsiaTheme="minorEastAsia"/>
          <w:b w:val="0"/>
          <w:color w:val="00A88E" w:themeColor="background2"/>
          <w:sz w:val="60"/>
          <w:lang w:val="en-GB"/>
        </w:rPr>
        <w:t xml:space="preserve">and Credit Note </w:t>
      </w:r>
      <w:r w:rsidRPr="00375DBC">
        <w:rPr>
          <w:rFonts w:eastAsiaTheme="minorEastAsia"/>
          <w:b w:val="0"/>
          <w:color w:val="00A88E" w:themeColor="background2"/>
          <w:sz w:val="60"/>
          <w:lang w:val="en-GB"/>
        </w:rPr>
        <w:t>Process</w:t>
      </w:r>
      <w:r w:rsidR="00F65858">
        <w:rPr>
          <w:rFonts w:eastAsiaTheme="minorEastAsia"/>
          <w:b w:val="0"/>
          <w:color w:val="00A88E" w:themeColor="background2"/>
          <w:sz w:val="60"/>
          <w:lang w:val="en-GB"/>
        </w:rPr>
        <w:t xml:space="preserve"> </w:t>
      </w:r>
    </w:p>
    <w:p w14:paraId="52392605" w14:textId="77777777" w:rsidR="00603E7A" w:rsidRDefault="00603E7A" w:rsidP="009B634E">
      <w:pPr>
        <w:pStyle w:val="Date"/>
        <w:spacing w:line="276" w:lineRule="auto"/>
        <w:rPr>
          <w:rFonts w:eastAsiaTheme="minorEastAsia"/>
          <w:b w:val="0"/>
          <w:sz w:val="60"/>
          <w:lang w:val="en-GB"/>
        </w:rPr>
      </w:pPr>
    </w:p>
    <w:p w14:paraId="7574615C" w14:textId="00456B70" w:rsidR="00603E7A" w:rsidRPr="00603E7A" w:rsidRDefault="009439CD" w:rsidP="009B634E">
      <w:pPr>
        <w:pStyle w:val="Introduction"/>
        <w:spacing w:line="276" w:lineRule="auto"/>
        <w:rPr>
          <w:b/>
          <w:sz w:val="40"/>
        </w:rPr>
      </w:pPr>
      <w:r>
        <w:rPr>
          <w:b/>
          <w:sz w:val="40"/>
        </w:rPr>
        <w:t>August</w:t>
      </w:r>
      <w:r w:rsidR="00775A10">
        <w:rPr>
          <w:b/>
          <w:sz w:val="40"/>
        </w:rPr>
        <w:t xml:space="preserve"> </w:t>
      </w:r>
      <w:r w:rsidR="00603594">
        <w:rPr>
          <w:b/>
          <w:sz w:val="40"/>
        </w:rPr>
        <w:t>202</w:t>
      </w:r>
      <w:r w:rsidR="00775A10">
        <w:rPr>
          <w:b/>
          <w:sz w:val="40"/>
        </w:rPr>
        <w:t>4</w:t>
      </w:r>
    </w:p>
    <w:p w14:paraId="0CC7F492" w14:textId="77777777" w:rsidR="00603594" w:rsidRDefault="00603594" w:rsidP="009B634E">
      <w:pPr>
        <w:spacing w:line="276" w:lineRule="auto"/>
        <w:jc w:val="center"/>
        <w:rPr>
          <w:rFonts w:cs="Arial"/>
          <w:b/>
          <w:sz w:val="36"/>
          <w:szCs w:val="32"/>
        </w:rPr>
      </w:pPr>
    </w:p>
    <w:p w14:paraId="6DFE391D" w14:textId="77777777" w:rsidR="00235827" w:rsidRDefault="00235827" w:rsidP="009B634E">
      <w:pPr>
        <w:spacing w:line="276" w:lineRule="auto"/>
        <w:jc w:val="center"/>
        <w:rPr>
          <w:rFonts w:cs="Arial"/>
          <w:b/>
          <w:sz w:val="36"/>
          <w:szCs w:val="32"/>
        </w:rPr>
      </w:pPr>
    </w:p>
    <w:p w14:paraId="4CE1F097" w14:textId="77777777" w:rsidR="00235827" w:rsidRDefault="00235827" w:rsidP="009B634E">
      <w:pPr>
        <w:spacing w:line="276" w:lineRule="auto"/>
        <w:jc w:val="center"/>
        <w:rPr>
          <w:rFonts w:cs="Arial"/>
          <w:b/>
          <w:sz w:val="36"/>
          <w:szCs w:val="32"/>
        </w:rPr>
      </w:pPr>
    </w:p>
    <w:p w14:paraId="12D7AFCB" w14:textId="77777777" w:rsidR="00603594" w:rsidRDefault="00603594" w:rsidP="009B634E">
      <w:pPr>
        <w:pStyle w:val="CoverSheet"/>
        <w:jc w:val="center"/>
        <w:rPr>
          <w:rFonts w:cs="Arial"/>
          <w:sz w:val="32"/>
        </w:rPr>
      </w:pPr>
    </w:p>
    <w:p w14:paraId="777FB78A" w14:textId="77777777" w:rsidR="00603594" w:rsidRDefault="00603594" w:rsidP="009B634E">
      <w:pPr>
        <w:spacing w:line="276" w:lineRule="auto"/>
        <w:jc w:val="both"/>
        <w:rPr>
          <w:rFonts w:cs="Arial"/>
        </w:rPr>
      </w:pPr>
      <w:r>
        <w:rPr>
          <w:b/>
          <w:bCs/>
          <w:i/>
          <w:iCs/>
          <w:color w:val="4189C9" w:themeColor="accent1"/>
        </w:rPr>
        <w:br w:type="page"/>
      </w:r>
    </w:p>
    <w:p w14:paraId="79B11D32" w14:textId="77777777" w:rsidR="00603594" w:rsidRDefault="00603594" w:rsidP="009B634E">
      <w:pPr>
        <w:spacing w:line="276" w:lineRule="auto"/>
        <w:jc w:val="both"/>
        <w:rPr>
          <w:rFonts w:ascii="Arial" w:hAnsi="Arial" w:cs="Arial"/>
          <w:i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4"/>
          <w:szCs w:val="24"/>
          <w:lang w:val="en-IE"/>
        </w:rPr>
        <w:id w:val="-1496249393"/>
        <w:docPartObj>
          <w:docPartGallery w:val="Table of Contents"/>
          <w:docPartUnique/>
        </w:docPartObj>
      </w:sdtPr>
      <w:sdtEndPr>
        <w:rPr>
          <w:sz w:val="20"/>
          <w:szCs w:val="22"/>
        </w:rPr>
      </w:sdtEndPr>
      <w:sdtContent>
        <w:p w14:paraId="1AB9EEF1" w14:textId="77777777" w:rsidR="00603594" w:rsidRDefault="00603594" w:rsidP="009B634E">
          <w:pPr>
            <w:pStyle w:val="TOCHeading"/>
            <w:spacing w:line="276" w:lineRule="auto"/>
            <w:jc w:val="both"/>
          </w:pPr>
          <w:r>
            <w:t>Contents</w:t>
          </w:r>
        </w:p>
        <w:p w14:paraId="0564EC15" w14:textId="55CAF80E" w:rsidR="00452B33" w:rsidRDefault="00603594">
          <w:pPr>
            <w:pStyle w:val="TOC1"/>
            <w:rPr>
              <w:rFonts w:eastAsiaTheme="minorEastAsia"/>
              <w:b w:val="0"/>
              <w:color w:val="auto"/>
              <w:kern w:val="2"/>
              <w:sz w:val="22"/>
              <w:lang w:val="en-IE" w:eastAsia="en-IE"/>
              <w14:ligatures w14:val="standardContextual"/>
            </w:rPr>
          </w:pPr>
          <w:r>
            <w:rPr>
              <w:b w:val="0"/>
              <w:noProof w:val="0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noProof w:val="0"/>
              <w:lang w:val="en-US"/>
            </w:rPr>
            <w:fldChar w:fldCharType="separate"/>
          </w:r>
          <w:hyperlink w:anchor="_Toc173222932" w:history="1">
            <w:r w:rsidR="00452B33" w:rsidRPr="005410B2">
              <w:rPr>
                <w:rStyle w:val="Hyperlink"/>
                <w:rFonts w:eastAsia="Times New Roman"/>
              </w:rPr>
              <w:t>Self-billing Process</w:t>
            </w:r>
            <w:r w:rsidR="00452B33">
              <w:rPr>
                <w:webHidden/>
              </w:rPr>
              <w:tab/>
            </w:r>
            <w:r w:rsidR="00452B33">
              <w:rPr>
                <w:webHidden/>
              </w:rPr>
              <w:fldChar w:fldCharType="begin"/>
            </w:r>
            <w:r w:rsidR="00452B33">
              <w:rPr>
                <w:webHidden/>
              </w:rPr>
              <w:instrText xml:space="preserve"> PAGEREF _Toc173222932 \h </w:instrText>
            </w:r>
            <w:r w:rsidR="00452B33">
              <w:rPr>
                <w:webHidden/>
              </w:rPr>
            </w:r>
            <w:r w:rsidR="00452B33">
              <w:rPr>
                <w:webHidden/>
              </w:rPr>
              <w:fldChar w:fldCharType="separate"/>
            </w:r>
            <w:r w:rsidR="00452B33">
              <w:rPr>
                <w:webHidden/>
              </w:rPr>
              <w:t>3</w:t>
            </w:r>
            <w:r w:rsidR="00452B33">
              <w:rPr>
                <w:webHidden/>
              </w:rPr>
              <w:fldChar w:fldCharType="end"/>
            </w:r>
          </w:hyperlink>
        </w:p>
        <w:p w14:paraId="0BC19422" w14:textId="76E2E7E1" w:rsidR="00452B33" w:rsidRDefault="00646AB1">
          <w:pPr>
            <w:pStyle w:val="TOC2"/>
            <w:tabs>
              <w:tab w:val="left" w:pos="1134"/>
            </w:tabs>
            <w:rPr>
              <w:rFonts w:eastAsiaTheme="minorEastAsia"/>
              <w:noProof/>
              <w:kern w:val="2"/>
              <w:sz w:val="22"/>
              <w:lang w:eastAsia="en-IE"/>
              <w14:ligatures w14:val="standardContextual"/>
            </w:rPr>
          </w:pPr>
          <w:hyperlink w:anchor="_Toc173222933" w:history="1">
            <w:r w:rsidR="00452B33" w:rsidRPr="005410B2">
              <w:rPr>
                <w:rStyle w:val="Hyperlink"/>
                <w:noProof/>
              </w:rPr>
              <w:t>1.1.</w:t>
            </w:r>
            <w:r w:rsidR="00452B33">
              <w:rPr>
                <w:rFonts w:eastAsiaTheme="minorEastAsia"/>
                <w:noProof/>
                <w:kern w:val="2"/>
                <w:sz w:val="22"/>
                <w:lang w:eastAsia="en-IE"/>
                <w14:ligatures w14:val="standardContextual"/>
              </w:rPr>
              <w:tab/>
            </w:r>
            <w:r w:rsidR="00452B33" w:rsidRPr="005410B2">
              <w:rPr>
                <w:rStyle w:val="Hyperlink"/>
                <w:noProof/>
              </w:rPr>
              <w:t>Overview</w:t>
            </w:r>
            <w:r w:rsidR="00452B33">
              <w:rPr>
                <w:noProof/>
                <w:webHidden/>
              </w:rPr>
              <w:tab/>
            </w:r>
            <w:r w:rsidR="00452B33">
              <w:rPr>
                <w:noProof/>
                <w:webHidden/>
              </w:rPr>
              <w:fldChar w:fldCharType="begin"/>
            </w:r>
            <w:r w:rsidR="00452B33">
              <w:rPr>
                <w:noProof/>
                <w:webHidden/>
              </w:rPr>
              <w:instrText xml:space="preserve"> PAGEREF _Toc173222933 \h </w:instrText>
            </w:r>
            <w:r w:rsidR="00452B33">
              <w:rPr>
                <w:noProof/>
                <w:webHidden/>
              </w:rPr>
            </w:r>
            <w:r w:rsidR="00452B33">
              <w:rPr>
                <w:noProof/>
                <w:webHidden/>
              </w:rPr>
              <w:fldChar w:fldCharType="separate"/>
            </w:r>
            <w:r w:rsidR="00452B33">
              <w:rPr>
                <w:noProof/>
                <w:webHidden/>
              </w:rPr>
              <w:t>3</w:t>
            </w:r>
            <w:r w:rsidR="00452B33">
              <w:rPr>
                <w:noProof/>
                <w:webHidden/>
              </w:rPr>
              <w:fldChar w:fldCharType="end"/>
            </w:r>
          </w:hyperlink>
        </w:p>
        <w:p w14:paraId="1C5CA02A" w14:textId="63BC699B" w:rsidR="00452B33" w:rsidRDefault="00646AB1">
          <w:pPr>
            <w:pStyle w:val="TOC2"/>
            <w:tabs>
              <w:tab w:val="left" w:pos="1134"/>
            </w:tabs>
            <w:rPr>
              <w:rFonts w:eastAsiaTheme="minorEastAsia"/>
              <w:noProof/>
              <w:kern w:val="2"/>
              <w:sz w:val="22"/>
              <w:lang w:eastAsia="en-IE"/>
              <w14:ligatures w14:val="standardContextual"/>
            </w:rPr>
          </w:pPr>
          <w:hyperlink w:anchor="_Toc173222934" w:history="1">
            <w:r w:rsidR="00452B33" w:rsidRPr="005410B2">
              <w:rPr>
                <w:rStyle w:val="Hyperlink"/>
                <w:noProof/>
              </w:rPr>
              <w:t>1.2.</w:t>
            </w:r>
            <w:r w:rsidR="00452B33">
              <w:rPr>
                <w:rFonts w:eastAsiaTheme="minorEastAsia"/>
                <w:noProof/>
                <w:kern w:val="2"/>
                <w:sz w:val="22"/>
                <w:lang w:eastAsia="en-IE"/>
                <w14:ligatures w14:val="standardContextual"/>
              </w:rPr>
              <w:tab/>
            </w:r>
            <w:r w:rsidR="00452B33" w:rsidRPr="005410B2">
              <w:rPr>
                <w:rStyle w:val="Hyperlink"/>
                <w:noProof/>
              </w:rPr>
              <w:t>Payment due to EirGrid</w:t>
            </w:r>
            <w:r w:rsidR="00452B33">
              <w:rPr>
                <w:noProof/>
                <w:webHidden/>
              </w:rPr>
              <w:tab/>
            </w:r>
            <w:r w:rsidR="00452B33">
              <w:rPr>
                <w:noProof/>
                <w:webHidden/>
              </w:rPr>
              <w:fldChar w:fldCharType="begin"/>
            </w:r>
            <w:r w:rsidR="00452B33">
              <w:rPr>
                <w:noProof/>
                <w:webHidden/>
              </w:rPr>
              <w:instrText xml:space="preserve"> PAGEREF _Toc173222934 \h </w:instrText>
            </w:r>
            <w:r w:rsidR="00452B33">
              <w:rPr>
                <w:noProof/>
                <w:webHidden/>
              </w:rPr>
            </w:r>
            <w:r w:rsidR="00452B33">
              <w:rPr>
                <w:noProof/>
                <w:webHidden/>
              </w:rPr>
              <w:fldChar w:fldCharType="separate"/>
            </w:r>
            <w:r w:rsidR="00452B33">
              <w:rPr>
                <w:noProof/>
                <w:webHidden/>
              </w:rPr>
              <w:t>3</w:t>
            </w:r>
            <w:r w:rsidR="00452B33">
              <w:rPr>
                <w:noProof/>
                <w:webHidden/>
              </w:rPr>
              <w:fldChar w:fldCharType="end"/>
            </w:r>
          </w:hyperlink>
        </w:p>
        <w:p w14:paraId="28792D7F" w14:textId="4D6EB754" w:rsidR="00452B33" w:rsidRDefault="00646AB1">
          <w:pPr>
            <w:pStyle w:val="TOC3"/>
            <w:tabs>
              <w:tab w:val="left" w:pos="1418"/>
            </w:tabs>
            <w:rPr>
              <w:rFonts w:eastAsiaTheme="minorEastAsia"/>
              <w:noProof/>
              <w:kern w:val="2"/>
              <w:sz w:val="22"/>
              <w:lang w:eastAsia="en-IE"/>
              <w14:ligatures w14:val="standardContextual"/>
            </w:rPr>
          </w:pPr>
          <w:hyperlink w:anchor="_Toc173222935" w:history="1">
            <w:r w:rsidR="00452B33" w:rsidRPr="005410B2">
              <w:rPr>
                <w:rStyle w:val="Hyperlink"/>
                <w:noProof/>
              </w:rPr>
              <w:t>1.2.1.</w:t>
            </w:r>
            <w:r w:rsidR="00452B33">
              <w:rPr>
                <w:rFonts w:eastAsiaTheme="minorEastAsia"/>
                <w:noProof/>
                <w:kern w:val="2"/>
                <w:sz w:val="22"/>
                <w:lang w:eastAsia="en-IE"/>
                <w14:ligatures w14:val="standardContextual"/>
              </w:rPr>
              <w:tab/>
            </w:r>
            <w:r w:rsidR="00452B33" w:rsidRPr="005410B2">
              <w:rPr>
                <w:rStyle w:val="Hyperlink"/>
                <w:noProof/>
              </w:rPr>
              <w:t>Completing self-bill invoicing</w:t>
            </w:r>
            <w:r w:rsidR="00452B33">
              <w:rPr>
                <w:noProof/>
                <w:webHidden/>
              </w:rPr>
              <w:tab/>
            </w:r>
            <w:r w:rsidR="00452B33">
              <w:rPr>
                <w:noProof/>
                <w:webHidden/>
              </w:rPr>
              <w:fldChar w:fldCharType="begin"/>
            </w:r>
            <w:r w:rsidR="00452B33">
              <w:rPr>
                <w:noProof/>
                <w:webHidden/>
              </w:rPr>
              <w:instrText xml:space="preserve"> PAGEREF _Toc173222935 \h </w:instrText>
            </w:r>
            <w:r w:rsidR="00452B33">
              <w:rPr>
                <w:noProof/>
                <w:webHidden/>
              </w:rPr>
            </w:r>
            <w:r w:rsidR="00452B33">
              <w:rPr>
                <w:noProof/>
                <w:webHidden/>
              </w:rPr>
              <w:fldChar w:fldCharType="separate"/>
            </w:r>
            <w:r w:rsidR="00452B33">
              <w:rPr>
                <w:noProof/>
                <w:webHidden/>
              </w:rPr>
              <w:t>3</w:t>
            </w:r>
            <w:r w:rsidR="00452B33">
              <w:rPr>
                <w:noProof/>
                <w:webHidden/>
              </w:rPr>
              <w:fldChar w:fldCharType="end"/>
            </w:r>
          </w:hyperlink>
        </w:p>
        <w:p w14:paraId="4BD32A7E" w14:textId="452D0D52" w:rsidR="00452B33" w:rsidRDefault="00646AB1">
          <w:pPr>
            <w:pStyle w:val="TOC3"/>
            <w:tabs>
              <w:tab w:val="left" w:pos="1418"/>
            </w:tabs>
            <w:rPr>
              <w:rFonts w:eastAsiaTheme="minorEastAsia"/>
              <w:noProof/>
              <w:kern w:val="2"/>
              <w:sz w:val="22"/>
              <w:lang w:eastAsia="en-IE"/>
              <w14:ligatures w14:val="standardContextual"/>
            </w:rPr>
          </w:pPr>
          <w:hyperlink w:anchor="_Toc173222936" w:history="1">
            <w:r w:rsidR="00452B33" w:rsidRPr="005410B2">
              <w:rPr>
                <w:rStyle w:val="Hyperlink"/>
                <w:noProof/>
              </w:rPr>
              <w:t>1.2.2.</w:t>
            </w:r>
            <w:r w:rsidR="00452B33">
              <w:rPr>
                <w:rFonts w:eastAsiaTheme="minorEastAsia"/>
                <w:noProof/>
                <w:kern w:val="2"/>
                <w:sz w:val="22"/>
                <w:lang w:eastAsia="en-IE"/>
                <w14:ligatures w14:val="standardContextual"/>
              </w:rPr>
              <w:tab/>
            </w:r>
            <w:r w:rsidR="00452B33" w:rsidRPr="005410B2">
              <w:rPr>
                <w:rStyle w:val="Hyperlink"/>
                <w:noProof/>
              </w:rPr>
              <w:t>Making payment</w:t>
            </w:r>
            <w:r w:rsidR="00452B33">
              <w:rPr>
                <w:noProof/>
                <w:webHidden/>
              </w:rPr>
              <w:tab/>
            </w:r>
            <w:r w:rsidR="00452B33">
              <w:rPr>
                <w:noProof/>
                <w:webHidden/>
              </w:rPr>
              <w:fldChar w:fldCharType="begin"/>
            </w:r>
            <w:r w:rsidR="00452B33">
              <w:rPr>
                <w:noProof/>
                <w:webHidden/>
              </w:rPr>
              <w:instrText xml:space="preserve"> PAGEREF _Toc173222936 \h </w:instrText>
            </w:r>
            <w:r w:rsidR="00452B33">
              <w:rPr>
                <w:noProof/>
                <w:webHidden/>
              </w:rPr>
            </w:r>
            <w:r w:rsidR="00452B33">
              <w:rPr>
                <w:noProof/>
                <w:webHidden/>
              </w:rPr>
              <w:fldChar w:fldCharType="separate"/>
            </w:r>
            <w:r w:rsidR="00452B33">
              <w:rPr>
                <w:noProof/>
                <w:webHidden/>
              </w:rPr>
              <w:t>4</w:t>
            </w:r>
            <w:r w:rsidR="00452B33">
              <w:rPr>
                <w:noProof/>
                <w:webHidden/>
              </w:rPr>
              <w:fldChar w:fldCharType="end"/>
            </w:r>
          </w:hyperlink>
        </w:p>
        <w:p w14:paraId="7F11F6F1" w14:textId="1934F251" w:rsidR="00452B33" w:rsidRDefault="00646AB1">
          <w:pPr>
            <w:pStyle w:val="TOC2"/>
            <w:tabs>
              <w:tab w:val="left" w:pos="1134"/>
            </w:tabs>
            <w:rPr>
              <w:rFonts w:eastAsiaTheme="minorEastAsia"/>
              <w:noProof/>
              <w:kern w:val="2"/>
              <w:sz w:val="22"/>
              <w:lang w:eastAsia="en-IE"/>
              <w14:ligatures w14:val="standardContextual"/>
            </w:rPr>
          </w:pPr>
          <w:hyperlink w:anchor="_Toc173222937" w:history="1">
            <w:r w:rsidR="00452B33" w:rsidRPr="005410B2">
              <w:rPr>
                <w:rStyle w:val="Hyperlink"/>
                <w:noProof/>
              </w:rPr>
              <w:t>1.3.</w:t>
            </w:r>
            <w:r w:rsidR="00452B33">
              <w:rPr>
                <w:rFonts w:eastAsiaTheme="minorEastAsia"/>
                <w:noProof/>
                <w:kern w:val="2"/>
                <w:sz w:val="22"/>
                <w:lang w:eastAsia="en-IE"/>
                <w14:ligatures w14:val="standardContextual"/>
              </w:rPr>
              <w:tab/>
            </w:r>
            <w:r w:rsidR="00452B33" w:rsidRPr="005410B2">
              <w:rPr>
                <w:rStyle w:val="Hyperlink"/>
                <w:noProof/>
              </w:rPr>
              <w:t>Payment due from EirGrid</w:t>
            </w:r>
            <w:r w:rsidR="00452B33">
              <w:rPr>
                <w:noProof/>
                <w:webHidden/>
              </w:rPr>
              <w:tab/>
            </w:r>
            <w:r w:rsidR="00452B33">
              <w:rPr>
                <w:noProof/>
                <w:webHidden/>
              </w:rPr>
              <w:fldChar w:fldCharType="begin"/>
            </w:r>
            <w:r w:rsidR="00452B33">
              <w:rPr>
                <w:noProof/>
                <w:webHidden/>
              </w:rPr>
              <w:instrText xml:space="preserve"> PAGEREF _Toc173222937 \h </w:instrText>
            </w:r>
            <w:r w:rsidR="00452B33">
              <w:rPr>
                <w:noProof/>
                <w:webHidden/>
              </w:rPr>
            </w:r>
            <w:r w:rsidR="00452B33">
              <w:rPr>
                <w:noProof/>
                <w:webHidden/>
              </w:rPr>
              <w:fldChar w:fldCharType="separate"/>
            </w:r>
            <w:r w:rsidR="00452B33">
              <w:rPr>
                <w:noProof/>
                <w:webHidden/>
              </w:rPr>
              <w:t>4</w:t>
            </w:r>
            <w:r w:rsidR="00452B33">
              <w:rPr>
                <w:noProof/>
                <w:webHidden/>
              </w:rPr>
              <w:fldChar w:fldCharType="end"/>
            </w:r>
          </w:hyperlink>
        </w:p>
        <w:p w14:paraId="6F3B6D37" w14:textId="078AD7B1" w:rsidR="00452B33" w:rsidRDefault="00646AB1">
          <w:pPr>
            <w:pStyle w:val="TOC2"/>
            <w:tabs>
              <w:tab w:val="left" w:pos="1134"/>
            </w:tabs>
            <w:rPr>
              <w:rFonts w:eastAsiaTheme="minorEastAsia"/>
              <w:noProof/>
              <w:kern w:val="2"/>
              <w:sz w:val="22"/>
              <w:lang w:eastAsia="en-IE"/>
              <w14:ligatures w14:val="standardContextual"/>
            </w:rPr>
          </w:pPr>
          <w:hyperlink w:anchor="_Toc173222938" w:history="1">
            <w:r w:rsidR="00452B33" w:rsidRPr="005410B2">
              <w:rPr>
                <w:rStyle w:val="Hyperlink"/>
                <w:noProof/>
              </w:rPr>
              <w:t>1.4.</w:t>
            </w:r>
            <w:r w:rsidR="00452B33">
              <w:rPr>
                <w:rFonts w:eastAsiaTheme="minorEastAsia"/>
                <w:noProof/>
                <w:kern w:val="2"/>
                <w:sz w:val="22"/>
                <w:lang w:eastAsia="en-IE"/>
                <w14:ligatures w14:val="standardContextual"/>
              </w:rPr>
              <w:tab/>
            </w:r>
            <w:r w:rsidR="00452B33" w:rsidRPr="005410B2">
              <w:rPr>
                <w:rStyle w:val="Hyperlink"/>
                <w:noProof/>
              </w:rPr>
              <w:t>Surcharge and Interest</w:t>
            </w:r>
            <w:r w:rsidR="00452B33">
              <w:rPr>
                <w:noProof/>
                <w:webHidden/>
              </w:rPr>
              <w:tab/>
            </w:r>
            <w:r w:rsidR="00452B33">
              <w:rPr>
                <w:noProof/>
                <w:webHidden/>
              </w:rPr>
              <w:fldChar w:fldCharType="begin"/>
            </w:r>
            <w:r w:rsidR="00452B33">
              <w:rPr>
                <w:noProof/>
                <w:webHidden/>
              </w:rPr>
              <w:instrText xml:space="preserve"> PAGEREF _Toc173222938 \h </w:instrText>
            </w:r>
            <w:r w:rsidR="00452B33">
              <w:rPr>
                <w:noProof/>
                <w:webHidden/>
              </w:rPr>
            </w:r>
            <w:r w:rsidR="00452B33">
              <w:rPr>
                <w:noProof/>
                <w:webHidden/>
              </w:rPr>
              <w:fldChar w:fldCharType="separate"/>
            </w:r>
            <w:r w:rsidR="00452B33">
              <w:rPr>
                <w:noProof/>
                <w:webHidden/>
              </w:rPr>
              <w:t>4</w:t>
            </w:r>
            <w:r w:rsidR="00452B33">
              <w:rPr>
                <w:noProof/>
                <w:webHidden/>
              </w:rPr>
              <w:fldChar w:fldCharType="end"/>
            </w:r>
          </w:hyperlink>
        </w:p>
        <w:p w14:paraId="55D9C5F3" w14:textId="2F829756" w:rsidR="00452B33" w:rsidRDefault="00646AB1">
          <w:pPr>
            <w:pStyle w:val="TOC2"/>
            <w:tabs>
              <w:tab w:val="left" w:pos="1134"/>
            </w:tabs>
            <w:rPr>
              <w:rFonts w:eastAsiaTheme="minorEastAsia"/>
              <w:noProof/>
              <w:kern w:val="2"/>
              <w:sz w:val="22"/>
              <w:lang w:eastAsia="en-IE"/>
              <w14:ligatures w14:val="standardContextual"/>
            </w:rPr>
          </w:pPr>
          <w:hyperlink w:anchor="_Toc173222939" w:history="1">
            <w:r w:rsidR="00452B33" w:rsidRPr="005410B2">
              <w:rPr>
                <w:rStyle w:val="Hyperlink"/>
                <w:noProof/>
              </w:rPr>
              <w:t>1.5.</w:t>
            </w:r>
            <w:r w:rsidR="00452B33">
              <w:rPr>
                <w:rFonts w:eastAsiaTheme="minorEastAsia"/>
                <w:noProof/>
                <w:kern w:val="2"/>
                <w:sz w:val="22"/>
                <w:lang w:eastAsia="en-IE"/>
                <w14:ligatures w14:val="standardContextual"/>
              </w:rPr>
              <w:tab/>
            </w:r>
            <w:r w:rsidR="00452B33" w:rsidRPr="005410B2">
              <w:rPr>
                <w:rStyle w:val="Hyperlink"/>
                <w:noProof/>
              </w:rPr>
              <w:t>Contacting the collection agent</w:t>
            </w:r>
            <w:r w:rsidR="00452B33">
              <w:rPr>
                <w:noProof/>
                <w:webHidden/>
              </w:rPr>
              <w:tab/>
            </w:r>
            <w:r w:rsidR="00452B33">
              <w:rPr>
                <w:noProof/>
                <w:webHidden/>
              </w:rPr>
              <w:fldChar w:fldCharType="begin"/>
            </w:r>
            <w:r w:rsidR="00452B33">
              <w:rPr>
                <w:noProof/>
                <w:webHidden/>
              </w:rPr>
              <w:instrText xml:space="preserve"> PAGEREF _Toc173222939 \h </w:instrText>
            </w:r>
            <w:r w:rsidR="00452B33">
              <w:rPr>
                <w:noProof/>
                <w:webHidden/>
              </w:rPr>
            </w:r>
            <w:r w:rsidR="00452B33">
              <w:rPr>
                <w:noProof/>
                <w:webHidden/>
              </w:rPr>
              <w:fldChar w:fldCharType="separate"/>
            </w:r>
            <w:r w:rsidR="00452B33">
              <w:rPr>
                <w:noProof/>
                <w:webHidden/>
              </w:rPr>
              <w:t>5</w:t>
            </w:r>
            <w:r w:rsidR="00452B33">
              <w:rPr>
                <w:noProof/>
                <w:webHidden/>
              </w:rPr>
              <w:fldChar w:fldCharType="end"/>
            </w:r>
          </w:hyperlink>
        </w:p>
        <w:p w14:paraId="1E8BD591" w14:textId="12219CD7" w:rsidR="00452B33" w:rsidRDefault="00646AB1">
          <w:pPr>
            <w:pStyle w:val="TOC2"/>
            <w:tabs>
              <w:tab w:val="left" w:pos="1134"/>
            </w:tabs>
            <w:rPr>
              <w:rFonts w:eastAsiaTheme="minorEastAsia"/>
              <w:noProof/>
              <w:kern w:val="2"/>
              <w:sz w:val="22"/>
              <w:lang w:eastAsia="en-IE"/>
              <w14:ligatures w14:val="standardContextual"/>
            </w:rPr>
          </w:pPr>
          <w:hyperlink w:anchor="_Toc173222940" w:history="1">
            <w:r w:rsidR="00452B33" w:rsidRPr="005410B2">
              <w:rPr>
                <w:rStyle w:val="Hyperlink"/>
                <w:noProof/>
              </w:rPr>
              <w:t>1.6.</w:t>
            </w:r>
            <w:r w:rsidR="00452B33">
              <w:rPr>
                <w:rFonts w:eastAsiaTheme="minorEastAsia"/>
                <w:noProof/>
                <w:kern w:val="2"/>
                <w:sz w:val="22"/>
                <w:lang w:eastAsia="en-IE"/>
                <w14:ligatures w14:val="standardContextual"/>
              </w:rPr>
              <w:tab/>
            </w:r>
            <w:r w:rsidR="00452B33" w:rsidRPr="005410B2">
              <w:rPr>
                <w:rStyle w:val="Hyperlink"/>
                <w:noProof/>
              </w:rPr>
              <w:t>Bank Account details</w:t>
            </w:r>
            <w:r w:rsidR="00452B33">
              <w:rPr>
                <w:noProof/>
                <w:webHidden/>
              </w:rPr>
              <w:tab/>
            </w:r>
            <w:r w:rsidR="00452B33">
              <w:rPr>
                <w:noProof/>
                <w:webHidden/>
              </w:rPr>
              <w:fldChar w:fldCharType="begin"/>
            </w:r>
            <w:r w:rsidR="00452B33">
              <w:rPr>
                <w:noProof/>
                <w:webHidden/>
              </w:rPr>
              <w:instrText xml:space="preserve"> PAGEREF _Toc173222940 \h </w:instrText>
            </w:r>
            <w:r w:rsidR="00452B33">
              <w:rPr>
                <w:noProof/>
                <w:webHidden/>
              </w:rPr>
            </w:r>
            <w:r w:rsidR="00452B33">
              <w:rPr>
                <w:noProof/>
                <w:webHidden/>
              </w:rPr>
              <w:fldChar w:fldCharType="separate"/>
            </w:r>
            <w:r w:rsidR="00452B33">
              <w:rPr>
                <w:noProof/>
                <w:webHidden/>
              </w:rPr>
              <w:t>5</w:t>
            </w:r>
            <w:r w:rsidR="00452B33">
              <w:rPr>
                <w:noProof/>
                <w:webHidden/>
              </w:rPr>
              <w:fldChar w:fldCharType="end"/>
            </w:r>
          </w:hyperlink>
        </w:p>
        <w:p w14:paraId="6D4972E5" w14:textId="758CF0CB" w:rsidR="00603594" w:rsidRDefault="00603594" w:rsidP="009B634E">
          <w:pPr>
            <w:spacing w:line="276" w:lineRule="auto"/>
            <w:jc w:val="both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35C9B0FB" w14:textId="77777777" w:rsidR="00603594" w:rsidRDefault="00603594" w:rsidP="009B634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aps/>
        </w:rPr>
      </w:pPr>
    </w:p>
    <w:p w14:paraId="15975558" w14:textId="77777777" w:rsidR="00235827" w:rsidRDefault="00235827" w:rsidP="009B634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aps/>
        </w:rPr>
      </w:pPr>
    </w:p>
    <w:p w14:paraId="69B1C15F" w14:textId="77777777" w:rsidR="00235827" w:rsidRDefault="00235827" w:rsidP="009B634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aps/>
        </w:rPr>
      </w:pPr>
    </w:p>
    <w:p w14:paraId="63544063" w14:textId="77777777" w:rsidR="00235827" w:rsidRDefault="00235827" w:rsidP="009B634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aps/>
        </w:rPr>
      </w:pPr>
    </w:p>
    <w:p w14:paraId="3236FEDE" w14:textId="77777777" w:rsidR="00235827" w:rsidRDefault="00235827" w:rsidP="009B634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aps/>
        </w:rPr>
      </w:pPr>
    </w:p>
    <w:p w14:paraId="02DC4984" w14:textId="77777777" w:rsidR="00235827" w:rsidRDefault="00235827" w:rsidP="009B634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aps/>
        </w:rPr>
      </w:pPr>
    </w:p>
    <w:p w14:paraId="57FD0FA3" w14:textId="77777777" w:rsidR="00235827" w:rsidRDefault="00235827" w:rsidP="009B634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aps/>
        </w:rPr>
      </w:pPr>
    </w:p>
    <w:p w14:paraId="224DD362" w14:textId="77777777" w:rsidR="00235827" w:rsidRDefault="00235827" w:rsidP="009B634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aps/>
        </w:rPr>
      </w:pPr>
    </w:p>
    <w:p w14:paraId="1EB3280D" w14:textId="77777777" w:rsidR="00235827" w:rsidRDefault="00235827" w:rsidP="009B634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aps/>
        </w:rPr>
      </w:pPr>
    </w:p>
    <w:p w14:paraId="5A143F35" w14:textId="77777777" w:rsidR="00235827" w:rsidRDefault="00235827" w:rsidP="009B634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aps/>
        </w:rPr>
      </w:pPr>
    </w:p>
    <w:p w14:paraId="36C37197" w14:textId="77777777" w:rsidR="00045932" w:rsidRDefault="00045932">
      <w:pPr>
        <w:spacing w:after="160" w:line="259" w:lineRule="auto"/>
        <w:rPr>
          <w:rFonts w:asciiTheme="majorHAnsi" w:eastAsia="Times New Roman" w:hAnsiTheme="majorHAnsi" w:cstheme="majorBidi"/>
          <w:b/>
          <w:color w:val="006768" w:themeColor="text2"/>
          <w:sz w:val="50"/>
          <w:szCs w:val="32"/>
        </w:rPr>
      </w:pPr>
      <w:r>
        <w:rPr>
          <w:rFonts w:eastAsia="Times New Roman"/>
        </w:rPr>
        <w:br w:type="page"/>
      </w:r>
    </w:p>
    <w:p w14:paraId="636C982D" w14:textId="5623CEDA" w:rsidR="00C76046" w:rsidRDefault="00375DBC" w:rsidP="00375DBC">
      <w:pPr>
        <w:pStyle w:val="Heading1"/>
        <w:numPr>
          <w:ilvl w:val="0"/>
          <w:numId w:val="0"/>
        </w:numPr>
        <w:spacing w:after="0" w:line="276" w:lineRule="auto"/>
        <w:ind w:left="567" w:hanging="567"/>
        <w:jc w:val="both"/>
        <w:rPr>
          <w:rFonts w:eastAsia="Times New Roman"/>
        </w:rPr>
      </w:pPr>
      <w:bookmarkStart w:id="0" w:name="_Toc173222932"/>
      <w:r>
        <w:rPr>
          <w:rFonts w:eastAsia="Times New Roman"/>
        </w:rPr>
        <w:lastRenderedPageBreak/>
        <w:t>Self-billing Process</w:t>
      </w:r>
      <w:bookmarkEnd w:id="0"/>
    </w:p>
    <w:p w14:paraId="0C7FC70D" w14:textId="130DCE45" w:rsidR="00C76046" w:rsidRDefault="00C76046" w:rsidP="008E77DD">
      <w:pPr>
        <w:spacing w:line="276" w:lineRule="auto"/>
        <w:jc w:val="both"/>
        <w:rPr>
          <w:rFonts w:ascii="Arial" w:hAnsi="Arial" w:cs="Arial"/>
          <w:caps/>
        </w:rPr>
      </w:pPr>
      <w:bookmarkStart w:id="1" w:name="_Toc64026086"/>
    </w:p>
    <w:p w14:paraId="13AEED6F" w14:textId="5BB2219E" w:rsidR="00375DBC" w:rsidRDefault="00375DBC" w:rsidP="00375DBC">
      <w:pPr>
        <w:pStyle w:val="Heading2"/>
      </w:pPr>
      <w:bookmarkStart w:id="2" w:name="_Toc173222933"/>
      <w:r>
        <w:t>Overview</w:t>
      </w:r>
      <w:bookmarkEnd w:id="2"/>
    </w:p>
    <w:p w14:paraId="72A0309B" w14:textId="464EF136" w:rsidR="00981104" w:rsidRDefault="00981104" w:rsidP="00C403A7">
      <w:p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On 28 June 2024, the </w:t>
      </w:r>
      <w:r w:rsidR="00C403A7" w:rsidRPr="00C403A7">
        <w:rPr>
          <w:sz w:val="22"/>
          <w:szCs w:val="24"/>
        </w:rPr>
        <w:t>Commission for Regulation of Utilities</w:t>
      </w:r>
      <w:r w:rsidR="00C403A7">
        <w:rPr>
          <w:sz w:val="22"/>
          <w:szCs w:val="24"/>
        </w:rPr>
        <w:t xml:space="preserve"> (“CRU”) </w:t>
      </w:r>
      <w:r>
        <w:rPr>
          <w:sz w:val="22"/>
          <w:szCs w:val="24"/>
        </w:rPr>
        <w:t xml:space="preserve">published the </w:t>
      </w:r>
      <w:r w:rsidRPr="00981104">
        <w:rPr>
          <w:sz w:val="22"/>
          <w:szCs w:val="24"/>
        </w:rPr>
        <w:t>Supplementary Decision</w:t>
      </w:r>
      <w:r>
        <w:rPr>
          <w:sz w:val="22"/>
          <w:szCs w:val="24"/>
        </w:rPr>
        <w:t xml:space="preserve"> paper</w:t>
      </w:r>
      <w:r w:rsidR="00712371">
        <w:rPr>
          <w:sz w:val="22"/>
          <w:szCs w:val="24"/>
        </w:rPr>
        <w:t>,</w:t>
      </w:r>
      <w:r w:rsidR="00C403A7">
        <w:rPr>
          <w:sz w:val="22"/>
          <w:szCs w:val="24"/>
        </w:rPr>
        <w:t xml:space="preserve"> </w:t>
      </w:r>
      <w:hyperlink r:id="rId11" w:history="1">
        <w:r w:rsidRPr="00981104">
          <w:rPr>
            <w:rStyle w:val="Hyperlink"/>
          </w:rPr>
          <w:t>CRU202456</w:t>
        </w:r>
      </w:hyperlink>
      <w:r w:rsidR="00C403A7">
        <w:rPr>
          <w:sz w:val="22"/>
          <w:szCs w:val="24"/>
        </w:rPr>
        <w:t xml:space="preserve">, </w:t>
      </w:r>
      <w:r w:rsidR="00C403A7" w:rsidRPr="00C403A7">
        <w:rPr>
          <w:sz w:val="22"/>
          <w:szCs w:val="24"/>
        </w:rPr>
        <w:t>Market Revenue Cap –</w:t>
      </w:r>
      <w:r w:rsidR="00C403A7">
        <w:rPr>
          <w:sz w:val="22"/>
          <w:szCs w:val="24"/>
        </w:rPr>
        <w:t xml:space="preserve"> </w:t>
      </w:r>
      <w:r w:rsidR="00C403A7" w:rsidRPr="00C403A7">
        <w:rPr>
          <w:sz w:val="22"/>
          <w:szCs w:val="24"/>
        </w:rPr>
        <w:t>Surplus Assessment</w:t>
      </w:r>
      <w:r w:rsidR="00C403A7">
        <w:rPr>
          <w:sz w:val="22"/>
          <w:szCs w:val="24"/>
        </w:rPr>
        <w:t xml:space="preserve"> </w:t>
      </w:r>
      <w:r w:rsidRPr="00981104">
        <w:rPr>
          <w:sz w:val="22"/>
          <w:szCs w:val="24"/>
        </w:rPr>
        <w:t>Supplementary Decision</w:t>
      </w:r>
      <w:r w:rsidR="00712371">
        <w:rPr>
          <w:sz w:val="22"/>
          <w:szCs w:val="24"/>
        </w:rPr>
        <w:t xml:space="preserve"> (“CRU decision”)</w:t>
      </w:r>
      <w:r>
        <w:rPr>
          <w:sz w:val="22"/>
          <w:szCs w:val="24"/>
        </w:rPr>
        <w:t>.</w:t>
      </w:r>
    </w:p>
    <w:p w14:paraId="2A27DCEA" w14:textId="72836729" w:rsidR="00550970" w:rsidRDefault="00981104" w:rsidP="008E77DD">
      <w:p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This paper sets out that a participant </w:t>
      </w:r>
      <w:r w:rsidR="00855524">
        <w:rPr>
          <w:sz w:val="22"/>
          <w:szCs w:val="24"/>
        </w:rPr>
        <w:t xml:space="preserve">may </w:t>
      </w:r>
      <w:r>
        <w:rPr>
          <w:sz w:val="22"/>
          <w:szCs w:val="24"/>
        </w:rPr>
        <w:t>be required to submit a</w:t>
      </w:r>
      <w:r w:rsidRPr="00981104">
        <w:rPr>
          <w:sz w:val="22"/>
          <w:szCs w:val="24"/>
        </w:rPr>
        <w:t xml:space="preserve"> return </w:t>
      </w:r>
      <w:r>
        <w:rPr>
          <w:sz w:val="22"/>
          <w:szCs w:val="24"/>
        </w:rPr>
        <w:t xml:space="preserve">by </w:t>
      </w:r>
      <w:r w:rsidRPr="00981104">
        <w:rPr>
          <w:sz w:val="22"/>
          <w:szCs w:val="24"/>
        </w:rPr>
        <w:t>reflecting the M+13 settlement re-run and any changes to hedging arrangements</w:t>
      </w:r>
      <w:r>
        <w:rPr>
          <w:sz w:val="22"/>
          <w:szCs w:val="24"/>
        </w:rPr>
        <w:t xml:space="preserve"> </w:t>
      </w:r>
      <w:r w:rsidRPr="00981104">
        <w:rPr>
          <w:sz w:val="22"/>
          <w:szCs w:val="24"/>
        </w:rPr>
        <w:t>and PPAs.</w:t>
      </w:r>
      <w:r>
        <w:rPr>
          <w:sz w:val="22"/>
          <w:szCs w:val="24"/>
        </w:rPr>
        <w:t xml:space="preserve"> The return may result </w:t>
      </w:r>
      <w:r w:rsidR="00452B33">
        <w:rPr>
          <w:sz w:val="22"/>
          <w:szCs w:val="24"/>
        </w:rPr>
        <w:t xml:space="preserve">in </w:t>
      </w:r>
      <w:r>
        <w:rPr>
          <w:sz w:val="22"/>
          <w:szCs w:val="24"/>
        </w:rPr>
        <w:t>a</w:t>
      </w:r>
      <w:r w:rsidR="00452B33">
        <w:rPr>
          <w:sz w:val="22"/>
          <w:szCs w:val="24"/>
        </w:rPr>
        <w:t>n amount falling due</w:t>
      </w:r>
      <w:r>
        <w:rPr>
          <w:sz w:val="22"/>
          <w:szCs w:val="24"/>
        </w:rPr>
        <w:t xml:space="preserve"> to or from </w:t>
      </w:r>
      <w:proofErr w:type="spellStart"/>
      <w:r>
        <w:rPr>
          <w:sz w:val="22"/>
          <w:szCs w:val="24"/>
        </w:rPr>
        <w:t>EirGrid</w:t>
      </w:r>
      <w:proofErr w:type="spellEnd"/>
      <w:r>
        <w:rPr>
          <w:sz w:val="22"/>
          <w:szCs w:val="24"/>
        </w:rPr>
        <w:t xml:space="preserve">, depending on the delta arising from the return. The deadlines </w:t>
      </w:r>
      <w:r w:rsidR="00452B33">
        <w:rPr>
          <w:sz w:val="22"/>
          <w:szCs w:val="24"/>
        </w:rPr>
        <w:t xml:space="preserve">for return and payment </w:t>
      </w:r>
      <w:r>
        <w:rPr>
          <w:sz w:val="22"/>
          <w:szCs w:val="24"/>
        </w:rPr>
        <w:t>are set out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614"/>
      </w:tblGrid>
      <w:tr w:rsidR="00981104" w14:paraId="5B93EC24" w14:textId="77777777" w:rsidTr="00981104">
        <w:tc>
          <w:tcPr>
            <w:tcW w:w="2122" w:type="dxa"/>
          </w:tcPr>
          <w:p w14:paraId="71CB73A3" w14:textId="7B38FB17" w:rsidR="00981104" w:rsidRPr="00452B33" w:rsidRDefault="00981104" w:rsidP="008E77DD">
            <w:pPr>
              <w:spacing w:line="276" w:lineRule="auto"/>
              <w:jc w:val="both"/>
              <w:rPr>
                <w:b/>
                <w:bCs/>
                <w:sz w:val="22"/>
                <w:szCs w:val="24"/>
              </w:rPr>
            </w:pPr>
            <w:r w:rsidRPr="00452B33">
              <w:rPr>
                <w:b/>
                <w:bCs/>
              </w:rPr>
              <w:t>Deadline</w:t>
            </w:r>
          </w:p>
        </w:tc>
        <w:tc>
          <w:tcPr>
            <w:tcW w:w="7614" w:type="dxa"/>
          </w:tcPr>
          <w:p w14:paraId="25201A0B" w14:textId="230BB4BE" w:rsidR="00981104" w:rsidRPr="00452B33" w:rsidRDefault="00981104" w:rsidP="008E77DD">
            <w:pPr>
              <w:spacing w:line="276" w:lineRule="auto"/>
              <w:jc w:val="both"/>
              <w:rPr>
                <w:b/>
                <w:bCs/>
                <w:sz w:val="22"/>
                <w:szCs w:val="24"/>
              </w:rPr>
            </w:pPr>
            <w:r w:rsidRPr="00452B33">
              <w:rPr>
                <w:b/>
                <w:bCs/>
              </w:rPr>
              <w:t>Requirement</w:t>
            </w:r>
          </w:p>
        </w:tc>
      </w:tr>
      <w:tr w:rsidR="00981104" w14:paraId="15BA555F" w14:textId="77777777" w:rsidTr="00981104">
        <w:tc>
          <w:tcPr>
            <w:tcW w:w="2122" w:type="dxa"/>
          </w:tcPr>
          <w:p w14:paraId="54D6FA3E" w14:textId="6CB1C17D" w:rsidR="00981104" w:rsidRDefault="00981104" w:rsidP="008E77DD">
            <w:pPr>
              <w:spacing w:line="276" w:lineRule="auto"/>
              <w:jc w:val="both"/>
              <w:rPr>
                <w:sz w:val="22"/>
                <w:szCs w:val="24"/>
              </w:rPr>
            </w:pPr>
            <w:r>
              <w:t>14th August 2024</w:t>
            </w:r>
          </w:p>
        </w:tc>
        <w:tc>
          <w:tcPr>
            <w:tcW w:w="7614" w:type="dxa"/>
          </w:tcPr>
          <w:p w14:paraId="1A0CCAFD" w14:textId="77777777" w:rsidR="00981104" w:rsidRDefault="00981104" w:rsidP="008E77DD">
            <w:pPr>
              <w:spacing w:line="276" w:lineRule="auto"/>
              <w:jc w:val="both"/>
            </w:pPr>
            <w:r>
              <w:t>Submit updated return to CRU to reflect M+13 settlement re-run reconciliation</w:t>
            </w:r>
          </w:p>
          <w:p w14:paraId="564AFC35" w14:textId="3F2627B7" w:rsidR="00981104" w:rsidRDefault="00981104" w:rsidP="008E77DD">
            <w:pPr>
              <w:spacing w:line="276" w:lineRule="auto"/>
              <w:jc w:val="both"/>
              <w:rPr>
                <w:sz w:val="22"/>
                <w:szCs w:val="24"/>
              </w:rPr>
            </w:pPr>
            <w:r>
              <w:t>Submit updated return to CRU to reflect changes to hedging arrangements and PPAs</w:t>
            </w:r>
          </w:p>
        </w:tc>
      </w:tr>
      <w:tr w:rsidR="00981104" w14:paraId="73C87A67" w14:textId="77777777" w:rsidTr="00981104">
        <w:tc>
          <w:tcPr>
            <w:tcW w:w="2122" w:type="dxa"/>
          </w:tcPr>
          <w:p w14:paraId="2869E85E" w14:textId="06C94E29" w:rsidR="00981104" w:rsidRDefault="00981104" w:rsidP="008E77DD">
            <w:pPr>
              <w:spacing w:line="276" w:lineRule="auto"/>
              <w:jc w:val="both"/>
              <w:rPr>
                <w:sz w:val="22"/>
                <w:szCs w:val="24"/>
              </w:rPr>
            </w:pPr>
            <w:r>
              <w:t>31st August 2024</w:t>
            </w:r>
          </w:p>
        </w:tc>
        <w:tc>
          <w:tcPr>
            <w:tcW w:w="7614" w:type="dxa"/>
          </w:tcPr>
          <w:p w14:paraId="0204233D" w14:textId="4D95F075" w:rsidR="00981104" w:rsidRDefault="00981104" w:rsidP="008E77DD">
            <w:pPr>
              <w:spacing w:line="276" w:lineRule="auto"/>
              <w:jc w:val="both"/>
              <w:rPr>
                <w:sz w:val="22"/>
                <w:szCs w:val="24"/>
              </w:rPr>
            </w:pPr>
            <w:r>
              <w:t>Payment to/from the collection agent</w:t>
            </w:r>
            <w:r w:rsidR="00550970">
              <w:t xml:space="preserve"> (</w:t>
            </w:r>
            <w:proofErr w:type="spellStart"/>
            <w:r w:rsidR="00550970">
              <w:t>EirGrid</w:t>
            </w:r>
            <w:proofErr w:type="spellEnd"/>
            <w:r w:rsidR="00550970">
              <w:t>)</w:t>
            </w:r>
            <w:r>
              <w:t xml:space="preserve"> of any liability resulting from the M+13 settlement re-run reconciliation return</w:t>
            </w:r>
          </w:p>
        </w:tc>
      </w:tr>
      <w:tr w:rsidR="00981104" w14:paraId="05D91E49" w14:textId="77777777" w:rsidTr="00981104">
        <w:tc>
          <w:tcPr>
            <w:tcW w:w="2122" w:type="dxa"/>
          </w:tcPr>
          <w:p w14:paraId="6D0CB7CE" w14:textId="252FF8A7" w:rsidR="00981104" w:rsidRDefault="00981104" w:rsidP="008E77DD">
            <w:pPr>
              <w:spacing w:line="276" w:lineRule="auto"/>
              <w:jc w:val="both"/>
              <w:rPr>
                <w:sz w:val="22"/>
                <w:szCs w:val="24"/>
              </w:rPr>
            </w:pPr>
            <w:r>
              <w:t>30th September 2024</w:t>
            </w:r>
          </w:p>
        </w:tc>
        <w:tc>
          <w:tcPr>
            <w:tcW w:w="7614" w:type="dxa"/>
          </w:tcPr>
          <w:p w14:paraId="1BF44A75" w14:textId="510AB8B2" w:rsidR="00981104" w:rsidRDefault="00981104" w:rsidP="008E77DD">
            <w:pPr>
              <w:spacing w:line="276" w:lineRule="auto"/>
              <w:jc w:val="both"/>
              <w:rPr>
                <w:sz w:val="22"/>
                <w:szCs w:val="24"/>
              </w:rPr>
            </w:pPr>
            <w:r>
              <w:t xml:space="preserve">Payment to/from the collection agent </w:t>
            </w:r>
            <w:r w:rsidR="00550970">
              <w:t>(</w:t>
            </w:r>
            <w:proofErr w:type="spellStart"/>
            <w:r w:rsidR="00550970">
              <w:t>EirGrid</w:t>
            </w:r>
            <w:proofErr w:type="spellEnd"/>
            <w:r w:rsidR="00550970">
              <w:t xml:space="preserve">) </w:t>
            </w:r>
            <w:r>
              <w:t>of any liability resulting from updated return to reflect changes to hedging arrangements and PPAs and associated money flows</w:t>
            </w:r>
          </w:p>
        </w:tc>
      </w:tr>
    </w:tbl>
    <w:p w14:paraId="15BC7952" w14:textId="77777777" w:rsidR="00550970" w:rsidRDefault="00550970" w:rsidP="008E77DD">
      <w:pPr>
        <w:spacing w:line="276" w:lineRule="auto"/>
        <w:jc w:val="both"/>
        <w:rPr>
          <w:sz w:val="22"/>
          <w:szCs w:val="24"/>
        </w:rPr>
      </w:pPr>
    </w:p>
    <w:p w14:paraId="6AF86E29" w14:textId="20F5EE1C" w:rsidR="00C403A7" w:rsidRDefault="00C403A7" w:rsidP="008E77DD">
      <w:p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The purpose of this document is to provide guidance on the self-billing</w:t>
      </w:r>
      <w:r w:rsidR="00981104">
        <w:rPr>
          <w:sz w:val="22"/>
          <w:szCs w:val="24"/>
        </w:rPr>
        <w:t>/credit note</w:t>
      </w:r>
      <w:r>
        <w:rPr>
          <w:sz w:val="22"/>
          <w:szCs w:val="24"/>
        </w:rPr>
        <w:t xml:space="preserve"> and payment</w:t>
      </w:r>
      <w:r w:rsidR="00981104">
        <w:rPr>
          <w:sz w:val="22"/>
          <w:szCs w:val="24"/>
        </w:rPr>
        <w:t>/refund</w:t>
      </w:r>
      <w:r>
        <w:rPr>
          <w:sz w:val="22"/>
          <w:szCs w:val="24"/>
        </w:rPr>
        <w:t xml:space="preserve"> process for the </w:t>
      </w:r>
      <w:r w:rsidRPr="00C403A7">
        <w:rPr>
          <w:sz w:val="22"/>
          <w:szCs w:val="24"/>
        </w:rPr>
        <w:t>adjusted surplus</w:t>
      </w:r>
      <w:r>
        <w:rPr>
          <w:sz w:val="22"/>
          <w:szCs w:val="24"/>
        </w:rPr>
        <w:t>.</w:t>
      </w:r>
    </w:p>
    <w:p w14:paraId="432C8C80" w14:textId="2990DAD5" w:rsidR="00550970" w:rsidRPr="008D505A" w:rsidRDefault="00550970" w:rsidP="008E77DD">
      <w:pPr>
        <w:spacing w:line="276" w:lineRule="auto"/>
        <w:jc w:val="both"/>
        <w:rPr>
          <w:b/>
          <w:bCs/>
          <w:sz w:val="22"/>
          <w:szCs w:val="24"/>
        </w:rPr>
      </w:pPr>
      <w:r w:rsidRPr="008D505A">
        <w:rPr>
          <w:b/>
          <w:bCs/>
          <w:sz w:val="22"/>
          <w:szCs w:val="24"/>
        </w:rPr>
        <w:t>Please ensure that the amount included in a self-bill invoice or credit note agrees to the amount included in the return</w:t>
      </w:r>
      <w:r w:rsidR="00452B33">
        <w:rPr>
          <w:b/>
          <w:bCs/>
          <w:sz w:val="22"/>
          <w:szCs w:val="24"/>
        </w:rPr>
        <w:t xml:space="preserve">. </w:t>
      </w:r>
      <w:r w:rsidR="00452B33" w:rsidRPr="00452B33">
        <w:rPr>
          <w:sz w:val="22"/>
          <w:szCs w:val="24"/>
        </w:rPr>
        <w:t>Refer to</w:t>
      </w:r>
      <w:r w:rsidRPr="00452B33">
        <w:rPr>
          <w:sz w:val="22"/>
          <w:szCs w:val="24"/>
        </w:rPr>
        <w:t xml:space="preserve"> question 13 of the Microsoft form, ‘</w:t>
      </w:r>
      <w:r w:rsidR="008D505A" w:rsidRPr="00452B33">
        <w:rPr>
          <w:sz w:val="22"/>
          <w:szCs w:val="24"/>
        </w:rPr>
        <w:t xml:space="preserve">Please indicate the difference between the updated return (August 2024) and the initial return (December 2023), which you are either liable to pay or you expect to receive back from </w:t>
      </w:r>
      <w:proofErr w:type="spellStart"/>
      <w:r w:rsidR="008D505A" w:rsidRPr="00452B33">
        <w:rPr>
          <w:sz w:val="22"/>
          <w:szCs w:val="24"/>
        </w:rPr>
        <w:t>EirGrid</w:t>
      </w:r>
      <w:proofErr w:type="spellEnd"/>
      <w:r w:rsidR="008D505A" w:rsidRPr="00452B33">
        <w:rPr>
          <w:sz w:val="22"/>
          <w:szCs w:val="24"/>
        </w:rPr>
        <w:t>’.</w:t>
      </w:r>
    </w:p>
    <w:p w14:paraId="573A046A" w14:textId="77777777" w:rsidR="00C403A7" w:rsidRDefault="00C403A7" w:rsidP="008E77DD">
      <w:pPr>
        <w:spacing w:line="276" w:lineRule="auto"/>
        <w:jc w:val="both"/>
        <w:rPr>
          <w:sz w:val="22"/>
          <w:szCs w:val="24"/>
        </w:rPr>
      </w:pPr>
    </w:p>
    <w:p w14:paraId="16D9C6C6" w14:textId="12F7F577" w:rsidR="00C403A7" w:rsidRDefault="00550970" w:rsidP="00C403A7">
      <w:pPr>
        <w:pStyle w:val="Heading2"/>
      </w:pPr>
      <w:bookmarkStart w:id="3" w:name="_Toc173222934"/>
      <w:r>
        <w:t>Payment</w:t>
      </w:r>
      <w:r w:rsidR="00452B33">
        <w:t xml:space="preserve"> due</w:t>
      </w:r>
      <w:r>
        <w:t xml:space="preserve"> </w:t>
      </w:r>
      <w:r w:rsidRPr="00550970">
        <w:rPr>
          <w:u w:val="single"/>
        </w:rPr>
        <w:t>to</w:t>
      </w:r>
      <w:r w:rsidRPr="00550970">
        <w:t xml:space="preserve"> </w:t>
      </w:r>
      <w:proofErr w:type="spellStart"/>
      <w:r w:rsidRPr="00550970">
        <w:t>EirGrid</w:t>
      </w:r>
      <w:bookmarkEnd w:id="3"/>
      <w:proofErr w:type="spellEnd"/>
    </w:p>
    <w:p w14:paraId="51A15DCE" w14:textId="73DE089C" w:rsidR="008D505A" w:rsidRDefault="00550970" w:rsidP="00550970">
      <w:p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Once a return has been made to the CRU for the updated adjusted surplus revenue, resulting in an amount to be paid to </w:t>
      </w:r>
      <w:proofErr w:type="spellStart"/>
      <w:r>
        <w:rPr>
          <w:sz w:val="22"/>
          <w:szCs w:val="24"/>
        </w:rPr>
        <w:t>EirGrid</w:t>
      </w:r>
      <w:proofErr w:type="spellEnd"/>
      <w:r>
        <w:rPr>
          <w:sz w:val="22"/>
          <w:szCs w:val="24"/>
        </w:rPr>
        <w:t xml:space="preserve">, the participant will be required to make payment by the dates noted in section 1.1. </w:t>
      </w:r>
      <w:r w:rsidR="00452B33">
        <w:rPr>
          <w:sz w:val="22"/>
          <w:szCs w:val="24"/>
        </w:rPr>
        <w:t>Please note the following will be required to support this process:</w:t>
      </w:r>
    </w:p>
    <w:p w14:paraId="706E190B" w14:textId="77777777" w:rsidR="008D505A" w:rsidRDefault="008D505A" w:rsidP="008D505A">
      <w:pPr>
        <w:pStyle w:val="Heading3"/>
      </w:pPr>
      <w:bookmarkStart w:id="4" w:name="_Toc173222935"/>
      <w:r>
        <w:t>Completing self-bill invoicing</w:t>
      </w:r>
      <w:bookmarkEnd w:id="4"/>
    </w:p>
    <w:p w14:paraId="5CF57F03" w14:textId="36987D54" w:rsidR="00550970" w:rsidRDefault="00550970" w:rsidP="00550970">
      <w:p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A self-billing invoice (included in Appendix A) is to be completed by the participant. Notes are included on the self-bill invoice to provide guidance on each field. It is imperative that the detail included (</w:t>
      </w:r>
      <w:r w:rsidRPr="0041729E">
        <w:rPr>
          <w:b/>
          <w:bCs/>
          <w:sz w:val="22"/>
          <w:szCs w:val="24"/>
        </w:rPr>
        <w:t>settlement document number</w:t>
      </w:r>
      <w:r>
        <w:rPr>
          <w:b/>
          <w:bCs/>
          <w:sz w:val="22"/>
          <w:szCs w:val="24"/>
        </w:rPr>
        <w:t xml:space="preserve">, </w:t>
      </w:r>
      <w:r w:rsidRPr="005D193A">
        <w:rPr>
          <w:b/>
          <w:bCs/>
          <w:sz w:val="22"/>
          <w:szCs w:val="24"/>
        </w:rPr>
        <w:t>billing information,</w:t>
      </w:r>
      <w:r>
        <w:rPr>
          <w:sz w:val="22"/>
          <w:szCs w:val="24"/>
        </w:rPr>
        <w:t xml:space="preserve"> </w:t>
      </w:r>
      <w:r w:rsidRPr="005D193A">
        <w:rPr>
          <w:b/>
          <w:bCs/>
          <w:sz w:val="22"/>
          <w:szCs w:val="24"/>
        </w:rPr>
        <w:t>amounts due, generation unit number/MPRN</w:t>
      </w:r>
      <w:r>
        <w:rPr>
          <w:sz w:val="22"/>
          <w:szCs w:val="24"/>
        </w:rPr>
        <w:t xml:space="preserve">) in this invoice matches the declaration made to the CRU. </w:t>
      </w:r>
    </w:p>
    <w:p w14:paraId="511686B5" w14:textId="6DBAA625" w:rsidR="00550970" w:rsidRDefault="00550970" w:rsidP="00550970">
      <w:p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Once this information has been populated, the document should be converted to a pdf</w:t>
      </w:r>
      <w:r w:rsidR="008D505A">
        <w:rPr>
          <w:sz w:val="22"/>
          <w:szCs w:val="24"/>
        </w:rPr>
        <w:t>.</w:t>
      </w:r>
    </w:p>
    <w:p w14:paraId="627DB9A0" w14:textId="77777777" w:rsidR="00550970" w:rsidRPr="00550970" w:rsidRDefault="00550970" w:rsidP="00550970">
      <w:pPr>
        <w:ind w:left="568"/>
      </w:pPr>
    </w:p>
    <w:p w14:paraId="714AE875" w14:textId="718FCDF5" w:rsidR="005D193A" w:rsidRDefault="005D193A" w:rsidP="008D505A">
      <w:pPr>
        <w:pStyle w:val="Heading3"/>
      </w:pPr>
      <w:bookmarkStart w:id="5" w:name="_Toc173222936"/>
      <w:r>
        <w:lastRenderedPageBreak/>
        <w:t>Making payment</w:t>
      </w:r>
      <w:bookmarkEnd w:id="5"/>
    </w:p>
    <w:p w14:paraId="7946DA59" w14:textId="3985BAD9" w:rsidR="00C76046" w:rsidRDefault="005D193A" w:rsidP="008E77DD">
      <w:p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Payment must be made to the ‘Windfall Tax’ account. The details for this account are located</w:t>
      </w:r>
      <w:r w:rsidR="00787C75">
        <w:rPr>
          <w:sz w:val="22"/>
          <w:szCs w:val="24"/>
        </w:rPr>
        <w:t xml:space="preserve"> in </w:t>
      </w:r>
      <w:r w:rsidR="00787C75" w:rsidRPr="00452B33">
        <w:rPr>
          <w:sz w:val="22"/>
          <w:szCs w:val="24"/>
        </w:rPr>
        <w:t>Section 1.</w:t>
      </w:r>
      <w:r w:rsidR="00452B33" w:rsidRPr="00452B33">
        <w:rPr>
          <w:sz w:val="22"/>
          <w:szCs w:val="24"/>
        </w:rPr>
        <w:t>6</w:t>
      </w:r>
      <w:r w:rsidR="00787C75" w:rsidRPr="00452B33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  <w:r w:rsidR="00787C75">
        <w:rPr>
          <w:sz w:val="22"/>
          <w:szCs w:val="24"/>
        </w:rPr>
        <w:t xml:space="preserve">of this document and </w:t>
      </w:r>
      <w:r>
        <w:rPr>
          <w:sz w:val="22"/>
          <w:szCs w:val="24"/>
        </w:rPr>
        <w:t xml:space="preserve">on the self-bill invoice. The reference for payment must include the </w:t>
      </w:r>
      <w:r w:rsidR="006A609D" w:rsidRPr="00057DD0">
        <w:rPr>
          <w:sz w:val="22"/>
          <w:szCs w:val="24"/>
        </w:rPr>
        <w:t>s</w:t>
      </w:r>
      <w:r w:rsidRPr="00057DD0">
        <w:rPr>
          <w:sz w:val="22"/>
          <w:szCs w:val="24"/>
        </w:rPr>
        <w:t xml:space="preserve">ettlement document number </w:t>
      </w:r>
      <w:r>
        <w:rPr>
          <w:sz w:val="22"/>
          <w:szCs w:val="24"/>
        </w:rPr>
        <w:t>to allow for receipt of payment to be mapped.</w:t>
      </w:r>
    </w:p>
    <w:p w14:paraId="6FCD8BD6" w14:textId="03FD894E" w:rsidR="005D193A" w:rsidRPr="007800B0" w:rsidRDefault="005D193A" w:rsidP="008E77DD">
      <w:pPr>
        <w:spacing w:line="276" w:lineRule="auto"/>
        <w:jc w:val="both"/>
        <w:rPr>
          <w:rStyle w:val="Hyperlink"/>
          <w:rFonts w:ascii="Calibri" w:hAnsi="Calibri" w:cs="Calibri"/>
          <w:b/>
          <w:bCs/>
          <w:sz w:val="22"/>
        </w:rPr>
      </w:pPr>
      <w:r>
        <w:rPr>
          <w:sz w:val="22"/>
          <w:szCs w:val="24"/>
        </w:rPr>
        <w:t>Once payment has been made, send a copy of the completed self-bill invoice to the following email</w:t>
      </w:r>
      <w:r w:rsidR="007640CE">
        <w:rPr>
          <w:sz w:val="22"/>
          <w:szCs w:val="24"/>
        </w:rPr>
        <w:t xml:space="preserve"> addres</w:t>
      </w:r>
      <w:r w:rsidR="007640CE" w:rsidRPr="00452B33">
        <w:rPr>
          <w:rFonts w:asciiTheme="majorHAnsi" w:hAnsiTheme="majorHAnsi"/>
          <w:sz w:val="22"/>
          <w:szCs w:val="24"/>
        </w:rPr>
        <w:t>s</w:t>
      </w:r>
      <w:r w:rsidRPr="00452B33">
        <w:rPr>
          <w:rFonts w:asciiTheme="majorHAnsi" w:hAnsiTheme="majorHAnsi"/>
          <w:sz w:val="22"/>
          <w:szCs w:val="24"/>
        </w:rPr>
        <w:t xml:space="preserve">: </w:t>
      </w:r>
      <w:bookmarkStart w:id="6" w:name="_Hlk173225657"/>
      <w:r w:rsidR="00855524" w:rsidRPr="00452B33">
        <w:fldChar w:fldCharType="begin"/>
      </w:r>
      <w:r w:rsidR="00855524" w:rsidRPr="00452B33">
        <w:rPr>
          <w:rFonts w:asciiTheme="majorHAnsi" w:hAnsiTheme="majorHAnsi"/>
        </w:rPr>
        <w:instrText>HYPERLINK "mailto:windfalltax@eirgrid.com"</w:instrText>
      </w:r>
      <w:r w:rsidR="00855524" w:rsidRPr="00452B33">
        <w:fldChar w:fldCharType="separate"/>
      </w:r>
      <w:r w:rsidR="00981104" w:rsidRPr="00452B33">
        <w:rPr>
          <w:rStyle w:val="Hyperlink"/>
          <w:rFonts w:asciiTheme="majorHAnsi" w:hAnsiTheme="majorHAnsi" w:cs="Calibri"/>
          <w:b/>
          <w:bCs/>
          <w:sz w:val="22"/>
        </w:rPr>
        <w:t>windfalltax@eirgrid.com</w:t>
      </w:r>
      <w:r w:rsidR="00855524" w:rsidRPr="00452B33">
        <w:rPr>
          <w:rStyle w:val="Hyperlink"/>
          <w:rFonts w:asciiTheme="majorHAnsi" w:hAnsiTheme="majorHAnsi" w:cs="Calibri"/>
          <w:b/>
          <w:bCs/>
          <w:sz w:val="22"/>
        </w:rPr>
        <w:fldChar w:fldCharType="end"/>
      </w:r>
      <w:bookmarkEnd w:id="6"/>
    </w:p>
    <w:p w14:paraId="623A6D6B" w14:textId="77777777" w:rsidR="007800B0" w:rsidRDefault="007800B0" w:rsidP="008E77DD">
      <w:pPr>
        <w:spacing w:line="276" w:lineRule="auto"/>
        <w:jc w:val="both"/>
        <w:rPr>
          <w:rFonts w:ascii="Calibri" w:hAnsi="Calibri" w:cs="Calibri"/>
          <w:color w:val="0000FF"/>
          <w:sz w:val="22"/>
        </w:rPr>
      </w:pPr>
    </w:p>
    <w:p w14:paraId="2591291B" w14:textId="713126CA" w:rsidR="007800B0" w:rsidRDefault="008D505A" w:rsidP="007800B0">
      <w:pPr>
        <w:pStyle w:val="Heading2"/>
      </w:pPr>
      <w:bookmarkStart w:id="7" w:name="_Toc173222937"/>
      <w:r>
        <w:t>Payment</w:t>
      </w:r>
      <w:r w:rsidR="00452B33">
        <w:t xml:space="preserve"> due</w:t>
      </w:r>
      <w:r>
        <w:t xml:space="preserve"> </w:t>
      </w:r>
      <w:r w:rsidRPr="008D505A">
        <w:rPr>
          <w:u w:val="single"/>
        </w:rPr>
        <w:t>from</w:t>
      </w:r>
      <w:r>
        <w:t xml:space="preserve"> </w:t>
      </w:r>
      <w:proofErr w:type="spellStart"/>
      <w:r>
        <w:t>EirGrid</w:t>
      </w:r>
      <w:bookmarkEnd w:id="7"/>
      <w:proofErr w:type="spellEnd"/>
    </w:p>
    <w:p w14:paraId="61162D9C" w14:textId="1F01C255" w:rsidR="008D505A" w:rsidRDefault="008D505A" w:rsidP="007800B0">
      <w:pPr>
        <w:spacing w:line="276" w:lineRule="auto"/>
        <w:jc w:val="both"/>
        <w:rPr>
          <w:sz w:val="22"/>
          <w:szCs w:val="24"/>
        </w:rPr>
      </w:pPr>
      <w:r w:rsidRPr="008D505A">
        <w:rPr>
          <w:sz w:val="22"/>
          <w:szCs w:val="24"/>
        </w:rPr>
        <w:t xml:space="preserve">Once a return has been made to the CRU for the updated adjusted surplus revenue, resulting in an amount to be paid </w:t>
      </w:r>
      <w:r>
        <w:rPr>
          <w:sz w:val="22"/>
          <w:szCs w:val="24"/>
        </w:rPr>
        <w:t>from</w:t>
      </w:r>
      <w:r w:rsidRPr="008D505A">
        <w:rPr>
          <w:sz w:val="22"/>
          <w:szCs w:val="24"/>
        </w:rPr>
        <w:t xml:space="preserve"> </w:t>
      </w:r>
      <w:proofErr w:type="spellStart"/>
      <w:r w:rsidRPr="008D505A">
        <w:rPr>
          <w:sz w:val="22"/>
          <w:szCs w:val="24"/>
        </w:rPr>
        <w:t>EirGrid</w:t>
      </w:r>
      <w:proofErr w:type="spellEnd"/>
      <w:r w:rsidRPr="008D505A">
        <w:rPr>
          <w:sz w:val="22"/>
          <w:szCs w:val="24"/>
        </w:rPr>
        <w:t xml:space="preserve">, </w:t>
      </w:r>
      <w:r w:rsidR="00452B33">
        <w:rPr>
          <w:sz w:val="22"/>
          <w:szCs w:val="24"/>
        </w:rPr>
        <w:t>we</w:t>
      </w:r>
      <w:r>
        <w:rPr>
          <w:sz w:val="22"/>
          <w:szCs w:val="24"/>
        </w:rPr>
        <w:t xml:space="preserve"> will arrange for this amount to be paid to the </w:t>
      </w:r>
      <w:r w:rsidRPr="008D505A">
        <w:rPr>
          <w:sz w:val="22"/>
          <w:szCs w:val="24"/>
        </w:rPr>
        <w:t>participant.</w:t>
      </w:r>
    </w:p>
    <w:p w14:paraId="54819FB6" w14:textId="2188FB71" w:rsidR="008D505A" w:rsidRDefault="008D505A" w:rsidP="007800B0">
      <w:p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To support the process</w:t>
      </w:r>
      <w:r w:rsidR="00452B33">
        <w:rPr>
          <w:sz w:val="22"/>
          <w:szCs w:val="24"/>
        </w:rPr>
        <w:t>,</w:t>
      </w:r>
      <w:r>
        <w:rPr>
          <w:sz w:val="22"/>
          <w:szCs w:val="24"/>
        </w:rPr>
        <w:t xml:space="preserve"> </w:t>
      </w:r>
      <w:proofErr w:type="spellStart"/>
      <w:r>
        <w:rPr>
          <w:sz w:val="22"/>
          <w:szCs w:val="24"/>
        </w:rPr>
        <w:t>EirGrid</w:t>
      </w:r>
      <w:proofErr w:type="spellEnd"/>
      <w:r>
        <w:rPr>
          <w:sz w:val="22"/>
          <w:szCs w:val="24"/>
        </w:rPr>
        <w:t xml:space="preserve"> will require the following information to be emailed to </w:t>
      </w:r>
      <w:hyperlink r:id="rId12" w:history="1">
        <w:r w:rsidRPr="00452B33">
          <w:rPr>
            <w:rStyle w:val="Hyperlink"/>
            <w:rFonts w:asciiTheme="majorHAnsi" w:hAnsiTheme="majorHAnsi" w:cs="Calibri"/>
            <w:b/>
            <w:bCs/>
            <w:sz w:val="22"/>
          </w:rPr>
          <w:t>windfalltax@eirgrid.com</w:t>
        </w:r>
      </w:hyperlink>
      <w:r w:rsidRPr="00452B33">
        <w:rPr>
          <w:rFonts w:asciiTheme="majorHAnsi" w:hAnsiTheme="majorHAnsi"/>
          <w:sz w:val="22"/>
          <w:szCs w:val="24"/>
        </w:rPr>
        <w:t xml:space="preserve"> by</w:t>
      </w:r>
      <w:r>
        <w:rPr>
          <w:sz w:val="22"/>
          <w:szCs w:val="24"/>
        </w:rPr>
        <w:t xml:space="preserve"> the return date: </w:t>
      </w:r>
    </w:p>
    <w:p w14:paraId="483EC4E8" w14:textId="14B11AFA" w:rsidR="008D505A" w:rsidRDefault="008D505A" w:rsidP="008D505A">
      <w:pPr>
        <w:pStyle w:val="ListParagraph"/>
        <w:numPr>
          <w:ilvl w:val="0"/>
          <w:numId w:val="20"/>
        </w:numPr>
        <w:spacing w:line="276" w:lineRule="auto"/>
        <w:jc w:val="both"/>
        <w:rPr>
          <w:sz w:val="22"/>
          <w:szCs w:val="24"/>
        </w:rPr>
      </w:pPr>
      <w:r w:rsidRPr="008D505A">
        <w:rPr>
          <w:sz w:val="22"/>
          <w:szCs w:val="24"/>
        </w:rPr>
        <w:t>Completed credit note template (agreeing to the return)</w:t>
      </w:r>
      <w:r w:rsidR="00646AB1">
        <w:rPr>
          <w:sz w:val="22"/>
          <w:szCs w:val="24"/>
        </w:rPr>
        <w:t xml:space="preserve"> (included in Appendix B)</w:t>
      </w:r>
    </w:p>
    <w:p w14:paraId="635F8348" w14:textId="08D893FF" w:rsidR="008D505A" w:rsidRDefault="008D505A" w:rsidP="008D505A">
      <w:pPr>
        <w:pStyle w:val="ListParagraph"/>
        <w:numPr>
          <w:ilvl w:val="0"/>
          <w:numId w:val="20"/>
        </w:num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Bank account details on company headed paper signed by a director</w:t>
      </w:r>
    </w:p>
    <w:p w14:paraId="0D7A273F" w14:textId="3C100487" w:rsidR="008D505A" w:rsidRPr="008D505A" w:rsidRDefault="008D505A" w:rsidP="008D505A">
      <w:pPr>
        <w:pStyle w:val="ListParagraph"/>
        <w:numPr>
          <w:ilvl w:val="0"/>
          <w:numId w:val="20"/>
        </w:num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Contact details and availability to carry out a call back procedure</w:t>
      </w:r>
    </w:p>
    <w:p w14:paraId="4BDF03C2" w14:textId="799F0E6E" w:rsidR="007640CE" w:rsidRPr="00452B33" w:rsidRDefault="00452B33" w:rsidP="007800B0">
      <w:pPr>
        <w:spacing w:line="276" w:lineRule="auto"/>
        <w:jc w:val="both"/>
        <w:rPr>
          <w:sz w:val="22"/>
          <w:szCs w:val="24"/>
        </w:rPr>
      </w:pPr>
      <w:r w:rsidRPr="00452B33">
        <w:rPr>
          <w:sz w:val="22"/>
          <w:szCs w:val="24"/>
        </w:rPr>
        <w:t>If a return is not received by the CRU this may result in payment not being processed by the dates noted in Section 1.1.</w:t>
      </w:r>
    </w:p>
    <w:p w14:paraId="294B76BB" w14:textId="77777777" w:rsidR="00452B33" w:rsidRDefault="00452B33" w:rsidP="007800B0">
      <w:pPr>
        <w:spacing w:line="276" w:lineRule="auto"/>
        <w:jc w:val="both"/>
        <w:rPr>
          <w:rFonts w:ascii="Calibri" w:hAnsi="Calibri" w:cs="Calibri"/>
          <w:color w:val="0000FF"/>
          <w:sz w:val="22"/>
        </w:rPr>
      </w:pPr>
    </w:p>
    <w:p w14:paraId="69514955" w14:textId="630EB78B" w:rsidR="008C4C40" w:rsidRDefault="008C4C40" w:rsidP="008C4C40">
      <w:pPr>
        <w:pStyle w:val="Heading2"/>
      </w:pPr>
      <w:bookmarkStart w:id="8" w:name="_Toc173222938"/>
      <w:r>
        <w:t>Surcharge and Interest</w:t>
      </w:r>
      <w:bookmarkEnd w:id="8"/>
    </w:p>
    <w:p w14:paraId="0C53E743" w14:textId="025CDB4A" w:rsidR="001A0433" w:rsidRPr="007800B0" w:rsidRDefault="001A0433" w:rsidP="008C4C40">
      <w:pPr>
        <w:rPr>
          <w:sz w:val="22"/>
        </w:rPr>
      </w:pPr>
      <w:r w:rsidRPr="007800B0">
        <w:rPr>
          <w:sz w:val="22"/>
        </w:rPr>
        <w:t xml:space="preserve">The legislation provides for a surcharge to become liable by the participant where a late </w:t>
      </w:r>
      <w:r w:rsidR="008F7097">
        <w:rPr>
          <w:sz w:val="22"/>
        </w:rPr>
        <w:t xml:space="preserve">return </w:t>
      </w:r>
      <w:r w:rsidRPr="007800B0">
        <w:rPr>
          <w:sz w:val="22"/>
        </w:rPr>
        <w:t>or no return has been made. It also provides for interest to be charged where late payment or non-payment has been made.</w:t>
      </w:r>
      <w:r w:rsidR="00045932" w:rsidRPr="007800B0">
        <w:rPr>
          <w:sz w:val="22"/>
        </w:rPr>
        <w:t xml:space="preserve"> </w:t>
      </w:r>
    </w:p>
    <w:p w14:paraId="2E17A8CF" w14:textId="78ABCC5E" w:rsidR="00045932" w:rsidRPr="007800B0" w:rsidRDefault="00045932" w:rsidP="008C4C40">
      <w:pPr>
        <w:rPr>
          <w:sz w:val="22"/>
        </w:rPr>
      </w:pPr>
      <w:r w:rsidRPr="007800B0">
        <w:rPr>
          <w:sz w:val="22"/>
        </w:rPr>
        <w:t xml:space="preserve">Where a participant incurs a surcharge or interest </w:t>
      </w:r>
      <w:r w:rsidR="008366A7" w:rsidRPr="007800B0">
        <w:rPr>
          <w:sz w:val="22"/>
        </w:rPr>
        <w:t>because of</w:t>
      </w:r>
      <w:r w:rsidRPr="007800B0">
        <w:rPr>
          <w:sz w:val="22"/>
        </w:rPr>
        <w:t xml:space="preserve"> late/non return/payment of amounts due, the participant will be required to calculate and include such amounts in the self-bill </w:t>
      </w:r>
      <w:r w:rsidR="00A307F4" w:rsidRPr="007800B0">
        <w:rPr>
          <w:sz w:val="22"/>
        </w:rPr>
        <w:t>invoice and</w:t>
      </w:r>
      <w:r w:rsidR="008366A7" w:rsidRPr="007800B0">
        <w:rPr>
          <w:sz w:val="22"/>
        </w:rPr>
        <w:t xml:space="preserve"> make payment</w:t>
      </w:r>
      <w:r w:rsidRPr="007800B0">
        <w:rPr>
          <w:sz w:val="22"/>
        </w:rPr>
        <w:t xml:space="preserve">. </w:t>
      </w:r>
      <w:r w:rsidR="00DC1845">
        <w:rPr>
          <w:sz w:val="22"/>
        </w:rPr>
        <w:t xml:space="preserve">The </w:t>
      </w:r>
      <w:r w:rsidR="00DC1845" w:rsidRPr="007800B0">
        <w:rPr>
          <w:sz w:val="22"/>
        </w:rPr>
        <w:t>self-bill invoice</w:t>
      </w:r>
      <w:r w:rsidR="00DC1845">
        <w:rPr>
          <w:sz w:val="22"/>
        </w:rPr>
        <w:t xml:space="preserve"> should be sent to </w:t>
      </w:r>
      <w:hyperlink r:id="rId13" w:history="1">
        <w:r w:rsidR="005F0BFE" w:rsidRPr="007640CE">
          <w:rPr>
            <w:rStyle w:val="Hyperlink"/>
            <w:rFonts w:ascii="Calibri" w:hAnsi="Calibri" w:cs="Calibri"/>
            <w:b/>
            <w:bCs/>
            <w:sz w:val="22"/>
          </w:rPr>
          <w:t>windfalltax@eirgrid.com</w:t>
        </w:r>
      </w:hyperlink>
    </w:p>
    <w:p w14:paraId="0CD2BCFF" w14:textId="729F9006" w:rsidR="00045932" w:rsidRPr="007800B0" w:rsidRDefault="00045932" w:rsidP="008C4C40">
      <w:pPr>
        <w:rPr>
          <w:b/>
          <w:bCs/>
          <w:color w:val="006768" w:themeColor="text2"/>
          <w:sz w:val="22"/>
        </w:rPr>
      </w:pPr>
      <w:r w:rsidRPr="007800B0">
        <w:rPr>
          <w:b/>
          <w:bCs/>
          <w:color w:val="006768" w:themeColor="text2"/>
          <w:sz w:val="22"/>
        </w:rPr>
        <w:t>Surcharge Calculation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2268"/>
      </w:tblGrid>
      <w:tr w:rsidR="001A0433" w:rsidRPr="007800B0" w14:paraId="52F6183C" w14:textId="77777777" w:rsidTr="00045932">
        <w:tc>
          <w:tcPr>
            <w:tcW w:w="3397" w:type="dxa"/>
            <w:shd w:val="clear" w:color="auto" w:fill="00A88E" w:themeFill="background2"/>
          </w:tcPr>
          <w:p w14:paraId="64834405" w14:textId="5254688D" w:rsidR="001A0433" w:rsidRPr="007800B0" w:rsidRDefault="001A0433" w:rsidP="008C4C40">
            <w:pPr>
              <w:rPr>
                <w:b/>
                <w:bCs/>
                <w:color w:val="FFFFFF" w:themeColor="background1"/>
                <w:sz w:val="22"/>
              </w:rPr>
            </w:pPr>
            <w:r w:rsidRPr="007800B0">
              <w:rPr>
                <w:b/>
                <w:bCs/>
                <w:color w:val="FFFFFF" w:themeColor="background1"/>
                <w:sz w:val="22"/>
              </w:rPr>
              <w:t>Timing of return</w:t>
            </w:r>
          </w:p>
        </w:tc>
        <w:tc>
          <w:tcPr>
            <w:tcW w:w="2552" w:type="dxa"/>
            <w:shd w:val="clear" w:color="auto" w:fill="00A88E" w:themeFill="background2"/>
          </w:tcPr>
          <w:p w14:paraId="1AD552D4" w14:textId="44CB572A" w:rsidR="001A0433" w:rsidRPr="007800B0" w:rsidRDefault="001A0433" w:rsidP="008C4C40">
            <w:pPr>
              <w:rPr>
                <w:b/>
                <w:bCs/>
                <w:color w:val="FFFFFF" w:themeColor="background1"/>
                <w:sz w:val="22"/>
              </w:rPr>
            </w:pPr>
            <w:r w:rsidRPr="007800B0">
              <w:rPr>
                <w:b/>
                <w:bCs/>
                <w:color w:val="FFFFFF" w:themeColor="background1"/>
                <w:sz w:val="22"/>
              </w:rPr>
              <w:t>Surcharge percentage (of amount due)</w:t>
            </w:r>
          </w:p>
        </w:tc>
        <w:tc>
          <w:tcPr>
            <w:tcW w:w="2268" w:type="dxa"/>
            <w:shd w:val="clear" w:color="auto" w:fill="00A88E" w:themeFill="background2"/>
          </w:tcPr>
          <w:p w14:paraId="04D74EC9" w14:textId="760FCEE4" w:rsidR="001A0433" w:rsidRPr="007800B0" w:rsidRDefault="001A0433" w:rsidP="008C4C40">
            <w:pPr>
              <w:rPr>
                <w:b/>
                <w:bCs/>
                <w:color w:val="FFFFFF" w:themeColor="background1"/>
                <w:sz w:val="22"/>
              </w:rPr>
            </w:pPr>
            <w:r w:rsidRPr="007800B0">
              <w:rPr>
                <w:b/>
                <w:bCs/>
                <w:color w:val="FFFFFF" w:themeColor="background1"/>
                <w:sz w:val="22"/>
              </w:rPr>
              <w:t>Surcharge maximum</w:t>
            </w:r>
          </w:p>
        </w:tc>
      </w:tr>
      <w:tr w:rsidR="001A0433" w:rsidRPr="007800B0" w14:paraId="7E9FE861" w14:textId="77777777" w:rsidTr="00045932">
        <w:tc>
          <w:tcPr>
            <w:tcW w:w="3397" w:type="dxa"/>
          </w:tcPr>
          <w:p w14:paraId="460C9DDF" w14:textId="5E5EBC52" w:rsidR="001A0433" w:rsidRPr="007800B0" w:rsidRDefault="001A0433" w:rsidP="008C4C40">
            <w:pPr>
              <w:rPr>
                <w:sz w:val="22"/>
              </w:rPr>
            </w:pPr>
            <w:r w:rsidRPr="007800B0">
              <w:rPr>
                <w:sz w:val="22"/>
              </w:rPr>
              <w:t>3-6 months after deadline</w:t>
            </w:r>
          </w:p>
        </w:tc>
        <w:tc>
          <w:tcPr>
            <w:tcW w:w="2552" w:type="dxa"/>
          </w:tcPr>
          <w:p w14:paraId="6D115950" w14:textId="5F77722A" w:rsidR="001A0433" w:rsidRPr="007800B0" w:rsidRDefault="001A0433" w:rsidP="008C4C40">
            <w:pPr>
              <w:rPr>
                <w:sz w:val="22"/>
              </w:rPr>
            </w:pPr>
            <w:r w:rsidRPr="007800B0">
              <w:rPr>
                <w:sz w:val="22"/>
              </w:rPr>
              <w:t>5%</w:t>
            </w:r>
          </w:p>
        </w:tc>
        <w:tc>
          <w:tcPr>
            <w:tcW w:w="2268" w:type="dxa"/>
          </w:tcPr>
          <w:p w14:paraId="4D9C4214" w14:textId="4A02B8D2" w:rsidR="001A0433" w:rsidRPr="007800B0" w:rsidRDefault="001A0433" w:rsidP="008C4C40">
            <w:pPr>
              <w:rPr>
                <w:sz w:val="22"/>
              </w:rPr>
            </w:pPr>
            <w:r w:rsidRPr="007800B0">
              <w:rPr>
                <w:sz w:val="22"/>
              </w:rPr>
              <w:t>€12,695</w:t>
            </w:r>
          </w:p>
        </w:tc>
      </w:tr>
      <w:tr w:rsidR="001A0433" w:rsidRPr="007800B0" w14:paraId="7E9B4550" w14:textId="77777777" w:rsidTr="00045932">
        <w:tc>
          <w:tcPr>
            <w:tcW w:w="3397" w:type="dxa"/>
          </w:tcPr>
          <w:p w14:paraId="57A2DFC0" w14:textId="30617F67" w:rsidR="001A0433" w:rsidRPr="007800B0" w:rsidRDefault="001A0433" w:rsidP="008C4C40">
            <w:pPr>
              <w:rPr>
                <w:sz w:val="22"/>
              </w:rPr>
            </w:pPr>
            <w:r w:rsidRPr="007800B0">
              <w:rPr>
                <w:sz w:val="22"/>
              </w:rPr>
              <w:t>More than 6 months after deadline</w:t>
            </w:r>
          </w:p>
        </w:tc>
        <w:tc>
          <w:tcPr>
            <w:tcW w:w="2552" w:type="dxa"/>
          </w:tcPr>
          <w:p w14:paraId="1E6EB52C" w14:textId="3828E11B" w:rsidR="001A0433" w:rsidRPr="007800B0" w:rsidRDefault="001A0433" w:rsidP="008C4C40">
            <w:pPr>
              <w:rPr>
                <w:sz w:val="22"/>
              </w:rPr>
            </w:pPr>
            <w:r w:rsidRPr="007800B0">
              <w:rPr>
                <w:sz w:val="22"/>
              </w:rPr>
              <w:t>10%</w:t>
            </w:r>
          </w:p>
        </w:tc>
        <w:tc>
          <w:tcPr>
            <w:tcW w:w="2268" w:type="dxa"/>
          </w:tcPr>
          <w:p w14:paraId="18292C75" w14:textId="5900F13D" w:rsidR="001A0433" w:rsidRPr="007800B0" w:rsidRDefault="001A0433" w:rsidP="008C4C40">
            <w:pPr>
              <w:rPr>
                <w:sz w:val="22"/>
              </w:rPr>
            </w:pPr>
            <w:r w:rsidRPr="007800B0">
              <w:rPr>
                <w:sz w:val="22"/>
              </w:rPr>
              <w:t>€63,485</w:t>
            </w:r>
          </w:p>
        </w:tc>
      </w:tr>
    </w:tbl>
    <w:p w14:paraId="7F71572D" w14:textId="77777777" w:rsidR="00045932" w:rsidRPr="007800B0" w:rsidRDefault="00045932" w:rsidP="00045932">
      <w:pPr>
        <w:rPr>
          <w:b/>
          <w:bCs/>
          <w:color w:val="006768" w:themeColor="text2"/>
          <w:sz w:val="22"/>
        </w:rPr>
      </w:pPr>
    </w:p>
    <w:p w14:paraId="07DC8A55" w14:textId="204E85D7" w:rsidR="00045932" w:rsidRPr="007800B0" w:rsidRDefault="00045932" w:rsidP="00045932">
      <w:pPr>
        <w:rPr>
          <w:b/>
          <w:bCs/>
          <w:color w:val="006768" w:themeColor="text2"/>
          <w:sz w:val="22"/>
        </w:rPr>
      </w:pPr>
      <w:r w:rsidRPr="007800B0">
        <w:rPr>
          <w:b/>
          <w:bCs/>
          <w:color w:val="006768" w:themeColor="text2"/>
          <w:sz w:val="22"/>
        </w:rPr>
        <w:t>Interest Calculation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</w:tblGrid>
      <w:tr w:rsidR="00045932" w:rsidRPr="007800B0" w14:paraId="356E0644" w14:textId="77777777" w:rsidTr="00045932">
        <w:trPr>
          <w:trHeight w:val="255"/>
        </w:trPr>
        <w:tc>
          <w:tcPr>
            <w:tcW w:w="8217" w:type="dxa"/>
            <w:shd w:val="clear" w:color="auto" w:fill="00A88E" w:themeFill="background2"/>
            <w:vAlign w:val="center"/>
          </w:tcPr>
          <w:p w14:paraId="636F070A" w14:textId="3DDD6D57" w:rsidR="00045932" w:rsidRPr="007800B0" w:rsidRDefault="00045932" w:rsidP="00045932">
            <w:pPr>
              <w:rPr>
                <w:b/>
                <w:bCs/>
                <w:color w:val="FFFFFF" w:themeColor="background1"/>
                <w:sz w:val="22"/>
              </w:rPr>
            </w:pPr>
            <w:r w:rsidRPr="007800B0">
              <w:rPr>
                <w:b/>
                <w:bCs/>
                <w:color w:val="FFFFFF" w:themeColor="background1"/>
                <w:sz w:val="22"/>
              </w:rPr>
              <w:t xml:space="preserve">Interest = unpaid surplus revenue balance × days overdue × interest rate of </w:t>
            </w:r>
            <w:r w:rsidR="005F0BFE">
              <w:rPr>
                <w:b/>
                <w:bCs/>
                <w:color w:val="FFFFFF" w:themeColor="background1"/>
                <w:sz w:val="22"/>
              </w:rPr>
              <w:t>0</w:t>
            </w:r>
            <w:r w:rsidR="00057DD0">
              <w:rPr>
                <w:b/>
                <w:bCs/>
                <w:color w:val="FFFFFF" w:themeColor="background1"/>
                <w:sz w:val="22"/>
              </w:rPr>
              <w:t>.0</w:t>
            </w:r>
            <w:r w:rsidRPr="007800B0">
              <w:rPr>
                <w:b/>
                <w:bCs/>
                <w:color w:val="FFFFFF" w:themeColor="background1"/>
                <w:sz w:val="22"/>
              </w:rPr>
              <w:t>219%</w:t>
            </w:r>
          </w:p>
        </w:tc>
      </w:tr>
    </w:tbl>
    <w:p w14:paraId="62D806C6" w14:textId="4BD58032" w:rsidR="008366A7" w:rsidRDefault="008366A7" w:rsidP="008C4C40"/>
    <w:p w14:paraId="1CE8D837" w14:textId="77777777" w:rsidR="00057DD0" w:rsidRPr="00057DD0" w:rsidRDefault="00057DD0" w:rsidP="00057DD0"/>
    <w:p w14:paraId="6B6D0486" w14:textId="23B8CDE7" w:rsidR="00712371" w:rsidRDefault="00712371" w:rsidP="00712371">
      <w:pPr>
        <w:pStyle w:val="Heading2"/>
      </w:pPr>
      <w:bookmarkStart w:id="9" w:name="_Toc173222939"/>
      <w:r>
        <w:lastRenderedPageBreak/>
        <w:t>Contacting the collection agent</w:t>
      </w:r>
      <w:bookmarkEnd w:id="9"/>
    </w:p>
    <w:p w14:paraId="79ADE0C2" w14:textId="76C25C74" w:rsidR="00057DD0" w:rsidRDefault="005505DA" w:rsidP="00712371">
      <w:pPr>
        <w:rPr>
          <w:rStyle w:val="Hyperlink"/>
          <w:rFonts w:ascii="Calibri" w:hAnsi="Calibri" w:cs="Calibri"/>
          <w:b/>
          <w:bCs/>
          <w:sz w:val="22"/>
        </w:rPr>
      </w:pPr>
      <w:r>
        <w:t xml:space="preserve">For any queries relating to the self-billing or payment process, please contact </w:t>
      </w:r>
      <w:hyperlink r:id="rId14" w:history="1">
        <w:r w:rsidR="005F0BFE" w:rsidRPr="007640CE">
          <w:rPr>
            <w:rStyle w:val="Hyperlink"/>
            <w:rFonts w:ascii="Calibri" w:hAnsi="Calibri" w:cs="Calibri"/>
            <w:b/>
            <w:bCs/>
            <w:sz w:val="22"/>
          </w:rPr>
          <w:t>windfalltax@eirgrid.com</w:t>
        </w:r>
      </w:hyperlink>
    </w:p>
    <w:p w14:paraId="424611F8" w14:textId="77777777" w:rsidR="00787C75" w:rsidRDefault="00787C75" w:rsidP="00712371">
      <w:pPr>
        <w:rPr>
          <w:rStyle w:val="Hyperlink"/>
          <w:rFonts w:ascii="Calibri" w:hAnsi="Calibri" w:cs="Calibri"/>
          <w:b/>
          <w:bCs/>
          <w:sz w:val="22"/>
        </w:rPr>
      </w:pPr>
    </w:p>
    <w:p w14:paraId="5E2720E7" w14:textId="1B4184AB" w:rsidR="00787C75" w:rsidRDefault="00787C75" w:rsidP="00787C75">
      <w:pPr>
        <w:pStyle w:val="Heading2"/>
      </w:pPr>
      <w:bookmarkStart w:id="10" w:name="_Toc173222940"/>
      <w:r>
        <w:t>Bank Account details</w:t>
      </w:r>
      <w:bookmarkEnd w:id="10"/>
    </w:p>
    <w:p w14:paraId="64D40976" w14:textId="77777777" w:rsidR="00787C75" w:rsidRDefault="00787C75" w:rsidP="00712371"/>
    <w:p w14:paraId="7484B611" w14:textId="4CC83C6C" w:rsidR="00787C75" w:rsidRDefault="00787C75" w:rsidP="00712371">
      <w:r>
        <w:t>Please note the bank account details below:</w:t>
      </w:r>
    </w:p>
    <w:p w14:paraId="484EDDB2" w14:textId="77777777" w:rsidR="00787C75" w:rsidRDefault="00787C75" w:rsidP="00787C75"/>
    <w:p w14:paraId="231E3799" w14:textId="1A1F92C9" w:rsidR="00787C75" w:rsidRPr="00787C75" w:rsidRDefault="00787C75" w:rsidP="00787C75">
      <w:r w:rsidRPr="00787C75">
        <w:t>Bank name: Barclays Bank Ireland PLC</w:t>
      </w:r>
    </w:p>
    <w:p w14:paraId="5947AF63" w14:textId="77777777" w:rsidR="00787C75" w:rsidRPr="00787C75" w:rsidRDefault="00787C75" w:rsidP="00787C75">
      <w:r w:rsidRPr="00787C75">
        <w:t xml:space="preserve">Account Name: Windfall tax </w:t>
      </w:r>
    </w:p>
    <w:p w14:paraId="2E205BC2" w14:textId="77777777" w:rsidR="00787C75" w:rsidRPr="00787C75" w:rsidRDefault="00787C75" w:rsidP="00787C75">
      <w:r w:rsidRPr="00787C75">
        <w:t>Account No: 42890612</w:t>
      </w:r>
    </w:p>
    <w:p w14:paraId="2A6CDF72" w14:textId="77777777" w:rsidR="00787C75" w:rsidRPr="00787C75" w:rsidRDefault="00787C75" w:rsidP="00787C75">
      <w:r w:rsidRPr="00787C75">
        <w:t>Sort code: 990212</w:t>
      </w:r>
    </w:p>
    <w:p w14:paraId="2DC4D435" w14:textId="77777777" w:rsidR="00787C75" w:rsidRPr="00787C75" w:rsidRDefault="00787C75" w:rsidP="00787C75">
      <w:r w:rsidRPr="00787C75">
        <w:t>IBAN: IE04BARC99021242890612</w:t>
      </w:r>
    </w:p>
    <w:p w14:paraId="4E7C6B6B" w14:textId="730DCD24" w:rsidR="00787C75" w:rsidRPr="00787C75" w:rsidRDefault="00787C75" w:rsidP="00787C75">
      <w:r w:rsidRPr="00787C75">
        <w:t>SWIFT: BARCIE2D</w:t>
      </w:r>
    </w:p>
    <w:bookmarkEnd w:id="1"/>
    <w:sectPr w:rsidR="00787C75" w:rsidRPr="00787C75" w:rsidSect="00DD5C3F">
      <w:footerReference w:type="default" r:id="rId15"/>
      <w:headerReference w:type="first" r:id="rId16"/>
      <w:footerReference w:type="first" r:id="rId17"/>
      <w:pgSz w:w="11906" w:h="16838" w:code="9"/>
      <w:pgMar w:top="1440" w:right="1080" w:bottom="1440" w:left="108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294C9" w14:textId="77777777" w:rsidR="007970D0" w:rsidRDefault="007970D0" w:rsidP="00B775DC">
      <w:pPr>
        <w:spacing w:after="0" w:line="240" w:lineRule="auto"/>
      </w:pPr>
      <w:r>
        <w:separator/>
      </w:r>
    </w:p>
  </w:endnote>
  <w:endnote w:type="continuationSeparator" w:id="0">
    <w:p w14:paraId="7C7AED72" w14:textId="77777777" w:rsidR="007970D0" w:rsidRDefault="007970D0" w:rsidP="00B7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DE3E0" w14:textId="03648175" w:rsidR="00533FA7" w:rsidRDefault="005521E4" w:rsidP="00DD5C3F">
    <w:pPr>
      <w:pStyle w:val="Footer"/>
      <w:spacing w:before="120"/>
    </w:pPr>
    <w:r>
      <w:rPr>
        <w:lang w:val="en-IE"/>
      </w:rPr>
      <w:t xml:space="preserve">Windfall taxes – EirGrid Collection </w:t>
    </w:r>
    <w:r w:rsidR="005F0BFE">
      <w:rPr>
        <w:lang w:val="en-IE"/>
      </w:rPr>
      <w:t>A</w:t>
    </w:r>
    <w:r>
      <w:rPr>
        <w:lang w:val="en-IE"/>
      </w:rPr>
      <w:t xml:space="preserve">gent </w:t>
    </w:r>
    <w:r w:rsidR="00F22D5A">
      <w:rPr>
        <w:lang w:val="en-IE"/>
      </w:rPr>
      <w:t xml:space="preserve">- self billing process notes </w:t>
    </w:r>
    <w:r w:rsidR="00E43BD4" w:rsidRPr="00E43BD4">
      <w:rPr>
        <w:b w:val="0"/>
        <w:bCs/>
        <w:lang w:val="en-IE"/>
      </w:rPr>
      <w:tab/>
    </w:r>
    <w:r w:rsidR="00E43BD4" w:rsidRPr="00E43BD4">
      <w:rPr>
        <w:lang w:val="en-IE"/>
      </w:rPr>
      <w:t xml:space="preserve">Page </w:t>
    </w:r>
    <w:r w:rsidR="00E43BD4" w:rsidRPr="00E43BD4">
      <w:rPr>
        <w:noProof w:val="0"/>
        <w:lang w:val="en-IE"/>
      </w:rPr>
      <w:fldChar w:fldCharType="begin"/>
    </w:r>
    <w:r w:rsidR="00E43BD4" w:rsidRPr="00E43BD4">
      <w:rPr>
        <w:lang w:val="en-IE"/>
      </w:rPr>
      <w:instrText xml:space="preserve"> PAGE   \* MERGEFORMAT </w:instrText>
    </w:r>
    <w:r w:rsidR="00E43BD4" w:rsidRPr="00E43BD4">
      <w:rPr>
        <w:noProof w:val="0"/>
        <w:lang w:val="en-IE"/>
      </w:rPr>
      <w:fldChar w:fldCharType="separate"/>
    </w:r>
    <w:r w:rsidR="001F3C94">
      <w:rPr>
        <w:lang w:val="en-IE"/>
      </w:rPr>
      <w:t>5</w:t>
    </w:r>
    <w:r w:rsidR="00E43BD4" w:rsidRPr="00E43BD4">
      <w:rPr>
        <w:lang w:val="en-I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FBC8" w14:textId="77777777" w:rsidR="00943983" w:rsidRPr="00943983" w:rsidRDefault="00943983" w:rsidP="00F33F85">
    <w:pPr>
      <w:pStyle w:val="Footer"/>
      <w:spacing w:before="0" w:after="0"/>
      <w:ind w:left="4046"/>
      <w:rPr>
        <w:b w:val="0"/>
        <w:bCs/>
        <w:lang w:val="en-IE"/>
      </w:rPr>
    </w:pPr>
    <w:r w:rsidRPr="00943983">
      <w:rPr>
        <w:b w:val="0"/>
        <w:bCs/>
        <w:sz w:val="20"/>
        <w:szCs w:val="24"/>
      </w:rPr>
      <w:t>The Oval, 160 Shelbourne Road, Ballsbridge, Dublin D04 FW28</w:t>
    </w:r>
    <w:r w:rsidRPr="00943983">
      <w:rPr>
        <w:b w:val="0"/>
        <w:bCs/>
        <w:sz w:val="20"/>
        <w:szCs w:val="24"/>
      </w:rPr>
      <w:br/>
      <w:t>Telephone: +353 1 677 1700 | www.eirgrid.</w:t>
    </w:r>
    <w:r w:rsidR="00F33F85">
      <w:rPr>
        <w:b w:val="0"/>
        <w:bCs/>
        <w:sz w:val="20"/>
        <w:szCs w:val="24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5114F" w14:textId="77777777" w:rsidR="007970D0" w:rsidRDefault="007970D0" w:rsidP="00B775DC">
      <w:pPr>
        <w:spacing w:after="0" w:line="240" w:lineRule="auto"/>
      </w:pPr>
      <w:r>
        <w:separator/>
      </w:r>
    </w:p>
  </w:footnote>
  <w:footnote w:type="continuationSeparator" w:id="0">
    <w:p w14:paraId="738523F6" w14:textId="77777777" w:rsidR="007970D0" w:rsidRDefault="007970D0" w:rsidP="00B77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0AA1E" w14:textId="77777777" w:rsidR="00B775DC" w:rsidRDefault="00066AC7">
    <w:pPr>
      <w:pStyle w:val="Header"/>
    </w:pPr>
    <w:r>
      <w:rPr>
        <w:noProof/>
        <w:lang w:eastAsia="en-IE" w:bidi="he-IL"/>
      </w:rPr>
      <w:drawing>
        <wp:anchor distT="0" distB="0" distL="114300" distR="114300" simplePos="0" relativeHeight="251660288" behindDoc="1" locked="0" layoutInCell="1" allowOverlap="1" wp14:anchorId="78892F94" wp14:editId="41F3335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39440" cy="10692000"/>
          <wp:effectExtent l="0" t="0" r="0" b="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" name="Masthead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944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A5BF9"/>
    <w:multiLevelType w:val="hybridMultilevel"/>
    <w:tmpl w:val="53D6AE8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411B7"/>
    <w:multiLevelType w:val="hybridMultilevel"/>
    <w:tmpl w:val="A21ED4E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B3F87"/>
    <w:multiLevelType w:val="hybridMultilevel"/>
    <w:tmpl w:val="C3AC355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E4757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E75B3B"/>
    <w:multiLevelType w:val="hybridMultilevel"/>
    <w:tmpl w:val="72F0E1FE"/>
    <w:lvl w:ilvl="0" w:tplc="5946269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71DC3"/>
    <w:multiLevelType w:val="hybridMultilevel"/>
    <w:tmpl w:val="266A2D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47FE5"/>
    <w:multiLevelType w:val="multilevel"/>
    <w:tmpl w:val="044E9BA6"/>
    <w:styleLink w:val="EirgridReport"/>
    <w:lvl w:ilvl="0">
      <w:numFmt w:val="bullet"/>
      <w:lvlText w:val="•"/>
      <w:lvlJc w:val="left"/>
      <w:pPr>
        <w:ind w:left="357" w:hanging="357"/>
      </w:pPr>
      <w:rPr>
        <w:rFonts w:ascii="Trebuchet MS" w:hAnsi="Trebuchet MS" w:cs="Gisha" w:hint="default"/>
      </w:rPr>
    </w:lvl>
    <w:lvl w:ilvl="1">
      <w:numFmt w:val="bullet"/>
      <w:lvlText w:val="–"/>
      <w:lvlJc w:val="left"/>
      <w:pPr>
        <w:ind w:left="714" w:hanging="357"/>
      </w:pPr>
      <w:rPr>
        <w:rFonts w:ascii="Trebuchet MS" w:hAnsi="Trebuchet MS" w:cs="Gisha" w:hint="default"/>
      </w:rPr>
    </w:lvl>
    <w:lvl w:ilvl="2">
      <w:start w:val="1"/>
      <w:numFmt w:val="bullet"/>
      <w:lvlText w:val="•"/>
      <w:lvlJc w:val="left"/>
      <w:pPr>
        <w:ind w:left="1072" w:hanging="358"/>
      </w:pPr>
      <w:rPr>
        <w:rFonts w:ascii="Trebuchet MS" w:hAnsi="Trebuchet M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40A2E"/>
    <w:multiLevelType w:val="hybridMultilevel"/>
    <w:tmpl w:val="231092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9128E"/>
    <w:multiLevelType w:val="hybridMultilevel"/>
    <w:tmpl w:val="E6026F3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E1E12"/>
    <w:multiLevelType w:val="hybridMultilevel"/>
    <w:tmpl w:val="96EC5B3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A5815"/>
    <w:multiLevelType w:val="hybridMultilevel"/>
    <w:tmpl w:val="9F5290C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260E8"/>
    <w:multiLevelType w:val="hybridMultilevel"/>
    <w:tmpl w:val="D8D60C5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62982"/>
    <w:multiLevelType w:val="hybridMultilevel"/>
    <w:tmpl w:val="266A2D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20BA1"/>
    <w:multiLevelType w:val="hybridMultilevel"/>
    <w:tmpl w:val="C310DC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E416B"/>
    <w:multiLevelType w:val="hybridMultilevel"/>
    <w:tmpl w:val="ACE69A6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A61D8"/>
    <w:multiLevelType w:val="multilevel"/>
    <w:tmpl w:val="C3A4069E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33822316">
    <w:abstractNumId w:val="6"/>
  </w:num>
  <w:num w:numId="2" w16cid:durableId="580916574">
    <w:abstractNumId w:val="15"/>
  </w:num>
  <w:num w:numId="3" w16cid:durableId="1008168472">
    <w:abstractNumId w:val="3"/>
  </w:num>
  <w:num w:numId="4" w16cid:durableId="2040662809">
    <w:abstractNumId w:val="13"/>
  </w:num>
  <w:num w:numId="5" w16cid:durableId="829636087">
    <w:abstractNumId w:val="14"/>
  </w:num>
  <w:num w:numId="6" w16cid:durableId="946623787">
    <w:abstractNumId w:val="7"/>
  </w:num>
  <w:num w:numId="7" w16cid:durableId="2056998025">
    <w:abstractNumId w:val="12"/>
  </w:num>
  <w:num w:numId="8" w16cid:durableId="1972712145">
    <w:abstractNumId w:val="5"/>
  </w:num>
  <w:num w:numId="9" w16cid:durableId="393628017">
    <w:abstractNumId w:val="2"/>
  </w:num>
  <w:num w:numId="10" w16cid:durableId="1112506343">
    <w:abstractNumId w:val="0"/>
  </w:num>
  <w:num w:numId="11" w16cid:durableId="197209475">
    <w:abstractNumId w:val="4"/>
  </w:num>
  <w:num w:numId="12" w16cid:durableId="409936305">
    <w:abstractNumId w:val="9"/>
  </w:num>
  <w:num w:numId="13" w16cid:durableId="2032609777">
    <w:abstractNumId w:val="11"/>
  </w:num>
  <w:num w:numId="14" w16cid:durableId="1994865504">
    <w:abstractNumId w:val="1"/>
  </w:num>
  <w:num w:numId="15" w16cid:durableId="1705205824">
    <w:abstractNumId w:val="8"/>
  </w:num>
  <w:num w:numId="16" w16cid:durableId="19883141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63119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3913430">
    <w:abstractNumId w:val="15"/>
  </w:num>
  <w:num w:numId="19" w16cid:durableId="5709655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7452818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E7A"/>
    <w:rsid w:val="000065A2"/>
    <w:rsid w:val="00006DF2"/>
    <w:rsid w:val="0001040B"/>
    <w:rsid w:val="0003258E"/>
    <w:rsid w:val="0003665B"/>
    <w:rsid w:val="0004345A"/>
    <w:rsid w:val="00045932"/>
    <w:rsid w:val="0005205D"/>
    <w:rsid w:val="00052917"/>
    <w:rsid w:val="00057DD0"/>
    <w:rsid w:val="00066AC7"/>
    <w:rsid w:val="00073311"/>
    <w:rsid w:val="00073345"/>
    <w:rsid w:val="00073ED5"/>
    <w:rsid w:val="00074EB3"/>
    <w:rsid w:val="00080AFC"/>
    <w:rsid w:val="00097C4E"/>
    <w:rsid w:val="000D3090"/>
    <w:rsid w:val="000E35BF"/>
    <w:rsid w:val="000F57E5"/>
    <w:rsid w:val="00100C4D"/>
    <w:rsid w:val="00104FFF"/>
    <w:rsid w:val="00137269"/>
    <w:rsid w:val="00140D7B"/>
    <w:rsid w:val="001569EB"/>
    <w:rsid w:val="00157BF1"/>
    <w:rsid w:val="0016441F"/>
    <w:rsid w:val="00171D1D"/>
    <w:rsid w:val="00172A35"/>
    <w:rsid w:val="0018299D"/>
    <w:rsid w:val="001A0433"/>
    <w:rsid w:val="001A2B91"/>
    <w:rsid w:val="001C4CF4"/>
    <w:rsid w:val="001C50F0"/>
    <w:rsid w:val="001D3C56"/>
    <w:rsid w:val="001F2683"/>
    <w:rsid w:val="001F3C94"/>
    <w:rsid w:val="00200549"/>
    <w:rsid w:val="00212CD4"/>
    <w:rsid w:val="00217691"/>
    <w:rsid w:val="00220A26"/>
    <w:rsid w:val="00230253"/>
    <w:rsid w:val="00230DDC"/>
    <w:rsid w:val="00233DEC"/>
    <w:rsid w:val="00235827"/>
    <w:rsid w:val="00261BBF"/>
    <w:rsid w:val="00264664"/>
    <w:rsid w:val="00273227"/>
    <w:rsid w:val="00285434"/>
    <w:rsid w:val="002A50EF"/>
    <w:rsid w:val="002A6688"/>
    <w:rsid w:val="002B1CD0"/>
    <w:rsid w:val="002C67EE"/>
    <w:rsid w:val="002C69B4"/>
    <w:rsid w:val="002E10E7"/>
    <w:rsid w:val="002E16A2"/>
    <w:rsid w:val="002E7C69"/>
    <w:rsid w:val="00300675"/>
    <w:rsid w:val="0030570D"/>
    <w:rsid w:val="003057CC"/>
    <w:rsid w:val="0032025F"/>
    <w:rsid w:val="00323C1F"/>
    <w:rsid w:val="003368B9"/>
    <w:rsid w:val="0034029F"/>
    <w:rsid w:val="00362CDC"/>
    <w:rsid w:val="00365998"/>
    <w:rsid w:val="00375706"/>
    <w:rsid w:val="00375DBC"/>
    <w:rsid w:val="00376681"/>
    <w:rsid w:val="00380EF3"/>
    <w:rsid w:val="00397B45"/>
    <w:rsid w:val="003C42A4"/>
    <w:rsid w:val="0041199D"/>
    <w:rsid w:val="0041729E"/>
    <w:rsid w:val="004240FC"/>
    <w:rsid w:val="00452B33"/>
    <w:rsid w:val="00481A58"/>
    <w:rsid w:val="004850C3"/>
    <w:rsid w:val="00494349"/>
    <w:rsid w:val="004A7CFA"/>
    <w:rsid w:val="004C28A7"/>
    <w:rsid w:val="004C623E"/>
    <w:rsid w:val="004F14D3"/>
    <w:rsid w:val="004F330C"/>
    <w:rsid w:val="004F478B"/>
    <w:rsid w:val="004F58E9"/>
    <w:rsid w:val="00501833"/>
    <w:rsid w:val="005169D3"/>
    <w:rsid w:val="00520212"/>
    <w:rsid w:val="005252E7"/>
    <w:rsid w:val="00533FA7"/>
    <w:rsid w:val="00535509"/>
    <w:rsid w:val="00540BA5"/>
    <w:rsid w:val="0054622F"/>
    <w:rsid w:val="00546447"/>
    <w:rsid w:val="005505DA"/>
    <w:rsid w:val="00550970"/>
    <w:rsid w:val="005521E4"/>
    <w:rsid w:val="00556B13"/>
    <w:rsid w:val="005604CB"/>
    <w:rsid w:val="00561D9F"/>
    <w:rsid w:val="005736BB"/>
    <w:rsid w:val="00590F76"/>
    <w:rsid w:val="005926BE"/>
    <w:rsid w:val="005B0B26"/>
    <w:rsid w:val="005B4FC3"/>
    <w:rsid w:val="005C6407"/>
    <w:rsid w:val="005D193A"/>
    <w:rsid w:val="005E22A1"/>
    <w:rsid w:val="005E323E"/>
    <w:rsid w:val="005F0BFE"/>
    <w:rsid w:val="006034EF"/>
    <w:rsid w:val="00603594"/>
    <w:rsid w:val="00603E7A"/>
    <w:rsid w:val="0061561E"/>
    <w:rsid w:val="00635C7F"/>
    <w:rsid w:val="00643492"/>
    <w:rsid w:val="0064507A"/>
    <w:rsid w:val="00646AB1"/>
    <w:rsid w:val="00652F2D"/>
    <w:rsid w:val="006561AC"/>
    <w:rsid w:val="00664C9E"/>
    <w:rsid w:val="00681ED1"/>
    <w:rsid w:val="006856F6"/>
    <w:rsid w:val="00693034"/>
    <w:rsid w:val="006A609D"/>
    <w:rsid w:val="006C04DA"/>
    <w:rsid w:val="006C26E6"/>
    <w:rsid w:val="006D7B35"/>
    <w:rsid w:val="006F2369"/>
    <w:rsid w:val="006F5046"/>
    <w:rsid w:val="006F5098"/>
    <w:rsid w:val="00712371"/>
    <w:rsid w:val="00716E3E"/>
    <w:rsid w:val="00720256"/>
    <w:rsid w:val="007232C5"/>
    <w:rsid w:val="0075354E"/>
    <w:rsid w:val="007547CC"/>
    <w:rsid w:val="00760476"/>
    <w:rsid w:val="007640CE"/>
    <w:rsid w:val="00775A10"/>
    <w:rsid w:val="007800B0"/>
    <w:rsid w:val="00787C75"/>
    <w:rsid w:val="007927C5"/>
    <w:rsid w:val="007941AF"/>
    <w:rsid w:val="007970D0"/>
    <w:rsid w:val="007B550B"/>
    <w:rsid w:val="007E1B10"/>
    <w:rsid w:val="00802E0B"/>
    <w:rsid w:val="00805353"/>
    <w:rsid w:val="008366A7"/>
    <w:rsid w:val="0084728C"/>
    <w:rsid w:val="00855524"/>
    <w:rsid w:val="0086293D"/>
    <w:rsid w:val="00882A75"/>
    <w:rsid w:val="00887EA6"/>
    <w:rsid w:val="008C4C40"/>
    <w:rsid w:val="008D505A"/>
    <w:rsid w:val="008E144F"/>
    <w:rsid w:val="008E77DD"/>
    <w:rsid w:val="008F6D95"/>
    <w:rsid w:val="008F7097"/>
    <w:rsid w:val="00906B1B"/>
    <w:rsid w:val="00917EA0"/>
    <w:rsid w:val="00936A59"/>
    <w:rsid w:val="00942DD2"/>
    <w:rsid w:val="00943983"/>
    <w:rsid w:val="009439CD"/>
    <w:rsid w:val="00950A8C"/>
    <w:rsid w:val="00981104"/>
    <w:rsid w:val="00984C32"/>
    <w:rsid w:val="00994947"/>
    <w:rsid w:val="009A622D"/>
    <w:rsid w:val="009B15C8"/>
    <w:rsid w:val="009B4D2D"/>
    <w:rsid w:val="009B634E"/>
    <w:rsid w:val="009C5677"/>
    <w:rsid w:val="009D17E8"/>
    <w:rsid w:val="009E4560"/>
    <w:rsid w:val="009F4C1B"/>
    <w:rsid w:val="009F7D88"/>
    <w:rsid w:val="00A00517"/>
    <w:rsid w:val="00A021D5"/>
    <w:rsid w:val="00A07FBE"/>
    <w:rsid w:val="00A1200F"/>
    <w:rsid w:val="00A129DA"/>
    <w:rsid w:val="00A1738A"/>
    <w:rsid w:val="00A307F4"/>
    <w:rsid w:val="00A535C9"/>
    <w:rsid w:val="00A60E50"/>
    <w:rsid w:val="00A61BC7"/>
    <w:rsid w:val="00A70DB2"/>
    <w:rsid w:val="00A73F28"/>
    <w:rsid w:val="00A81EAF"/>
    <w:rsid w:val="00A821FD"/>
    <w:rsid w:val="00A90E42"/>
    <w:rsid w:val="00AA411B"/>
    <w:rsid w:val="00AA7198"/>
    <w:rsid w:val="00AB137F"/>
    <w:rsid w:val="00AC0962"/>
    <w:rsid w:val="00AD20C1"/>
    <w:rsid w:val="00AE7C52"/>
    <w:rsid w:val="00B04A23"/>
    <w:rsid w:val="00B15F19"/>
    <w:rsid w:val="00B42D20"/>
    <w:rsid w:val="00B5541C"/>
    <w:rsid w:val="00B65E53"/>
    <w:rsid w:val="00B66790"/>
    <w:rsid w:val="00B775DC"/>
    <w:rsid w:val="00B869E9"/>
    <w:rsid w:val="00BB0869"/>
    <w:rsid w:val="00BC366A"/>
    <w:rsid w:val="00BD0A49"/>
    <w:rsid w:val="00BD2A49"/>
    <w:rsid w:val="00BD5E3D"/>
    <w:rsid w:val="00C008E5"/>
    <w:rsid w:val="00C01AC7"/>
    <w:rsid w:val="00C0382A"/>
    <w:rsid w:val="00C136C7"/>
    <w:rsid w:val="00C15450"/>
    <w:rsid w:val="00C2016B"/>
    <w:rsid w:val="00C403A7"/>
    <w:rsid w:val="00C419A0"/>
    <w:rsid w:val="00C455FE"/>
    <w:rsid w:val="00C638A5"/>
    <w:rsid w:val="00C65117"/>
    <w:rsid w:val="00C67173"/>
    <w:rsid w:val="00C72129"/>
    <w:rsid w:val="00C74088"/>
    <w:rsid w:val="00C76046"/>
    <w:rsid w:val="00C86376"/>
    <w:rsid w:val="00C871C3"/>
    <w:rsid w:val="00C96DB9"/>
    <w:rsid w:val="00CB2E9F"/>
    <w:rsid w:val="00CB6260"/>
    <w:rsid w:val="00CC21CF"/>
    <w:rsid w:val="00CE0434"/>
    <w:rsid w:val="00CE4756"/>
    <w:rsid w:val="00CE597B"/>
    <w:rsid w:val="00CF26B8"/>
    <w:rsid w:val="00D21A33"/>
    <w:rsid w:val="00D3103D"/>
    <w:rsid w:val="00D542C8"/>
    <w:rsid w:val="00D75243"/>
    <w:rsid w:val="00D97CBF"/>
    <w:rsid w:val="00DA2076"/>
    <w:rsid w:val="00DB086C"/>
    <w:rsid w:val="00DB6DFD"/>
    <w:rsid w:val="00DC1845"/>
    <w:rsid w:val="00DC2296"/>
    <w:rsid w:val="00DC4F70"/>
    <w:rsid w:val="00DD5C3F"/>
    <w:rsid w:val="00DE62F3"/>
    <w:rsid w:val="00E1167F"/>
    <w:rsid w:val="00E1696C"/>
    <w:rsid w:val="00E17D1A"/>
    <w:rsid w:val="00E232AB"/>
    <w:rsid w:val="00E2481A"/>
    <w:rsid w:val="00E43BD4"/>
    <w:rsid w:val="00E47261"/>
    <w:rsid w:val="00E944FC"/>
    <w:rsid w:val="00E95F04"/>
    <w:rsid w:val="00EA65E3"/>
    <w:rsid w:val="00EB56D6"/>
    <w:rsid w:val="00EB7B53"/>
    <w:rsid w:val="00EC3A62"/>
    <w:rsid w:val="00ED610F"/>
    <w:rsid w:val="00EE179D"/>
    <w:rsid w:val="00EE2127"/>
    <w:rsid w:val="00EF3340"/>
    <w:rsid w:val="00EF5CA2"/>
    <w:rsid w:val="00EF668A"/>
    <w:rsid w:val="00F22D5A"/>
    <w:rsid w:val="00F248CE"/>
    <w:rsid w:val="00F33F85"/>
    <w:rsid w:val="00F45684"/>
    <w:rsid w:val="00F53BF5"/>
    <w:rsid w:val="00F65858"/>
    <w:rsid w:val="00F7681C"/>
    <w:rsid w:val="00F87B13"/>
    <w:rsid w:val="00F94F54"/>
    <w:rsid w:val="00FA1FC4"/>
    <w:rsid w:val="00FA4CC3"/>
    <w:rsid w:val="00FC25F5"/>
    <w:rsid w:val="00FC4C02"/>
    <w:rsid w:val="00FD182F"/>
    <w:rsid w:val="00FE1879"/>
    <w:rsid w:val="00FF2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51361"/>
  <w15:docId w15:val="{6BD43242-DF84-4C7F-AE43-BAD98027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5F5"/>
    <w:pPr>
      <w:spacing w:after="120" w:line="269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25F5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b/>
      <w:color w:val="006768" w:themeColor="text2"/>
      <w:sz w:val="5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6A59"/>
    <w:pPr>
      <w:keepNext/>
      <w:keepLines/>
      <w:numPr>
        <w:ilvl w:val="1"/>
        <w:numId w:val="2"/>
      </w:numPr>
      <w:spacing w:before="120" w:after="60"/>
      <w:outlineLvl w:val="1"/>
    </w:pPr>
    <w:rPr>
      <w:rFonts w:asciiTheme="majorHAnsi" w:eastAsiaTheme="majorEastAsia" w:hAnsiTheme="majorHAnsi" w:cstheme="majorBidi"/>
      <w:b/>
      <w:color w:val="00A88E" w:themeColor="background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25F5"/>
    <w:pPr>
      <w:keepNext/>
      <w:keepLines/>
      <w:numPr>
        <w:ilvl w:val="2"/>
        <w:numId w:val="2"/>
      </w:numPr>
      <w:spacing w:before="300" w:after="60"/>
      <w:outlineLvl w:val="2"/>
    </w:pPr>
    <w:rPr>
      <w:rFonts w:asciiTheme="majorHAnsi" w:eastAsiaTheme="majorEastAsia" w:hAnsiTheme="majorHAnsi" w:cstheme="majorBidi"/>
      <w:b/>
      <w:color w:val="4189C9" w:themeColor="accent1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057C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C669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7B13"/>
    <w:pPr>
      <w:tabs>
        <w:tab w:val="right" w:pos="9639"/>
      </w:tabs>
      <w:spacing w:after="0" w:line="240" w:lineRule="auto"/>
    </w:pPr>
    <w:rPr>
      <w:b/>
      <w:color w:val="006768" w:themeColor="text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F87B13"/>
    <w:rPr>
      <w:b/>
      <w:color w:val="006768" w:themeColor="text2"/>
      <w:sz w:val="18"/>
    </w:rPr>
  </w:style>
  <w:style w:type="paragraph" w:styleId="Footer">
    <w:name w:val="footer"/>
    <w:basedOn w:val="Normal"/>
    <w:link w:val="FooterChar"/>
    <w:uiPriority w:val="99"/>
    <w:unhideWhenUsed/>
    <w:rsid w:val="00943983"/>
    <w:pPr>
      <w:tabs>
        <w:tab w:val="right" w:pos="9639"/>
      </w:tabs>
      <w:spacing w:before="360" w:after="180" w:line="276" w:lineRule="auto"/>
      <w:contextualSpacing/>
    </w:pPr>
    <w:rPr>
      <w:b/>
      <w:noProof/>
      <w:color w:val="006768" w:themeColor="text2"/>
      <w:sz w:val="18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43983"/>
    <w:rPr>
      <w:b/>
      <w:noProof/>
      <w:color w:val="006768" w:themeColor="text2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FC25F5"/>
    <w:rPr>
      <w:rFonts w:asciiTheme="majorHAnsi" w:eastAsiaTheme="majorEastAsia" w:hAnsiTheme="majorHAnsi" w:cstheme="majorBidi"/>
      <w:b/>
      <w:color w:val="006768" w:themeColor="text2"/>
      <w:sz w:val="5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6A59"/>
    <w:rPr>
      <w:rFonts w:asciiTheme="majorHAnsi" w:eastAsiaTheme="majorEastAsia" w:hAnsiTheme="majorHAnsi" w:cstheme="majorBidi"/>
      <w:b/>
      <w:color w:val="00A88E" w:themeColor="background2"/>
      <w:sz w:val="3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535C9"/>
    <w:pPr>
      <w:spacing w:before="2040" w:after="0" w:line="228" w:lineRule="auto"/>
      <w:contextualSpacing/>
    </w:pPr>
    <w:rPr>
      <w:rFonts w:asciiTheme="majorHAnsi" w:eastAsiaTheme="majorEastAsia" w:hAnsiTheme="majorHAnsi" w:cstheme="majorBidi"/>
      <w:b/>
      <w:color w:val="006768" w:themeColor="text2"/>
      <w:spacing w:val="-20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5C9"/>
    <w:rPr>
      <w:rFonts w:asciiTheme="majorHAnsi" w:eastAsiaTheme="majorEastAsia" w:hAnsiTheme="majorHAnsi" w:cstheme="majorBidi"/>
      <w:b/>
      <w:color w:val="006768" w:themeColor="text2"/>
      <w:spacing w:val="-20"/>
      <w:kern w:val="28"/>
      <w:sz w:val="9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35C9"/>
    <w:pPr>
      <w:numPr>
        <w:ilvl w:val="1"/>
      </w:numPr>
      <w:spacing w:before="360" w:after="660"/>
    </w:pPr>
    <w:rPr>
      <w:rFonts w:eastAsiaTheme="minorEastAsia"/>
      <w:color w:val="006768" w:themeColor="text2"/>
      <w:sz w:val="60"/>
    </w:rPr>
  </w:style>
  <w:style w:type="character" w:customStyle="1" w:styleId="SubtitleChar">
    <w:name w:val="Subtitle Char"/>
    <w:basedOn w:val="DefaultParagraphFont"/>
    <w:link w:val="Subtitle"/>
    <w:uiPriority w:val="11"/>
    <w:rsid w:val="00A535C9"/>
    <w:rPr>
      <w:rFonts w:eastAsiaTheme="minorEastAsia"/>
      <w:color w:val="006768" w:themeColor="text2"/>
      <w:sz w:val="60"/>
    </w:rPr>
  </w:style>
  <w:style w:type="paragraph" w:customStyle="1" w:styleId="Introduction">
    <w:name w:val="Introduction"/>
    <w:basedOn w:val="Normal"/>
    <w:qFormat/>
    <w:rsid w:val="0005205D"/>
    <w:rPr>
      <w:color w:val="006768" w:themeColor="text2"/>
      <w:sz w:val="18"/>
      <w:lang w:val="en-GB"/>
    </w:rPr>
  </w:style>
  <w:style w:type="table" w:styleId="TableGrid">
    <w:name w:val="Table Grid"/>
    <w:aliases w:val="Table Grid CEPA,TNS table"/>
    <w:basedOn w:val="TableNormal"/>
    <w:uiPriority w:val="59"/>
    <w:rsid w:val="00066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66AC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073ED5"/>
    <w:rPr>
      <w:color w:val="006768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unhideWhenUsed/>
    <w:rsid w:val="00F87B13"/>
    <w:rPr>
      <w:b/>
      <w:color w:val="006768" w:themeColor="text2"/>
      <w:sz w:val="40"/>
    </w:rPr>
  </w:style>
  <w:style w:type="character" w:customStyle="1" w:styleId="DateChar">
    <w:name w:val="Date Char"/>
    <w:basedOn w:val="DefaultParagraphFont"/>
    <w:link w:val="Date"/>
    <w:uiPriority w:val="99"/>
    <w:rsid w:val="00F87B13"/>
    <w:rPr>
      <w:b/>
      <w:color w:val="006768" w:themeColor="text2"/>
      <w:sz w:val="40"/>
    </w:rPr>
  </w:style>
  <w:style w:type="character" w:customStyle="1" w:styleId="Heading3Char">
    <w:name w:val="Heading 3 Char"/>
    <w:basedOn w:val="DefaultParagraphFont"/>
    <w:link w:val="Heading3"/>
    <w:uiPriority w:val="9"/>
    <w:rsid w:val="00FC25F5"/>
    <w:rPr>
      <w:rFonts w:asciiTheme="majorHAnsi" w:eastAsiaTheme="majorEastAsia" w:hAnsiTheme="majorHAnsi" w:cstheme="majorBidi"/>
      <w:b/>
      <w:color w:val="4189C9" w:themeColor="accent1"/>
      <w:szCs w:val="24"/>
    </w:rPr>
  </w:style>
  <w:style w:type="paragraph" w:styleId="ListParagraph">
    <w:name w:val="List Paragraph"/>
    <w:aliases w:val="Paragraph 1,Equipment,Figure_name,Numbered Indented Text,List Paragraph Char Char Char,List Paragraph Char Char,List Paragraph1,RFP SUB Points,Use Case List Paragraph,b1,Bullet for no #'s,Body Bullet,Alpha List Paragraph,List_TIS,lp1,Ref"/>
    <w:basedOn w:val="Normal"/>
    <w:link w:val="ListParagraphChar"/>
    <w:uiPriority w:val="34"/>
    <w:qFormat/>
    <w:rsid w:val="00FC25F5"/>
    <w:pPr>
      <w:spacing w:before="60" w:after="60"/>
    </w:pPr>
    <w:rPr>
      <w:lang w:val="en-GB"/>
    </w:rPr>
  </w:style>
  <w:style w:type="numbering" w:customStyle="1" w:styleId="EirgridReport">
    <w:name w:val="Eirgrid Report"/>
    <w:uiPriority w:val="99"/>
    <w:rsid w:val="00943983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59"/>
    <w:rsid w:val="00936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ageCaption">
    <w:name w:val="Image Caption"/>
    <w:basedOn w:val="Normal"/>
    <w:link w:val="ImageCaptionChar"/>
    <w:qFormat/>
    <w:rsid w:val="00936A59"/>
    <w:rPr>
      <w:color w:val="595959" w:themeColor="text1" w:themeTint="A6"/>
    </w:rPr>
  </w:style>
  <w:style w:type="paragraph" w:customStyle="1" w:styleId="1LineFooter">
    <w:name w:val="1 Line Footer"/>
    <w:rsid w:val="00E43BD4"/>
    <w:pPr>
      <w:tabs>
        <w:tab w:val="right" w:pos="9639"/>
      </w:tabs>
      <w:spacing w:before="360" w:after="180" w:line="276" w:lineRule="auto"/>
      <w:contextualSpacing/>
    </w:pPr>
    <w:rPr>
      <w:b/>
      <w:noProof/>
      <w:color w:val="006768" w:themeColor="text2"/>
      <w:sz w:val="18"/>
      <w:lang w:val="en-GB"/>
    </w:rPr>
  </w:style>
  <w:style w:type="character" w:customStyle="1" w:styleId="ImageCaptionChar">
    <w:name w:val="Image Caption Char"/>
    <w:basedOn w:val="DefaultParagraphFont"/>
    <w:link w:val="ImageCaption"/>
    <w:rsid w:val="00936A59"/>
    <w:rPr>
      <w:color w:val="595959" w:themeColor="text1" w:themeTint="A6"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E43BD4"/>
    <w:pPr>
      <w:spacing w:after="0"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821FD"/>
    <w:pPr>
      <w:tabs>
        <w:tab w:val="right" w:pos="9628"/>
      </w:tabs>
      <w:spacing w:before="240" w:after="100"/>
      <w:ind w:left="567" w:hanging="567"/>
    </w:pPr>
    <w:rPr>
      <w:b/>
      <w:noProof/>
      <w:color w:val="00A88E" w:themeColor="background2"/>
      <w:sz w:val="32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A821FD"/>
    <w:pPr>
      <w:tabs>
        <w:tab w:val="right" w:leader="dot" w:pos="9639"/>
      </w:tabs>
      <w:spacing w:after="100"/>
      <w:ind w:left="1134" w:hanging="567"/>
    </w:pPr>
  </w:style>
  <w:style w:type="paragraph" w:styleId="TOC3">
    <w:name w:val="toc 3"/>
    <w:basedOn w:val="Normal"/>
    <w:next w:val="Normal"/>
    <w:autoRedefine/>
    <w:uiPriority w:val="39"/>
    <w:unhideWhenUsed/>
    <w:rsid w:val="00A821FD"/>
    <w:pPr>
      <w:tabs>
        <w:tab w:val="right" w:leader="dot" w:pos="9639"/>
      </w:tabs>
      <w:spacing w:after="100"/>
      <w:ind w:left="1418" w:hanging="851"/>
    </w:pPr>
  </w:style>
  <w:style w:type="paragraph" w:customStyle="1" w:styleId="Copyright">
    <w:name w:val="Copyright"/>
    <w:basedOn w:val="Normal"/>
    <w:autoRedefine/>
    <w:rsid w:val="00A821FD"/>
    <w:pPr>
      <w:autoSpaceDE w:val="0"/>
      <w:autoSpaceDN w:val="0"/>
      <w:adjustRightInd w:val="0"/>
      <w:spacing w:before="400" w:after="400" w:line="240" w:lineRule="auto"/>
      <w:ind w:left="709" w:right="702" w:firstLine="142"/>
      <w:jc w:val="center"/>
    </w:pPr>
    <w:rPr>
      <w:rFonts w:ascii="Arial" w:eastAsia="Times New Roman" w:hAnsi="Arial" w:cs="Times New Roman"/>
      <w:sz w:val="22"/>
      <w:szCs w:val="20"/>
      <w:lang w:val="en-GB" w:eastAsia="en-GB"/>
    </w:rPr>
  </w:style>
  <w:style w:type="character" w:styleId="IntenseEmphasis">
    <w:name w:val="Intense Emphasis"/>
    <w:uiPriority w:val="21"/>
    <w:qFormat/>
    <w:rsid w:val="00603594"/>
    <w:rPr>
      <w:b/>
      <w:bCs/>
      <w:i/>
      <w:iCs/>
      <w:color w:val="4189C9" w:themeColor="accent1"/>
    </w:rPr>
  </w:style>
  <w:style w:type="paragraph" w:customStyle="1" w:styleId="CoverSheet">
    <w:name w:val="Cover Sheet"/>
    <w:qFormat/>
    <w:rsid w:val="00603594"/>
    <w:pPr>
      <w:spacing w:after="200" w:line="276" w:lineRule="auto"/>
    </w:pPr>
    <w:rPr>
      <w:rFonts w:ascii="Arial" w:hAnsi="Arial"/>
      <w:b/>
      <w:sz w:val="28"/>
      <w:lang w:val="en-GB"/>
    </w:rPr>
  </w:style>
  <w:style w:type="character" w:customStyle="1" w:styleId="ListParagraphChar">
    <w:name w:val="List Paragraph Char"/>
    <w:aliases w:val="Paragraph 1 Char,Equipment Char,Figure_name Char,Numbered Indented Text Char,List Paragraph Char Char Char Char,List Paragraph Char Char Char1,List Paragraph1 Char,RFP SUB Points Char,Use Case List Paragraph Char,b1 Char,lp1 Char"/>
    <w:basedOn w:val="DefaultParagraphFont"/>
    <w:link w:val="ListParagraph"/>
    <w:uiPriority w:val="34"/>
    <w:qFormat/>
    <w:locked/>
    <w:rsid w:val="00603594"/>
    <w:rPr>
      <w:sz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A60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UnresolvedMention">
    <w:name w:val="Unresolved Mention"/>
    <w:basedOn w:val="DefaultParagraphFont"/>
    <w:uiPriority w:val="99"/>
    <w:semiHidden/>
    <w:unhideWhenUsed/>
    <w:rsid w:val="00C638A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68A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16441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AE0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9996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9996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9996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99966" w:themeFill="accent2"/>
      </w:tcPr>
    </w:tblStylePr>
    <w:tblStylePr w:type="band1Vert">
      <w:tblPr/>
      <w:tcPr>
        <w:shd w:val="clear" w:color="auto" w:fill="DCD6C1" w:themeFill="accent2" w:themeFillTint="66"/>
      </w:tcPr>
    </w:tblStylePr>
    <w:tblStylePr w:type="band1Horz">
      <w:tblPr/>
      <w:tcPr>
        <w:shd w:val="clear" w:color="auto" w:fill="DCD6C1" w:themeFill="accent2" w:themeFillTint="66"/>
      </w:tcPr>
    </w:tblStylePr>
  </w:style>
  <w:style w:type="table" w:styleId="ListTable3-Accent2">
    <w:name w:val="List Table 3 Accent 2"/>
    <w:basedOn w:val="TableNormal"/>
    <w:uiPriority w:val="48"/>
    <w:rsid w:val="0016441F"/>
    <w:pPr>
      <w:spacing w:after="0" w:line="240" w:lineRule="auto"/>
    </w:pPr>
    <w:tblPr>
      <w:tblStyleRowBandSize w:val="1"/>
      <w:tblStyleColBandSize w:val="1"/>
      <w:tblBorders>
        <w:top w:val="single" w:sz="4" w:space="0" w:color="A99966" w:themeColor="accent2"/>
        <w:left w:val="single" w:sz="4" w:space="0" w:color="A99966" w:themeColor="accent2"/>
        <w:bottom w:val="single" w:sz="4" w:space="0" w:color="A99966" w:themeColor="accent2"/>
        <w:right w:val="single" w:sz="4" w:space="0" w:color="A9996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99966" w:themeFill="accent2"/>
      </w:tcPr>
    </w:tblStylePr>
    <w:tblStylePr w:type="lastRow">
      <w:rPr>
        <w:b/>
        <w:bCs/>
      </w:rPr>
      <w:tblPr/>
      <w:tcPr>
        <w:tcBorders>
          <w:top w:val="double" w:sz="4" w:space="0" w:color="A9996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99966" w:themeColor="accent2"/>
          <w:right w:val="single" w:sz="4" w:space="0" w:color="A99966" w:themeColor="accent2"/>
        </w:tcBorders>
      </w:tcPr>
    </w:tblStylePr>
    <w:tblStylePr w:type="band1Horz">
      <w:tblPr/>
      <w:tcPr>
        <w:tcBorders>
          <w:top w:val="single" w:sz="4" w:space="0" w:color="A99966" w:themeColor="accent2"/>
          <w:bottom w:val="single" w:sz="4" w:space="0" w:color="A9996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99966" w:themeColor="accent2"/>
          <w:left w:val="nil"/>
        </w:tcBorders>
      </w:tcPr>
    </w:tblStylePr>
    <w:tblStylePr w:type="swCell">
      <w:tblPr/>
      <w:tcPr>
        <w:tcBorders>
          <w:top w:val="double" w:sz="4" w:space="0" w:color="A99966" w:themeColor="accent2"/>
          <w:right w:val="nil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3057CC"/>
    <w:rPr>
      <w:rFonts w:asciiTheme="majorHAnsi" w:eastAsiaTheme="majorEastAsia" w:hAnsiTheme="majorHAnsi" w:cstheme="majorBidi"/>
      <w:i/>
      <w:iCs/>
      <w:color w:val="2C669A" w:themeColor="accent1" w:themeShade="BF"/>
      <w:sz w:val="20"/>
    </w:rPr>
  </w:style>
  <w:style w:type="paragraph" w:styleId="Revision">
    <w:name w:val="Revision"/>
    <w:hidden/>
    <w:uiPriority w:val="99"/>
    <w:semiHidden/>
    <w:rsid w:val="00E232AB"/>
    <w:pPr>
      <w:spacing w:after="0"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8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1EA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EAF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C3A62"/>
    <w:rPr>
      <w:color w:val="00A88E" w:themeColor="followedHyperlink"/>
      <w:u w:val="single"/>
    </w:rPr>
  </w:style>
  <w:style w:type="paragraph" w:customStyle="1" w:styleId="CRUBodyText">
    <w:name w:val="CRU Body Text"/>
    <w:qFormat/>
    <w:rsid w:val="001A0433"/>
    <w:pPr>
      <w:spacing w:before="200" w:after="200" w:line="360" w:lineRule="auto"/>
    </w:pPr>
    <w:rPr>
      <w:rFonts w:ascii="Arial" w:eastAsiaTheme="minorEastAsia" w:hAnsi="Arial"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4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9668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7430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1656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6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indfalltax@eirgrid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windfalltax@eirgrid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uie-live-96ca64acab2247eca8a850a7e54b-5b34f62.divio-media.com/documents/CRU_Market_Revenue_Cap_Surplus_Assessment_Supplementary_Decision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windfalltax@eirgrid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lattery_I\AppData\Local\Microsoft\Windows\INetCache\Content.Outlook\9TWGHFXS\EirGrid%20Group%20Generic%20template%20updated.dotx" TargetMode="External"/></Relationships>
</file>

<file path=word/theme/theme1.xml><?xml version="1.0" encoding="utf-8"?>
<a:theme xmlns:a="http://schemas.openxmlformats.org/drawingml/2006/main" name="Office Theme">
  <a:themeElements>
    <a:clrScheme name="Eirgrid 2023">
      <a:dk1>
        <a:srgbClr val="000000"/>
      </a:dk1>
      <a:lt1>
        <a:srgbClr val="FFFFFF"/>
      </a:lt1>
      <a:dk2>
        <a:srgbClr val="006768"/>
      </a:dk2>
      <a:lt2>
        <a:srgbClr val="00A88E"/>
      </a:lt2>
      <a:accent1>
        <a:srgbClr val="4189C9"/>
      </a:accent1>
      <a:accent2>
        <a:srgbClr val="A99966"/>
      </a:accent2>
      <a:accent3>
        <a:srgbClr val="FB637E"/>
      </a:accent3>
      <a:accent4>
        <a:srgbClr val="F1B434"/>
      </a:accent4>
      <a:accent5>
        <a:srgbClr val="C6A1CF"/>
      </a:accent5>
      <a:accent6>
        <a:srgbClr val="ECA154"/>
      </a:accent6>
      <a:hlink>
        <a:srgbClr val="006768"/>
      </a:hlink>
      <a:folHlink>
        <a:srgbClr val="00A88E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ab7cdb7554d4997ae876b11632fa575 xmlns="3cada6dc-2705-46ed-bab2-0b2cd6d935ca">
      <Terms xmlns="http://schemas.microsoft.com/office/infopath/2007/PartnerControls"/>
    </iab7cdb7554d4997ae876b11632fa575>
    <TaxCatchAll xmlns="3cada6dc-2705-46ed-bab2-0b2cd6d935ca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84BF4C54B47F4489122D8005702BAD" ma:contentTypeVersion="0" ma:contentTypeDescription="Create a new document." ma:contentTypeScope="" ma:versionID="dd69dd262077425683994db77eee711b">
  <xsd:schema xmlns:xsd="http://www.w3.org/2001/XMLSchema" xmlns:xs="http://www.w3.org/2001/XMLSchema" xmlns:p="http://schemas.microsoft.com/office/2006/metadata/properties" xmlns:ns2="3cada6dc-2705-46ed-bab2-0b2cd6d935ca" targetNamespace="http://schemas.microsoft.com/office/2006/metadata/properties" ma:root="true" ma:fieldsID="924bd7847060fde5db1af83b37dc10f1" ns2:_="">
    <xsd:import namespace="3cada6dc-2705-46ed-bab2-0b2cd6d935ca"/>
    <xsd:element name="properties">
      <xsd:complexType>
        <xsd:sequence>
          <xsd:element name="documentManagement">
            <xsd:complexType>
              <xsd:all>
                <xsd:element ref="ns2:iab7cdb7554d4997ae876b11632fa575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da6dc-2705-46ed-bab2-0b2cd6d935ca" elementFormDefault="qualified">
    <xsd:import namespace="http://schemas.microsoft.com/office/2006/documentManagement/types"/>
    <xsd:import namespace="http://schemas.microsoft.com/office/infopath/2007/PartnerControls"/>
    <xsd:element name="iab7cdb7554d4997ae876b11632fa575" ma:index="8" nillable="true" ma:taxonomy="true" ma:internalName="iab7cdb7554d4997ae876b11632fa575" ma:taxonomyFieldName="File_x0020_Category" ma:displayName="File Category" ma:default="" ma:fieldId="{2ab7cdb7-554d-4997-ae87-6b11632fa575}" ma:taxonomyMulti="true" ma:sspId="bba0571d-0b8e-466e-908c-4c59ad63fd5c" ma:termSetId="d6e1f201-92b0-484d-8c3e-6dc5f6daf1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84eacb04-4ccd-46eb-9c60-9d6de9691bb3}" ma:internalName="TaxCatchAll" ma:showField="CatchAllData" ma:web="c92c1002-8093-4661-96df-3f6c692542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4eacb04-4ccd-46eb-9c60-9d6de9691bb3}" ma:internalName="TaxCatchAllLabel" ma:readOnly="true" ma:showField="CatchAllDataLabel" ma:web="c92c1002-8093-4661-96df-3f6c692542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7D9969-898B-4E7A-A27C-F84715558E76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cada6dc-2705-46ed-bab2-0b2cd6d935c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5261D0C-00CF-4077-95FA-FCA422266B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9F9A89-AF7A-4BFC-88D2-A28DDBD462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C6FEFE-14ED-43F8-B52D-EBCB89061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da6dc-2705-46ed-bab2-0b2cd6d935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EirGrid Group Generic template updated.dotx</Template>
  <TotalTime>97</TotalTime>
  <Pages>5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Keane, Simon (EXT)</dc:creator>
  <cp:keywords/>
  <dc:description/>
  <cp:lastModifiedBy>Keane, Simon (EXT)</cp:lastModifiedBy>
  <cp:revision>6</cp:revision>
  <cp:lastPrinted>2024-01-12T12:15:00Z</cp:lastPrinted>
  <dcterms:created xsi:type="dcterms:W3CDTF">2024-07-29T15:09:00Z</dcterms:created>
  <dcterms:modified xsi:type="dcterms:W3CDTF">2024-08-01T07:54:00Z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99bc9a-9772-4b7e-bcf5-e39ce86bfb30_Enabled">
    <vt:lpwstr>true</vt:lpwstr>
  </property>
  <property fmtid="{D5CDD505-2E9C-101B-9397-08002B2CF9AE}" pid="3" name="MSIP_Label_4c99bc9a-9772-4b7e-bcf5-e39ce86bfb30_SetDate">
    <vt:lpwstr>2023-02-01T13:52:11Z</vt:lpwstr>
  </property>
  <property fmtid="{D5CDD505-2E9C-101B-9397-08002B2CF9AE}" pid="4" name="MSIP_Label_4c99bc9a-9772-4b7e-bcf5-e39ce86bfb30_Method">
    <vt:lpwstr>Standard</vt:lpwstr>
  </property>
  <property fmtid="{D5CDD505-2E9C-101B-9397-08002B2CF9AE}" pid="5" name="MSIP_Label_4c99bc9a-9772-4b7e-bcf5-e39ce86bfb30_Name">
    <vt:lpwstr>Internal</vt:lpwstr>
  </property>
  <property fmtid="{D5CDD505-2E9C-101B-9397-08002B2CF9AE}" pid="6" name="MSIP_Label_4c99bc9a-9772-4b7e-bcf5-e39ce86bfb30_SiteId">
    <vt:lpwstr>c1528ebb-73e5-4ac2-9d93-677ac4834cc5</vt:lpwstr>
  </property>
  <property fmtid="{D5CDD505-2E9C-101B-9397-08002B2CF9AE}" pid="7" name="MSIP_Label_4c99bc9a-9772-4b7e-bcf5-e39ce86bfb30_ActionId">
    <vt:lpwstr>78c773ec-671f-4e27-bcb3-00001086e045</vt:lpwstr>
  </property>
  <property fmtid="{D5CDD505-2E9C-101B-9397-08002B2CF9AE}" pid="8" name="MSIP_Label_4c99bc9a-9772-4b7e-bcf5-e39ce86bfb30_ContentBits">
    <vt:lpwstr>0</vt:lpwstr>
  </property>
  <property fmtid="{D5CDD505-2E9C-101B-9397-08002B2CF9AE}" pid="9" name="ContentTypeId">
    <vt:lpwstr>0x010100DD84BF4C54B47F4489122D8005702BAD</vt:lpwstr>
  </property>
  <property fmtid="{D5CDD505-2E9C-101B-9397-08002B2CF9AE}" pid="10" name="IsMyDocuments">
    <vt:bool>true</vt:bool>
  </property>
  <property fmtid="{D5CDD505-2E9C-101B-9397-08002B2CF9AE}" pid="11" name="File Category">
    <vt:lpwstr/>
  </property>
</Properties>
</file>