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r>
      <w:tr w:rsidR="004C53E7" w:rsidRPr="004C53E7" w:rsidTr="0013032E">
        <w:tc>
          <w:tcPr>
            <w:tcW w:w="2070" w:type="dxa"/>
            <w:vAlign w:val="center"/>
          </w:tcPr>
          <w:p w:rsidR="004C53E7" w:rsidRPr="004C53E7" w:rsidRDefault="006704FB" w:rsidP="00EE2B7C">
            <w:pPr>
              <w:jc w:val="center"/>
              <w:rPr>
                <w:rFonts w:ascii="Calibri" w:hAnsi="Calibri" w:cs="Arial"/>
                <w:b/>
                <w:lang w:val="en-IE"/>
              </w:rPr>
            </w:pPr>
            <w:r>
              <w:rPr>
                <w:rFonts w:ascii="Calibri" w:hAnsi="Calibri" w:cs="Arial"/>
                <w:b/>
                <w:lang w:val="en-IE"/>
              </w:rPr>
              <w:t>ESB GWM</w:t>
            </w:r>
          </w:p>
        </w:tc>
        <w:tc>
          <w:tcPr>
            <w:tcW w:w="2533" w:type="dxa"/>
            <w:gridSpan w:val="2"/>
            <w:vAlign w:val="center"/>
          </w:tcPr>
          <w:p w:rsidR="004C53E7" w:rsidRPr="004C53E7" w:rsidRDefault="00E308DB" w:rsidP="00EE2B7C">
            <w:pPr>
              <w:jc w:val="center"/>
              <w:rPr>
                <w:rFonts w:ascii="Calibri" w:hAnsi="Calibri" w:cs="Arial"/>
                <w:b/>
                <w:lang w:val="en-IE"/>
              </w:rPr>
            </w:pPr>
            <w:r>
              <w:rPr>
                <w:rFonts w:ascii="Calibri" w:hAnsi="Calibri" w:cs="Arial"/>
                <w:b/>
                <w:lang w:val="en-IE"/>
              </w:rPr>
              <w:t>25 April 2018</w:t>
            </w:r>
          </w:p>
        </w:tc>
        <w:tc>
          <w:tcPr>
            <w:tcW w:w="2311" w:type="dxa"/>
            <w:gridSpan w:val="2"/>
            <w:vAlign w:val="center"/>
          </w:tcPr>
          <w:p w:rsidR="004C53E7" w:rsidRPr="004C53E7" w:rsidRDefault="00F952F4" w:rsidP="006704FB">
            <w:pPr>
              <w:jc w:val="center"/>
              <w:rPr>
                <w:rFonts w:ascii="Calibri" w:hAnsi="Calibri" w:cs="Arial"/>
                <w:b/>
                <w:lang w:val="en-IE"/>
              </w:rPr>
            </w:pPr>
            <w:r>
              <w:rPr>
                <w:rFonts w:ascii="Calibri" w:hAnsi="Calibri" w:cs="Arial"/>
                <w:b/>
                <w:lang w:val="en-IE"/>
              </w:rPr>
              <w:t>Standard</w:t>
            </w:r>
          </w:p>
        </w:tc>
        <w:tc>
          <w:tcPr>
            <w:tcW w:w="2536" w:type="dxa"/>
            <w:vAlign w:val="center"/>
          </w:tcPr>
          <w:p w:rsidR="004C53E7" w:rsidRPr="004C53E7" w:rsidRDefault="00E308DB" w:rsidP="00EE2B7C">
            <w:pPr>
              <w:jc w:val="center"/>
              <w:rPr>
                <w:rFonts w:ascii="Calibri" w:hAnsi="Calibri" w:cs="Arial"/>
                <w:b/>
                <w:lang w:val="en-IE"/>
              </w:rPr>
            </w:pPr>
            <w:r>
              <w:rPr>
                <w:rFonts w:ascii="Calibri" w:hAnsi="Calibri" w:cs="Arial"/>
                <w:b/>
                <w:lang w:val="en-IE"/>
              </w:rPr>
              <w:t>CMC_05_18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6704FB" w:rsidP="00EE2B7C">
            <w:pPr>
              <w:jc w:val="center"/>
              <w:rPr>
                <w:rFonts w:ascii="Calibri" w:hAnsi="Calibri" w:cs="Arial"/>
                <w:b/>
                <w:lang w:val="en-IE"/>
              </w:rPr>
            </w:pPr>
            <w:r>
              <w:rPr>
                <w:rFonts w:ascii="Calibri" w:hAnsi="Calibri" w:cs="Arial"/>
                <w:b/>
                <w:lang w:val="en-IE"/>
              </w:rPr>
              <w:t>Paraic Higgins</w:t>
            </w:r>
          </w:p>
        </w:tc>
        <w:tc>
          <w:tcPr>
            <w:tcW w:w="2925" w:type="dxa"/>
            <w:gridSpan w:val="2"/>
            <w:vAlign w:val="center"/>
          </w:tcPr>
          <w:p w:rsidR="004C53E7" w:rsidRPr="004C53E7" w:rsidRDefault="006704FB" w:rsidP="00EE2B7C">
            <w:pPr>
              <w:jc w:val="center"/>
              <w:rPr>
                <w:rFonts w:ascii="Calibri" w:hAnsi="Calibri" w:cs="Arial"/>
                <w:b/>
                <w:lang w:val="en-IE"/>
              </w:rPr>
            </w:pPr>
            <w:r>
              <w:rPr>
                <w:rFonts w:ascii="Calibri" w:hAnsi="Calibri" w:cs="Arial"/>
                <w:b/>
                <w:lang w:val="en-IE"/>
              </w:rPr>
              <w:t>01 7027119</w:t>
            </w:r>
          </w:p>
        </w:tc>
        <w:tc>
          <w:tcPr>
            <w:tcW w:w="3600" w:type="dxa"/>
            <w:gridSpan w:val="2"/>
            <w:vAlign w:val="center"/>
          </w:tcPr>
          <w:p w:rsidR="00355080" w:rsidRPr="004C53E7" w:rsidRDefault="006704FB" w:rsidP="00355080">
            <w:pPr>
              <w:jc w:val="center"/>
              <w:rPr>
                <w:rFonts w:ascii="Calibri" w:hAnsi="Calibri" w:cs="Arial"/>
                <w:b/>
                <w:lang w:val="en-IE"/>
              </w:rPr>
            </w:pPr>
            <w:r>
              <w:rPr>
                <w:rFonts w:ascii="Calibri" w:hAnsi="Calibri" w:cs="Arial"/>
                <w:b/>
                <w:lang w:val="en-IE"/>
              </w:rPr>
              <w:t>Paraic.higgins@esb.ie</w:t>
            </w:r>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6704FB" w:rsidP="00730238">
            <w:pPr>
              <w:jc w:val="center"/>
              <w:rPr>
                <w:rFonts w:ascii="Calibri" w:hAnsi="Calibri" w:cs="Arial"/>
                <w:b/>
                <w:lang w:val="en-IE"/>
              </w:rPr>
            </w:pPr>
            <w:r w:rsidRPr="006704FB">
              <w:rPr>
                <w:rFonts w:ascii="Calibri" w:hAnsi="Calibri" w:cs="Arial"/>
                <w:b/>
                <w:lang w:val="en-IE"/>
              </w:rPr>
              <w:t>Requirements for Combining Candidate Units into a Capacity Market Unit</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4C53E7" w:rsidRPr="004C53E7" w:rsidRDefault="006704FB" w:rsidP="000069DF">
            <w:pPr>
              <w:jc w:val="center"/>
              <w:rPr>
                <w:rFonts w:ascii="Calibri" w:hAnsi="Calibri" w:cs="Arial"/>
                <w:b/>
                <w:lang w:val="en-IE"/>
              </w:rPr>
            </w:pPr>
            <w:r>
              <w:rPr>
                <w:rFonts w:ascii="Calibri" w:hAnsi="Calibri" w:cs="Arial"/>
                <w:b/>
                <w:lang w:val="en-IE"/>
              </w:rPr>
              <w:t>E.7.6</w:t>
            </w:r>
          </w:p>
        </w:tc>
        <w:tc>
          <w:tcPr>
            <w:tcW w:w="3600" w:type="dxa"/>
            <w:gridSpan w:val="2"/>
            <w:vAlign w:val="center"/>
          </w:tcPr>
          <w:p w:rsidR="004C53E7" w:rsidRPr="004C53E7" w:rsidRDefault="00E308DB" w:rsidP="00EE2B7C">
            <w:pPr>
              <w:jc w:val="center"/>
              <w:rPr>
                <w:rFonts w:ascii="Calibri" w:hAnsi="Calibri" w:cs="Arial"/>
                <w:b/>
                <w:lang w:val="en-IE"/>
              </w:rPr>
            </w:pPr>
            <w:r>
              <w:rPr>
                <w:rFonts w:ascii="Calibri" w:hAnsi="Calibri" w:cs="Arial"/>
                <w:b/>
                <w:lang w:val="en-IE"/>
              </w:rPr>
              <w:t>1.0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C2443E" w:rsidRDefault="00C2443E" w:rsidP="00964E56">
            <w:pPr>
              <w:pStyle w:val="Default"/>
              <w:jc w:val="both"/>
              <w:rPr>
                <w:sz w:val="22"/>
                <w:szCs w:val="22"/>
              </w:rPr>
            </w:pPr>
          </w:p>
          <w:p w:rsidR="00964E56" w:rsidRDefault="005D404A" w:rsidP="00964E56">
            <w:pPr>
              <w:pStyle w:val="Default"/>
              <w:jc w:val="both"/>
              <w:rPr>
                <w:sz w:val="22"/>
                <w:szCs w:val="22"/>
              </w:rPr>
            </w:pPr>
            <w:r>
              <w:rPr>
                <w:sz w:val="22"/>
                <w:szCs w:val="22"/>
              </w:rPr>
              <w:t>Under current CMC rules, a capacity market unit is directly linked to a balancing market unit. As a result, any participant with multiple</w:t>
            </w:r>
            <w:r w:rsidR="00964E56">
              <w:rPr>
                <w:sz w:val="22"/>
                <w:szCs w:val="22"/>
              </w:rPr>
              <w:t xml:space="preserve"> units on the same site are required to bid </w:t>
            </w:r>
            <w:r>
              <w:rPr>
                <w:sz w:val="22"/>
                <w:szCs w:val="22"/>
              </w:rPr>
              <w:t xml:space="preserve">each unit </w:t>
            </w:r>
            <w:r w:rsidR="00964E56">
              <w:rPr>
                <w:sz w:val="22"/>
                <w:szCs w:val="22"/>
              </w:rPr>
              <w:t xml:space="preserve">separately into the auction. The apportionment of shared costs is complicated and one which could compromise the overall efficiency of the CRM auction results. </w:t>
            </w:r>
          </w:p>
          <w:p w:rsidR="00964E56" w:rsidRDefault="00964E56" w:rsidP="00964E56">
            <w:pPr>
              <w:pStyle w:val="Default"/>
              <w:jc w:val="both"/>
              <w:rPr>
                <w:sz w:val="22"/>
                <w:szCs w:val="22"/>
              </w:rPr>
            </w:pPr>
          </w:p>
          <w:p w:rsidR="00EF11D6" w:rsidRDefault="00323C46" w:rsidP="00964E56">
            <w:pPr>
              <w:pStyle w:val="Default"/>
              <w:jc w:val="both"/>
              <w:rPr>
                <w:sz w:val="22"/>
                <w:szCs w:val="22"/>
              </w:rPr>
            </w:pPr>
            <w:r>
              <w:rPr>
                <w:sz w:val="22"/>
                <w:szCs w:val="22"/>
              </w:rPr>
              <w:t>This proposal seeks to allow participants</w:t>
            </w:r>
            <w:r w:rsidR="00C2443E">
              <w:rPr>
                <w:sz w:val="22"/>
                <w:szCs w:val="22"/>
              </w:rPr>
              <w:t xml:space="preserve"> to register</w:t>
            </w:r>
            <w:r>
              <w:rPr>
                <w:sz w:val="22"/>
                <w:szCs w:val="22"/>
              </w:rPr>
              <w:t xml:space="preserve"> multiple generating units</w:t>
            </w:r>
            <w:r w:rsidR="00C2443E">
              <w:rPr>
                <w:sz w:val="22"/>
                <w:szCs w:val="22"/>
              </w:rPr>
              <w:t>, on the same site and</w:t>
            </w:r>
            <w:r>
              <w:rPr>
                <w:sz w:val="22"/>
                <w:szCs w:val="22"/>
              </w:rPr>
              <w:t xml:space="preserve"> above the de-</w:t>
            </w:r>
            <w:proofErr w:type="spellStart"/>
            <w:r>
              <w:rPr>
                <w:sz w:val="22"/>
                <w:szCs w:val="22"/>
              </w:rPr>
              <w:t>minimis</w:t>
            </w:r>
            <w:proofErr w:type="spellEnd"/>
            <w:r>
              <w:rPr>
                <w:sz w:val="22"/>
                <w:szCs w:val="22"/>
              </w:rPr>
              <w:t xml:space="preserve"> threshold, as a single capacity market unit</w:t>
            </w:r>
            <w:r w:rsidR="001555EE">
              <w:rPr>
                <w:sz w:val="22"/>
                <w:szCs w:val="22"/>
              </w:rPr>
              <w:t xml:space="preserve"> subject to Regulatory Authority approval</w:t>
            </w:r>
            <w:r>
              <w:rPr>
                <w:sz w:val="22"/>
                <w:szCs w:val="22"/>
              </w:rPr>
              <w:t>.</w:t>
            </w:r>
          </w:p>
          <w:p w:rsidR="00C2443E" w:rsidRDefault="00C2443E" w:rsidP="00964E56">
            <w:pPr>
              <w:pStyle w:val="Default"/>
              <w:jc w:val="both"/>
              <w:rPr>
                <w:sz w:val="22"/>
                <w:szCs w:val="22"/>
              </w:rPr>
            </w:pPr>
          </w:p>
          <w:p w:rsidR="00875901" w:rsidRDefault="00C2443E" w:rsidP="00964E56">
            <w:pPr>
              <w:pStyle w:val="Default"/>
              <w:jc w:val="both"/>
              <w:rPr>
                <w:sz w:val="22"/>
                <w:szCs w:val="22"/>
              </w:rPr>
            </w:pPr>
            <w:r>
              <w:rPr>
                <w:sz w:val="22"/>
                <w:szCs w:val="22"/>
              </w:rPr>
              <w:t xml:space="preserve">A simple addition to section E.7.6 (Requirements for Combining Candidate Units into a Capacity Market Unit) could </w:t>
            </w:r>
            <w:r w:rsidR="00875901">
              <w:rPr>
                <w:sz w:val="22"/>
                <w:szCs w:val="22"/>
              </w:rPr>
              <w:t>implement the necessary alteration to prevent perverse auctions results</w:t>
            </w:r>
            <w:r w:rsidR="00E67D4D">
              <w:rPr>
                <w:sz w:val="22"/>
                <w:szCs w:val="22"/>
              </w:rPr>
              <w:t xml:space="preserve"> and ensure the provision of increased flexibility to the System Operator</w:t>
            </w:r>
            <w:r w:rsidR="00875901">
              <w:rPr>
                <w:sz w:val="22"/>
                <w:szCs w:val="22"/>
              </w:rPr>
              <w:t xml:space="preserve">. </w:t>
            </w:r>
          </w:p>
          <w:p w:rsidR="00BC24D9" w:rsidRPr="0013032E" w:rsidRDefault="00BC24D9" w:rsidP="00875901">
            <w:pPr>
              <w:pStyle w:val="Default"/>
              <w:jc w:val="both"/>
              <w:rPr>
                <w:bCs/>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D404A">
            <w:pPr>
              <w:pStyle w:val="Default"/>
              <w:jc w:val="both"/>
            </w:pPr>
          </w:p>
          <w:p w:rsidR="006704FB" w:rsidRPr="006704FB" w:rsidRDefault="006704FB" w:rsidP="005D404A">
            <w:pPr>
              <w:pStyle w:val="Default"/>
              <w:jc w:val="both"/>
              <w:rPr>
                <w:sz w:val="22"/>
                <w:szCs w:val="22"/>
              </w:rPr>
            </w:pPr>
            <w:r>
              <w:rPr>
                <w:sz w:val="22"/>
                <w:szCs w:val="22"/>
              </w:rPr>
              <w:t xml:space="preserve">E.7.6 </w:t>
            </w:r>
            <w:r w:rsidRPr="006704FB">
              <w:rPr>
                <w:sz w:val="22"/>
                <w:szCs w:val="22"/>
              </w:rPr>
              <w:t xml:space="preserve">Requirements for Combining Candidate Units into a Capacity Market Unit </w:t>
            </w:r>
          </w:p>
          <w:p w:rsidR="006704FB" w:rsidRPr="006704FB" w:rsidRDefault="006704FB" w:rsidP="005D404A">
            <w:pPr>
              <w:pStyle w:val="Default"/>
              <w:ind w:left="1080"/>
              <w:jc w:val="both"/>
              <w:rPr>
                <w:sz w:val="22"/>
                <w:szCs w:val="22"/>
              </w:rPr>
            </w:pPr>
            <w:r>
              <w:rPr>
                <w:sz w:val="22"/>
                <w:szCs w:val="22"/>
              </w:rPr>
              <w:t xml:space="preserve">E.7.6.1 </w:t>
            </w:r>
            <w:r w:rsidRPr="006704FB">
              <w:rPr>
                <w:sz w:val="22"/>
                <w:szCs w:val="22"/>
              </w:rPr>
              <w:t xml:space="preserve">Subject to paragraph E.7.6.3 and E.7.6.4, the System Operators shall reject an Application for Qualification for a Capacity Year for a proposed Capacity Market Unit comprising a combination of individual Candidate Units unless: </w:t>
            </w:r>
          </w:p>
          <w:p w:rsidR="006704FB" w:rsidRDefault="006704FB" w:rsidP="005D404A">
            <w:pPr>
              <w:pStyle w:val="Default"/>
              <w:numPr>
                <w:ilvl w:val="0"/>
                <w:numId w:val="39"/>
              </w:numPr>
              <w:jc w:val="both"/>
              <w:rPr>
                <w:sz w:val="22"/>
                <w:szCs w:val="22"/>
              </w:rPr>
            </w:pPr>
            <w:r w:rsidRPr="006704FB">
              <w:rPr>
                <w:sz w:val="22"/>
                <w:szCs w:val="22"/>
              </w:rPr>
              <w:t>each of the Candidate Units is a Generator Unit</w:t>
            </w:r>
            <w:r>
              <w:rPr>
                <w:sz w:val="22"/>
                <w:szCs w:val="22"/>
              </w:rPr>
              <w:t xml:space="preserve"> or a proposed Generator Unit; </w:t>
            </w:r>
          </w:p>
          <w:p w:rsidR="006704FB" w:rsidRPr="006704FB" w:rsidRDefault="006704FB" w:rsidP="005D404A">
            <w:pPr>
              <w:pStyle w:val="Default"/>
              <w:numPr>
                <w:ilvl w:val="0"/>
                <w:numId w:val="39"/>
              </w:numPr>
              <w:jc w:val="both"/>
              <w:rPr>
                <w:sz w:val="22"/>
                <w:szCs w:val="22"/>
              </w:rPr>
            </w:pPr>
            <w:r w:rsidRPr="006704FB">
              <w:rPr>
                <w:sz w:val="22"/>
                <w:szCs w:val="22"/>
              </w:rPr>
              <w:t xml:space="preserve">all the Candidate Units are registered or provisionally registered to the same Participant; </w:t>
            </w:r>
          </w:p>
          <w:p w:rsidR="006704FB" w:rsidRPr="006704FB" w:rsidRDefault="006704FB" w:rsidP="005D404A">
            <w:pPr>
              <w:pStyle w:val="Default"/>
              <w:numPr>
                <w:ilvl w:val="0"/>
                <w:numId w:val="39"/>
              </w:numPr>
              <w:jc w:val="both"/>
              <w:rPr>
                <w:sz w:val="22"/>
                <w:szCs w:val="22"/>
              </w:rPr>
            </w:pPr>
            <w:r w:rsidRPr="006704FB">
              <w:rPr>
                <w:sz w:val="22"/>
                <w:szCs w:val="22"/>
              </w:rPr>
              <w:t xml:space="preserve">all the Candidate Units are separately registered under the Trading and Settlement Code, or in the case of New Capacity, are intended to be separately registered under the Trading and Settlement Code; </w:t>
            </w:r>
          </w:p>
          <w:p w:rsidR="006704FB" w:rsidRPr="006704FB" w:rsidRDefault="006704FB" w:rsidP="005D404A">
            <w:pPr>
              <w:pStyle w:val="Default"/>
              <w:numPr>
                <w:ilvl w:val="0"/>
                <w:numId w:val="39"/>
              </w:numPr>
              <w:jc w:val="both"/>
              <w:rPr>
                <w:sz w:val="22"/>
                <w:szCs w:val="22"/>
              </w:rPr>
            </w:pPr>
            <w:r w:rsidRPr="006704FB">
              <w:rPr>
                <w:sz w:val="22"/>
                <w:szCs w:val="22"/>
              </w:rPr>
              <w:t xml:space="preserve">all the Candidate Units are Connected in the same Currency Zone; </w:t>
            </w:r>
          </w:p>
          <w:p w:rsidR="006704FB" w:rsidRPr="006704FB" w:rsidRDefault="006704FB" w:rsidP="005D404A">
            <w:pPr>
              <w:pStyle w:val="Default"/>
              <w:numPr>
                <w:ilvl w:val="0"/>
                <w:numId w:val="39"/>
              </w:numPr>
              <w:jc w:val="both"/>
              <w:rPr>
                <w:sz w:val="22"/>
                <w:szCs w:val="22"/>
              </w:rPr>
            </w:pPr>
            <w:r w:rsidRPr="006704FB">
              <w:rPr>
                <w:sz w:val="22"/>
                <w:szCs w:val="22"/>
              </w:rPr>
              <w:t xml:space="preserve">the Regulatory Authorities have not approved a Unit Specific Price Cap for any of the Candidate Units in respect of the Capacity Auction; </w:t>
            </w:r>
          </w:p>
          <w:p w:rsidR="006704FB" w:rsidRPr="006704FB" w:rsidRDefault="006704FB" w:rsidP="005D404A">
            <w:pPr>
              <w:pStyle w:val="Default"/>
              <w:numPr>
                <w:ilvl w:val="0"/>
                <w:numId w:val="39"/>
              </w:numPr>
              <w:jc w:val="both"/>
              <w:rPr>
                <w:sz w:val="22"/>
                <w:szCs w:val="22"/>
              </w:rPr>
            </w:pPr>
            <w:r w:rsidRPr="006704FB">
              <w:rPr>
                <w:sz w:val="22"/>
                <w:szCs w:val="22"/>
              </w:rPr>
              <w:t xml:space="preserve">none of the Candidate Units are proposed to be included in any other proposed Capacity Market Unit for which an Application for Qualification in respect of the same Capacity Auction has been made; </w:t>
            </w:r>
          </w:p>
          <w:p w:rsidR="006704FB" w:rsidRPr="006704FB" w:rsidRDefault="006704FB" w:rsidP="005D404A">
            <w:pPr>
              <w:pStyle w:val="Default"/>
              <w:numPr>
                <w:ilvl w:val="0"/>
                <w:numId w:val="39"/>
              </w:numPr>
              <w:jc w:val="both"/>
              <w:rPr>
                <w:sz w:val="22"/>
                <w:szCs w:val="22"/>
              </w:rPr>
            </w:pPr>
            <w:r w:rsidRPr="006704FB">
              <w:rPr>
                <w:sz w:val="22"/>
                <w:szCs w:val="22"/>
              </w:rPr>
              <w:lastRenderedPageBreak/>
              <w:t xml:space="preserve">none of the Candidate Units are Capacity Market Units in their own right, or part of another Capacity Market Unit, allocated Awarded Capacity for the Capacity Year in a prior Capacity Auction; </w:t>
            </w:r>
          </w:p>
          <w:p w:rsidR="006704FB" w:rsidRPr="006704FB" w:rsidRDefault="006704FB" w:rsidP="005D404A">
            <w:pPr>
              <w:pStyle w:val="Default"/>
              <w:numPr>
                <w:ilvl w:val="0"/>
                <w:numId w:val="39"/>
              </w:numPr>
              <w:jc w:val="both"/>
              <w:rPr>
                <w:sz w:val="22"/>
                <w:szCs w:val="22"/>
              </w:rPr>
            </w:pPr>
            <w:r w:rsidRPr="006704FB">
              <w:rPr>
                <w:sz w:val="22"/>
                <w:szCs w:val="22"/>
              </w:rPr>
              <w:t xml:space="preserve">the Capacity Market Unit includes all of the individual Candidate Units that it included in any prior Capacity Auction in which it has already been allocated Awarded Capacity for the Capacity Year (though it may include additional Candidate Units); </w:t>
            </w:r>
          </w:p>
          <w:p w:rsidR="006704FB" w:rsidRPr="006704FB" w:rsidRDefault="006704FB" w:rsidP="005D404A">
            <w:pPr>
              <w:pStyle w:val="Default"/>
              <w:numPr>
                <w:ilvl w:val="0"/>
                <w:numId w:val="39"/>
              </w:numPr>
              <w:jc w:val="both"/>
              <w:rPr>
                <w:sz w:val="22"/>
                <w:szCs w:val="22"/>
              </w:rPr>
            </w:pPr>
            <w:r w:rsidRPr="006704FB">
              <w:rPr>
                <w:sz w:val="22"/>
                <w:szCs w:val="22"/>
              </w:rPr>
              <w:t xml:space="preserve">each of the Candidate Units is either: </w:t>
            </w:r>
          </w:p>
          <w:p w:rsidR="006704FB" w:rsidRPr="006704FB" w:rsidRDefault="006704FB" w:rsidP="005D404A">
            <w:pPr>
              <w:pStyle w:val="Default"/>
              <w:numPr>
                <w:ilvl w:val="1"/>
                <w:numId w:val="40"/>
              </w:numPr>
              <w:jc w:val="both"/>
              <w:rPr>
                <w:sz w:val="22"/>
                <w:szCs w:val="22"/>
              </w:rPr>
            </w:pPr>
            <w:r w:rsidRPr="006704FB">
              <w:rPr>
                <w:sz w:val="22"/>
                <w:szCs w:val="22"/>
              </w:rPr>
              <w:t xml:space="preserve">a unit with a Registered Capacity (or in the case of a Demand Side Unit, a DSU MW Capacity), whether based on Existing Capacity or a combined Existing and New Capacity, below the De Minimis Threshold; or </w:t>
            </w:r>
          </w:p>
          <w:p w:rsidR="006704FB" w:rsidRPr="006704FB" w:rsidRDefault="006704FB" w:rsidP="005D404A">
            <w:pPr>
              <w:pStyle w:val="Default"/>
              <w:numPr>
                <w:ilvl w:val="1"/>
                <w:numId w:val="40"/>
              </w:numPr>
              <w:jc w:val="both"/>
              <w:rPr>
                <w:sz w:val="22"/>
                <w:szCs w:val="22"/>
              </w:rPr>
            </w:pPr>
            <w:r w:rsidRPr="006704FB">
              <w:rPr>
                <w:sz w:val="22"/>
                <w:szCs w:val="22"/>
              </w:rPr>
              <w:t xml:space="preserve">a Variable Generator Unit; </w:t>
            </w:r>
          </w:p>
          <w:p w:rsidR="006704FB" w:rsidRPr="006704FB" w:rsidRDefault="006704FB" w:rsidP="005D404A">
            <w:pPr>
              <w:pStyle w:val="Default"/>
              <w:ind w:left="1080"/>
              <w:jc w:val="both"/>
              <w:rPr>
                <w:sz w:val="22"/>
                <w:szCs w:val="22"/>
              </w:rPr>
            </w:pPr>
          </w:p>
          <w:p w:rsidR="006704FB" w:rsidRPr="006704FB" w:rsidRDefault="006704FB" w:rsidP="005D404A">
            <w:pPr>
              <w:pStyle w:val="Default"/>
              <w:numPr>
                <w:ilvl w:val="0"/>
                <w:numId w:val="39"/>
              </w:numPr>
              <w:jc w:val="both"/>
              <w:rPr>
                <w:sz w:val="22"/>
                <w:szCs w:val="22"/>
              </w:rPr>
            </w:pPr>
            <w:r w:rsidRPr="006704FB">
              <w:rPr>
                <w:sz w:val="22"/>
                <w:szCs w:val="22"/>
              </w:rPr>
              <w:t xml:space="preserve">if any of the Candidate Units proposed to be combined into the Capacity Market Unit is a Demand Side Unit, then all the Candidate Units proposed to be combined are Demand Side Units; </w:t>
            </w:r>
          </w:p>
          <w:p w:rsidR="006704FB" w:rsidRPr="006704FB" w:rsidRDefault="006704FB" w:rsidP="005D404A">
            <w:pPr>
              <w:pStyle w:val="Default"/>
              <w:numPr>
                <w:ilvl w:val="0"/>
                <w:numId w:val="39"/>
              </w:numPr>
              <w:jc w:val="both"/>
              <w:rPr>
                <w:sz w:val="22"/>
                <w:szCs w:val="22"/>
              </w:rPr>
            </w:pPr>
            <w:r w:rsidRPr="006704FB">
              <w:rPr>
                <w:sz w:val="22"/>
                <w:szCs w:val="22"/>
              </w:rPr>
              <w:t xml:space="preserve">if any of the Candidate Units proposed to be combined into the Capacity Market Unit is intended to provide New Capacity, then the same Maximum Capacity Duration applies to all of the Candidate Units proposed to be combined; and </w:t>
            </w:r>
          </w:p>
          <w:p w:rsidR="006704FB" w:rsidRPr="006704FB" w:rsidRDefault="006704FB" w:rsidP="005D404A">
            <w:pPr>
              <w:pStyle w:val="Default"/>
              <w:numPr>
                <w:ilvl w:val="0"/>
                <w:numId w:val="39"/>
              </w:numPr>
              <w:jc w:val="both"/>
              <w:rPr>
                <w:sz w:val="22"/>
                <w:szCs w:val="22"/>
              </w:rPr>
            </w:pPr>
            <w:r w:rsidRPr="006704FB">
              <w:rPr>
                <w:sz w:val="22"/>
                <w:szCs w:val="22"/>
              </w:rPr>
              <w:t xml:space="preserve">if any of the Candidate Units is an </w:t>
            </w:r>
            <w:proofErr w:type="spellStart"/>
            <w:r w:rsidRPr="006704FB">
              <w:rPr>
                <w:sz w:val="22"/>
                <w:szCs w:val="22"/>
              </w:rPr>
              <w:t>Autoproducer</w:t>
            </w:r>
            <w:proofErr w:type="spellEnd"/>
            <w:r w:rsidRPr="006704FB">
              <w:rPr>
                <w:sz w:val="22"/>
                <w:szCs w:val="22"/>
              </w:rPr>
              <w:t xml:space="preserve"> Unit, then all the Candidates Units are </w:t>
            </w:r>
            <w:proofErr w:type="spellStart"/>
            <w:r w:rsidRPr="006704FB">
              <w:rPr>
                <w:sz w:val="22"/>
                <w:szCs w:val="22"/>
              </w:rPr>
              <w:t>Autoproducer</w:t>
            </w:r>
            <w:proofErr w:type="spellEnd"/>
            <w:r w:rsidRPr="006704FB">
              <w:rPr>
                <w:sz w:val="22"/>
                <w:szCs w:val="22"/>
              </w:rPr>
              <w:t xml:space="preserve"> Units at the same </w:t>
            </w:r>
            <w:proofErr w:type="spellStart"/>
            <w:r w:rsidRPr="006704FB">
              <w:rPr>
                <w:sz w:val="22"/>
                <w:szCs w:val="22"/>
              </w:rPr>
              <w:t>Autoproducer</w:t>
            </w:r>
            <w:proofErr w:type="spellEnd"/>
            <w:r w:rsidRPr="006704FB">
              <w:rPr>
                <w:sz w:val="22"/>
                <w:szCs w:val="22"/>
              </w:rPr>
              <w:t xml:space="preserve"> Site. </w:t>
            </w:r>
          </w:p>
          <w:p w:rsidR="006704FB" w:rsidRPr="006704FB" w:rsidRDefault="006704FB" w:rsidP="005D404A">
            <w:pPr>
              <w:pStyle w:val="Default"/>
              <w:ind w:left="1080"/>
              <w:jc w:val="both"/>
              <w:rPr>
                <w:sz w:val="22"/>
                <w:szCs w:val="22"/>
              </w:rPr>
            </w:pPr>
          </w:p>
          <w:p w:rsidR="006704FB" w:rsidRPr="006704FB" w:rsidRDefault="006704FB" w:rsidP="005D404A">
            <w:pPr>
              <w:pStyle w:val="Default"/>
              <w:ind w:left="1080"/>
              <w:jc w:val="both"/>
              <w:rPr>
                <w:color w:val="FF0000"/>
                <w:sz w:val="22"/>
                <w:szCs w:val="22"/>
                <w:u w:val="single"/>
              </w:rPr>
            </w:pPr>
            <w:r w:rsidRPr="006704FB">
              <w:rPr>
                <w:color w:val="FF0000"/>
                <w:sz w:val="22"/>
                <w:szCs w:val="22"/>
                <w:u w:val="single"/>
              </w:rPr>
              <w:t>E.7.6.4</w:t>
            </w:r>
            <w:r w:rsidRPr="006704FB">
              <w:rPr>
                <w:color w:val="FF0000"/>
                <w:sz w:val="22"/>
                <w:szCs w:val="22"/>
                <w:u w:val="single"/>
              </w:rPr>
              <w:tab/>
              <w:t xml:space="preserve">Where approval is granted </w:t>
            </w:r>
            <w:r>
              <w:rPr>
                <w:color w:val="FF0000"/>
                <w:sz w:val="22"/>
                <w:szCs w:val="22"/>
                <w:u w:val="single"/>
              </w:rPr>
              <w:t>by the Regulatory Authorities,</w:t>
            </w:r>
            <w:r w:rsidRPr="006704FB">
              <w:rPr>
                <w:color w:val="FF0000"/>
                <w:sz w:val="22"/>
                <w:szCs w:val="22"/>
                <w:u w:val="single"/>
              </w:rPr>
              <w:t xml:space="preserve"> the System Operators shall not reject an Application for Qualification for a Capacity Year for a proposed Capacity Market Unit comprising a combination of individual Candidate Units where the requirements of E.7.6.1 (e) and (</w:t>
            </w:r>
            <w:proofErr w:type="spellStart"/>
            <w:r w:rsidRPr="006704FB">
              <w:rPr>
                <w:color w:val="FF0000"/>
                <w:sz w:val="22"/>
                <w:szCs w:val="22"/>
                <w:u w:val="single"/>
              </w:rPr>
              <w:t>i</w:t>
            </w:r>
            <w:proofErr w:type="spellEnd"/>
            <w:r w:rsidRPr="006704FB">
              <w:rPr>
                <w:color w:val="FF0000"/>
                <w:sz w:val="22"/>
                <w:szCs w:val="22"/>
                <w:u w:val="single"/>
              </w:rPr>
              <w:t xml:space="preserve">) are not met.  </w:t>
            </w:r>
          </w:p>
          <w:p w:rsidR="00584447" w:rsidRDefault="00584447" w:rsidP="00584447">
            <w:pPr>
              <w:pStyle w:val="Default"/>
              <w:ind w:left="1080"/>
              <w:rPr>
                <w:sz w:val="22"/>
                <w:szCs w:val="22"/>
              </w:rPr>
            </w:pPr>
          </w:p>
          <w:p w:rsidR="00C22D11" w:rsidRPr="00CC3CFE" w:rsidDel="00404964" w:rsidRDefault="00C22D11" w:rsidP="004A7E23">
            <w:pPr>
              <w:overflowPunct/>
              <w:autoSpaceDE/>
              <w:autoSpaceDN/>
              <w:adjustRightInd/>
              <w:spacing w:before="120" w:after="120"/>
              <w:jc w:val="both"/>
              <w:textAlignment w:val="auto"/>
              <w:rPr>
                <w:sz w:val="16"/>
                <w:szCs w:val="16"/>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D957AC" w:rsidRDefault="00D957AC" w:rsidP="005D404A">
            <w:pPr>
              <w:pStyle w:val="Default"/>
              <w:jc w:val="both"/>
              <w:rPr>
                <w:sz w:val="22"/>
                <w:szCs w:val="22"/>
              </w:rPr>
            </w:pPr>
          </w:p>
          <w:p w:rsidR="007D083A" w:rsidRDefault="007D083A" w:rsidP="007D083A">
            <w:pPr>
              <w:pStyle w:val="Default"/>
              <w:jc w:val="both"/>
              <w:rPr>
                <w:sz w:val="22"/>
                <w:szCs w:val="22"/>
              </w:rPr>
            </w:pPr>
            <w:r>
              <w:rPr>
                <w:sz w:val="22"/>
                <w:szCs w:val="22"/>
              </w:rPr>
              <w:t xml:space="preserve">I-SEM and DS3 has been designed, to the consumer benefit, to encourage participants to reduce a unit’s </w:t>
            </w:r>
            <w:r w:rsidRPr="00875901">
              <w:rPr>
                <w:sz w:val="22"/>
                <w:szCs w:val="22"/>
              </w:rPr>
              <w:t>minimum generation</w:t>
            </w:r>
            <w:r>
              <w:rPr>
                <w:sz w:val="22"/>
                <w:szCs w:val="22"/>
              </w:rPr>
              <w:t xml:space="preserve"> level</w:t>
            </w:r>
            <w:r w:rsidRPr="00875901">
              <w:rPr>
                <w:sz w:val="22"/>
                <w:szCs w:val="22"/>
              </w:rPr>
              <w:t xml:space="preserve"> in order to reduce wind curtailment and to support the system at least cost.</w:t>
            </w:r>
            <w:r>
              <w:rPr>
                <w:sz w:val="22"/>
                <w:szCs w:val="22"/>
              </w:rPr>
              <w:t xml:space="preserve"> In the Capacity Market Code (CMC), the qualification of a capacity market unit is linked to the registration of units in the Balancing Market (BM) under the T&amp;SC. As a result, any participant with multiple units greater than the de-</w:t>
            </w:r>
            <w:proofErr w:type="spellStart"/>
            <w:r>
              <w:rPr>
                <w:sz w:val="22"/>
                <w:szCs w:val="22"/>
              </w:rPr>
              <w:t>minimis</w:t>
            </w:r>
            <w:proofErr w:type="spellEnd"/>
            <w:r>
              <w:rPr>
                <w:sz w:val="22"/>
                <w:szCs w:val="22"/>
              </w:rPr>
              <w:t xml:space="preserve"> threshold and on the same site are required to bid each unit separately into the auction. </w:t>
            </w:r>
          </w:p>
          <w:p w:rsidR="007C723F" w:rsidRDefault="007C723F" w:rsidP="007C723F">
            <w:pPr>
              <w:pStyle w:val="Default"/>
              <w:jc w:val="both"/>
              <w:rPr>
                <w:sz w:val="22"/>
                <w:szCs w:val="22"/>
              </w:rPr>
            </w:pPr>
          </w:p>
          <w:p w:rsidR="007C723F" w:rsidRDefault="007D083A" w:rsidP="007C723F">
            <w:pPr>
              <w:pStyle w:val="Default"/>
              <w:jc w:val="both"/>
              <w:rPr>
                <w:sz w:val="22"/>
                <w:szCs w:val="22"/>
              </w:rPr>
            </w:pPr>
            <w:r>
              <w:rPr>
                <w:sz w:val="22"/>
                <w:szCs w:val="22"/>
              </w:rPr>
              <w:t xml:space="preserve">Based on the experience gained from the CY 2018/19 auction, the implementation of this proposal should assist in the proportionate treatment of all participants when determining a plant’s Net Going Forward Costs. The current methodology prevents participants with plant structures that provide the System Operator with the necessary flexibility from ensuring the full cost recovery available to all other participants. </w:t>
            </w:r>
          </w:p>
          <w:p w:rsidR="007D083A" w:rsidRDefault="007D083A" w:rsidP="007C723F">
            <w:pPr>
              <w:pStyle w:val="Default"/>
              <w:jc w:val="both"/>
              <w:rPr>
                <w:sz w:val="22"/>
                <w:szCs w:val="22"/>
              </w:rPr>
            </w:pPr>
          </w:p>
          <w:p w:rsidR="00C4280A" w:rsidRDefault="00C4280A" w:rsidP="00C4280A">
            <w:pPr>
              <w:pStyle w:val="Default"/>
              <w:jc w:val="both"/>
              <w:rPr>
                <w:sz w:val="22"/>
                <w:szCs w:val="22"/>
              </w:rPr>
            </w:pPr>
            <w:r>
              <w:rPr>
                <w:sz w:val="22"/>
                <w:szCs w:val="22"/>
              </w:rPr>
              <w:t>This proposed modification would also lead to improve exit signals and the possible removal of regulatory intervention following the auction results. Rather than possible perverse auction results whe</w:t>
            </w:r>
            <w:r w:rsidR="009E6DC4">
              <w:rPr>
                <w:sz w:val="22"/>
                <w:szCs w:val="22"/>
              </w:rPr>
              <w:t>re</w:t>
            </w:r>
            <w:r>
              <w:rPr>
                <w:sz w:val="22"/>
                <w:szCs w:val="22"/>
              </w:rPr>
              <w:t xml:space="preserve"> one unit of a plant clears but the other doesn’t</w:t>
            </w:r>
            <w:r w:rsidR="009E6DC4">
              <w:rPr>
                <w:sz w:val="22"/>
                <w:szCs w:val="22"/>
              </w:rPr>
              <w:t>, the auction will be able to provide the necessary exit signal to the whole plant.</w:t>
            </w:r>
          </w:p>
          <w:p w:rsidR="00C4280A" w:rsidRDefault="00C4280A" w:rsidP="007C723F">
            <w:pPr>
              <w:pStyle w:val="Default"/>
              <w:jc w:val="both"/>
              <w:rPr>
                <w:sz w:val="22"/>
                <w:szCs w:val="22"/>
              </w:rPr>
            </w:pPr>
          </w:p>
          <w:p w:rsidR="007C723F" w:rsidRDefault="009E6DC4" w:rsidP="007C723F">
            <w:pPr>
              <w:pStyle w:val="Default"/>
              <w:jc w:val="both"/>
              <w:rPr>
                <w:sz w:val="22"/>
                <w:szCs w:val="22"/>
              </w:rPr>
            </w:pPr>
            <w:r>
              <w:rPr>
                <w:sz w:val="22"/>
                <w:szCs w:val="22"/>
              </w:rPr>
              <w:t xml:space="preserve">The increased system flexibility </w:t>
            </w:r>
            <w:r w:rsidR="00857693">
              <w:rPr>
                <w:sz w:val="22"/>
                <w:szCs w:val="22"/>
              </w:rPr>
              <w:t xml:space="preserve">provided through this modification </w:t>
            </w:r>
            <w:r>
              <w:rPr>
                <w:sz w:val="22"/>
                <w:szCs w:val="22"/>
              </w:rPr>
              <w:t>and</w:t>
            </w:r>
            <w:r w:rsidR="00857693">
              <w:rPr>
                <w:sz w:val="22"/>
                <w:szCs w:val="22"/>
              </w:rPr>
              <w:t xml:space="preserve"> the</w:t>
            </w:r>
            <w:r>
              <w:rPr>
                <w:sz w:val="22"/>
                <w:szCs w:val="22"/>
              </w:rPr>
              <w:t xml:space="preserve"> net social welfare calculations of the CRM auction, without the need for a Generation Plant Closure mitigation measure, should </w:t>
            </w:r>
            <w:r w:rsidR="00857693">
              <w:rPr>
                <w:sz w:val="22"/>
                <w:szCs w:val="22"/>
              </w:rPr>
              <w:t>improve</w:t>
            </w:r>
            <w:r>
              <w:rPr>
                <w:sz w:val="22"/>
                <w:szCs w:val="22"/>
              </w:rPr>
              <w:t xml:space="preserve"> the benefit </w:t>
            </w:r>
            <w:bookmarkStart w:id="0" w:name="_GoBack"/>
            <w:bookmarkEnd w:id="0"/>
            <w:r>
              <w:rPr>
                <w:sz w:val="22"/>
                <w:szCs w:val="22"/>
              </w:rPr>
              <w:t>to the consumer.</w:t>
            </w:r>
          </w:p>
          <w:p w:rsidR="00C22D11" w:rsidRPr="00AB28DB" w:rsidRDefault="00C22D11" w:rsidP="009E6DC4">
            <w:pPr>
              <w:pStyle w:val="Default"/>
              <w:jc w:val="both"/>
              <w:rPr>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98430A" w:rsidRDefault="0098430A" w:rsidP="005D404A">
            <w:pPr>
              <w:pStyle w:val="Default"/>
              <w:ind w:left="720"/>
              <w:jc w:val="both"/>
            </w:pPr>
            <w:r>
              <w:t>(b) to facilitate the efficient, economic and coordinated operation, administration and development of the Capacity Market and the provision of adequate future capacity in a financially secure manner;</w:t>
            </w:r>
          </w:p>
          <w:p w:rsidR="0098430A" w:rsidRDefault="0098430A" w:rsidP="005D404A">
            <w:pPr>
              <w:pStyle w:val="Default"/>
              <w:ind w:left="720"/>
              <w:jc w:val="both"/>
            </w:pPr>
            <w:r>
              <w:t>(d) to promote competition in the provision of electricity capacity to the SEM;</w:t>
            </w:r>
          </w:p>
          <w:p w:rsidR="00F76C97" w:rsidRDefault="0098430A" w:rsidP="005D404A">
            <w:pPr>
              <w:pStyle w:val="Default"/>
              <w:ind w:left="720"/>
              <w:jc w:val="both"/>
            </w:pPr>
            <w:r>
              <w:t>(g) through the development of the Capacity Market, to promote the short-term and long-term interests of consumers of electricity with respect to price, quality, reliability, and security of supply of electricity across the Island of Ireland.</w:t>
            </w:r>
          </w:p>
          <w:p w:rsidR="0098430A" w:rsidRPr="00AB28DB" w:rsidRDefault="0098430A" w:rsidP="0098430A">
            <w:pPr>
              <w:pStyle w:val="Default"/>
              <w:ind w:left="720"/>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F76C97" w:rsidRDefault="0027421E" w:rsidP="005D404A">
            <w:pPr>
              <w:jc w:val="both"/>
              <w:rPr>
                <w:rFonts w:ascii="Arial" w:hAnsi="Arial" w:cs="Arial"/>
                <w:sz w:val="22"/>
                <w:szCs w:val="22"/>
                <w:lang w:val="en-IE"/>
              </w:rPr>
            </w:pPr>
            <w:r>
              <w:rPr>
                <w:rFonts w:ascii="Arial" w:hAnsi="Arial" w:cs="Arial"/>
                <w:sz w:val="22"/>
                <w:szCs w:val="22"/>
                <w:lang w:val="en-IE"/>
              </w:rPr>
              <w:t xml:space="preserve">If this proposal is not implemented </w:t>
            </w:r>
            <w:r w:rsidR="00857693">
              <w:rPr>
                <w:rFonts w:ascii="Arial" w:hAnsi="Arial" w:cs="Arial"/>
                <w:sz w:val="22"/>
                <w:szCs w:val="22"/>
                <w:lang w:val="en-IE"/>
              </w:rPr>
              <w:t xml:space="preserve">market participants that can offer flexibility to the system operator are discriminated against and </w:t>
            </w:r>
            <w:r>
              <w:rPr>
                <w:rFonts w:ascii="Arial" w:hAnsi="Arial" w:cs="Arial"/>
                <w:sz w:val="22"/>
                <w:szCs w:val="22"/>
                <w:lang w:val="en-IE"/>
              </w:rPr>
              <w:t>the possibility of inefficient auction results still exists</w:t>
            </w:r>
            <w:r w:rsidR="00382F42">
              <w:rPr>
                <w:rFonts w:ascii="Arial" w:hAnsi="Arial" w:cs="Arial"/>
                <w:sz w:val="22"/>
                <w:szCs w:val="22"/>
                <w:lang w:val="en-IE"/>
              </w:rPr>
              <w:t>.</w:t>
            </w:r>
            <w:r>
              <w:rPr>
                <w:rFonts w:ascii="Arial" w:hAnsi="Arial" w:cs="Arial"/>
                <w:sz w:val="22"/>
                <w:szCs w:val="22"/>
                <w:lang w:val="en-IE"/>
              </w:rPr>
              <w:t xml:space="preserve"> </w:t>
            </w:r>
          </w:p>
          <w:p w:rsidR="0027421E" w:rsidRPr="003B7AB6" w:rsidRDefault="0027421E" w:rsidP="003A05C7">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98430A" w:rsidP="00C829A3">
            <w:pPr>
              <w:pStyle w:val="Default"/>
              <w:rPr>
                <w:rFonts w:ascii="Calibri" w:hAnsi="Calibri"/>
                <w:lang w:val="en-IE"/>
              </w:rPr>
            </w:pPr>
            <w:r>
              <w:rPr>
                <w:rFonts w:ascii="Calibri" w:hAnsi="Calibri"/>
                <w:lang w:val="en-IE"/>
              </w:rPr>
              <w:t xml:space="preserve">No impact on systems, resources, processes or procedures for either market participants or SEMO. </w:t>
            </w:r>
          </w:p>
        </w:tc>
      </w:tr>
      <w:tr w:rsidR="00C22D11" w:rsidRPr="004C53E7" w:rsidTr="0013032E">
        <w:tc>
          <w:tcPr>
            <w:tcW w:w="9450" w:type="dxa"/>
            <w:gridSpan w:val="6"/>
            <w:vAlign w:val="center"/>
          </w:tcPr>
          <w:p w:rsidR="00C22D11" w:rsidRPr="004C53E7" w:rsidRDefault="00C22D11" w:rsidP="00D27C2C">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1" w:history="1">
              <w:r w:rsidR="00D27C2C">
                <w:rPr>
                  <w:rStyle w:val="Hyperlink"/>
                  <w:lang w:val="en-US"/>
                </w:rPr>
                <w:t>modifications@sem-o.com</w:t>
              </w:r>
            </w:hyperlink>
            <w:r w:rsidR="00D27C2C" w:rsidRPr="009342A5" w:rsidDel="00D27C2C">
              <w:rPr>
                <w:rFonts w:ascii="Calibri" w:hAnsi="Calibri" w:cs="Arial"/>
                <w:b/>
                <w:bCs/>
                <w:i/>
                <w:iCs/>
                <w:lang w:val="en-IE"/>
              </w:rPr>
              <w:t xml:space="preserve"> </w:t>
            </w:r>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r w:rsidR="001D644E">
        <w:rPr>
          <w:rFonts w:ascii="Arial" w:hAnsi="Arial" w:cs="Arial"/>
          <w:b/>
          <w:sz w:val="16"/>
          <w:szCs w:val="16"/>
          <w:lang w:val="en-US" w:eastAsia="en-US"/>
        </w:rPr>
        <w:t>Regulatory Authorities</w:t>
      </w:r>
      <w:r w:rsidRPr="004C53E7">
        <w:rPr>
          <w:rFonts w:ascii="Arial" w:hAnsi="Arial" w:cs="Arial"/>
          <w:b/>
          <w:sz w:val="16"/>
          <w:szCs w:val="16"/>
          <w:lang w:val="en-US" w:eastAsia="en-US"/>
        </w:rPr>
        <w:t>.</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1D644E" w:rsidP="004C53E7">
      <w:pPr>
        <w:ind w:left="2880" w:hanging="2160"/>
        <w:jc w:val="both"/>
        <w:rPr>
          <w:rFonts w:ascii="Arial" w:hAnsi="Arial" w:cs="Arial"/>
          <w:b/>
          <w:sz w:val="16"/>
          <w:szCs w:val="16"/>
          <w:lang w:val="en-IE"/>
        </w:rPr>
      </w:pPr>
      <w:r>
        <w:rPr>
          <w:rFonts w:ascii="Arial" w:hAnsi="Arial" w:cs="Arial"/>
          <w:b/>
          <w:sz w:val="16"/>
          <w:szCs w:val="16"/>
          <w:lang w:val="en-IE"/>
        </w:rPr>
        <w:t>CMC</w:t>
      </w:r>
      <w:r w:rsidR="004C53E7" w:rsidRPr="004C53E7">
        <w:rPr>
          <w:rFonts w:ascii="Arial" w:hAnsi="Arial" w:cs="Arial"/>
          <w:b/>
          <w:sz w:val="16"/>
          <w:szCs w:val="16"/>
          <w:lang w:val="en-IE"/>
        </w:rPr>
        <w:t xml:space="preserve"> / Code:</w:t>
      </w:r>
      <w:r w:rsidR="004C53E7" w:rsidRPr="004C53E7">
        <w:rPr>
          <w:rFonts w:ascii="Arial" w:hAnsi="Arial" w:cs="Arial"/>
          <w:b/>
          <w:sz w:val="16"/>
          <w:szCs w:val="16"/>
          <w:lang w:val="en-IE"/>
        </w:rPr>
        <w:tab/>
        <w:t xml:space="preserve">means the </w:t>
      </w:r>
      <w:r>
        <w:rPr>
          <w:rFonts w:ascii="Arial" w:hAnsi="Arial" w:cs="Arial"/>
          <w:b/>
          <w:sz w:val="16"/>
          <w:szCs w:val="16"/>
          <w:lang w:val="en-IE"/>
        </w:rPr>
        <w:t xml:space="preserve">Capacity Market </w:t>
      </w:r>
      <w:r w:rsidR="004C53E7" w:rsidRPr="004C53E7">
        <w:rPr>
          <w:rFonts w:ascii="Arial" w:hAnsi="Arial" w:cs="Arial"/>
          <w:b/>
          <w:sz w:val="16"/>
          <w:szCs w:val="16"/>
          <w:lang w:val="en-IE"/>
        </w:rPr>
        <w:t>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consideration for the right to submit, and have the Modification Proposal assessed in accordance with the terms of Section </w:t>
      </w:r>
      <w:r w:rsidR="001D644E">
        <w:rPr>
          <w:rFonts w:ascii="Arial" w:hAnsi="Arial" w:cs="Arial"/>
          <w:b/>
          <w:sz w:val="16"/>
          <w:szCs w:val="16"/>
          <w:lang w:val="en-IE"/>
        </w:rPr>
        <w:t>B.1</w:t>
      </w:r>
      <w:r w:rsidRPr="004C53E7">
        <w:rPr>
          <w:rFonts w:ascii="Arial" w:hAnsi="Arial" w:cs="Arial"/>
          <w:b/>
          <w:sz w:val="16"/>
          <w:szCs w:val="16"/>
          <w:lang w:val="en-IE"/>
        </w:rPr>
        <w:t>2 of the Code,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1BF" w:rsidRDefault="00EC61BF" w:rsidP="00C860AB">
      <w:r>
        <w:separator/>
      </w:r>
    </w:p>
  </w:endnote>
  <w:endnote w:type="continuationSeparator" w:id="0">
    <w:p w:rsidR="00EC61BF" w:rsidRDefault="00EC61BF" w:rsidP="00C86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1BF" w:rsidRDefault="00EC61BF" w:rsidP="00C860AB">
      <w:r>
        <w:separator/>
      </w:r>
    </w:p>
  </w:footnote>
  <w:footnote w:type="continuationSeparator" w:id="0">
    <w:p w:rsidR="00EC61BF" w:rsidRDefault="00EC61BF" w:rsidP="00C86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1C0561">
    <w:pPr>
      <w:pStyle w:val="Header"/>
    </w:pPr>
    <w:r w:rsidRPr="001C056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5"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1C0561">
    <w:pPr>
      <w:pStyle w:val="Header"/>
    </w:pPr>
    <w:r w:rsidRPr="001C056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6"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1C0561">
    <w:pPr>
      <w:pStyle w:val="Header"/>
    </w:pPr>
    <w:r w:rsidRPr="001C056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4"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B5764A"/>
    <w:multiLevelType w:val="hybridMultilevel"/>
    <w:tmpl w:val="B2DE7426"/>
    <w:lvl w:ilvl="0" w:tplc="0809000F">
      <w:start w:val="1"/>
      <w:numFmt w:val="lowerLetter"/>
      <w:lvlText w:val="(%1)"/>
      <w:lvlJc w:val="left"/>
      <w:pPr>
        <w:ind w:left="1800" w:hanging="360"/>
      </w:pPr>
      <w:rPr>
        <w:rFonts w:cs="Times New Roman"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811F66"/>
    <w:multiLevelType w:val="hybridMultilevel"/>
    <w:tmpl w:val="D6C4C85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3AD28DB"/>
    <w:multiLevelType w:val="hybridMultilevel"/>
    <w:tmpl w:val="4BB25052"/>
    <w:lvl w:ilvl="0" w:tplc="0809000F">
      <w:start w:val="1"/>
      <w:numFmt w:val="lowerLetter"/>
      <w:lvlText w:val="(%1)"/>
      <w:lvlJc w:val="left"/>
      <w:pPr>
        <w:ind w:left="1800" w:hanging="360"/>
      </w:pPr>
      <w:rPr>
        <w:rFonts w:cs="Times New Roman" w:hint="default"/>
      </w:rPr>
    </w:lvl>
    <w:lvl w:ilvl="1" w:tplc="1809001B">
      <w:start w:val="1"/>
      <w:numFmt w:val="lowerRoman"/>
      <w:lvlText w:val="%2."/>
      <w:lvlJc w:val="righ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6">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6"/>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7"/>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 w:numId="40">
    <w:abstractNumId w:val="25"/>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C53E7"/>
    <w:rsid w:val="00004131"/>
    <w:rsid w:val="000069DF"/>
    <w:rsid w:val="00025FCD"/>
    <w:rsid w:val="00056CDC"/>
    <w:rsid w:val="00062790"/>
    <w:rsid w:val="000720C6"/>
    <w:rsid w:val="00072793"/>
    <w:rsid w:val="00076DF3"/>
    <w:rsid w:val="00081256"/>
    <w:rsid w:val="000817DF"/>
    <w:rsid w:val="00082EAE"/>
    <w:rsid w:val="000C6B63"/>
    <w:rsid w:val="000E5490"/>
    <w:rsid w:val="000F6EF1"/>
    <w:rsid w:val="00110230"/>
    <w:rsid w:val="0013032E"/>
    <w:rsid w:val="001424CE"/>
    <w:rsid w:val="001532AD"/>
    <w:rsid w:val="001555EE"/>
    <w:rsid w:val="00174C7B"/>
    <w:rsid w:val="00191094"/>
    <w:rsid w:val="001967E0"/>
    <w:rsid w:val="001A2C80"/>
    <w:rsid w:val="001B5EE4"/>
    <w:rsid w:val="001C0561"/>
    <w:rsid w:val="001D5C1B"/>
    <w:rsid w:val="001D644E"/>
    <w:rsid w:val="002012B7"/>
    <w:rsid w:val="0020667F"/>
    <w:rsid w:val="00214CD4"/>
    <w:rsid w:val="002266C3"/>
    <w:rsid w:val="00232F6F"/>
    <w:rsid w:val="002353FD"/>
    <w:rsid w:val="00247A39"/>
    <w:rsid w:val="002608C9"/>
    <w:rsid w:val="0026274E"/>
    <w:rsid w:val="00271BC3"/>
    <w:rsid w:val="0027421E"/>
    <w:rsid w:val="002758CF"/>
    <w:rsid w:val="00280203"/>
    <w:rsid w:val="002B193D"/>
    <w:rsid w:val="002B7AF4"/>
    <w:rsid w:val="003217E4"/>
    <w:rsid w:val="00323C46"/>
    <w:rsid w:val="00335311"/>
    <w:rsid w:val="00355080"/>
    <w:rsid w:val="00356516"/>
    <w:rsid w:val="00361C16"/>
    <w:rsid w:val="0037296D"/>
    <w:rsid w:val="00382F42"/>
    <w:rsid w:val="00387A60"/>
    <w:rsid w:val="003A05C7"/>
    <w:rsid w:val="003A2A7C"/>
    <w:rsid w:val="003A7DB8"/>
    <w:rsid w:val="003B7AB6"/>
    <w:rsid w:val="003F2803"/>
    <w:rsid w:val="003F58EF"/>
    <w:rsid w:val="00403843"/>
    <w:rsid w:val="004169DD"/>
    <w:rsid w:val="00416C0B"/>
    <w:rsid w:val="00420161"/>
    <w:rsid w:val="00431400"/>
    <w:rsid w:val="00437DF2"/>
    <w:rsid w:val="004665F9"/>
    <w:rsid w:val="004854B5"/>
    <w:rsid w:val="004A38DC"/>
    <w:rsid w:val="004A7E23"/>
    <w:rsid w:val="004C53E7"/>
    <w:rsid w:val="004E4830"/>
    <w:rsid w:val="004E55C1"/>
    <w:rsid w:val="00511F29"/>
    <w:rsid w:val="00563421"/>
    <w:rsid w:val="00573228"/>
    <w:rsid w:val="00584447"/>
    <w:rsid w:val="005B0118"/>
    <w:rsid w:val="005C1FF8"/>
    <w:rsid w:val="005C29F7"/>
    <w:rsid w:val="005D404A"/>
    <w:rsid w:val="005F53BC"/>
    <w:rsid w:val="005F5958"/>
    <w:rsid w:val="00602862"/>
    <w:rsid w:val="0063249B"/>
    <w:rsid w:val="00650489"/>
    <w:rsid w:val="006704FB"/>
    <w:rsid w:val="00676D2F"/>
    <w:rsid w:val="00677D2C"/>
    <w:rsid w:val="00690E9A"/>
    <w:rsid w:val="006A0219"/>
    <w:rsid w:val="006A1D4D"/>
    <w:rsid w:val="006D7948"/>
    <w:rsid w:val="006E3E44"/>
    <w:rsid w:val="0072182B"/>
    <w:rsid w:val="00730238"/>
    <w:rsid w:val="00734A88"/>
    <w:rsid w:val="0073583F"/>
    <w:rsid w:val="0076195F"/>
    <w:rsid w:val="00763729"/>
    <w:rsid w:val="007716BA"/>
    <w:rsid w:val="00786F27"/>
    <w:rsid w:val="00793BD3"/>
    <w:rsid w:val="007C723F"/>
    <w:rsid w:val="007D083A"/>
    <w:rsid w:val="0081044D"/>
    <w:rsid w:val="00817BEB"/>
    <w:rsid w:val="00833BDA"/>
    <w:rsid w:val="00835611"/>
    <w:rsid w:val="008423F6"/>
    <w:rsid w:val="00857693"/>
    <w:rsid w:val="00870EA6"/>
    <w:rsid w:val="00875901"/>
    <w:rsid w:val="008816B1"/>
    <w:rsid w:val="00895697"/>
    <w:rsid w:val="008F1E63"/>
    <w:rsid w:val="008F38E6"/>
    <w:rsid w:val="009342A5"/>
    <w:rsid w:val="0095122C"/>
    <w:rsid w:val="0095163E"/>
    <w:rsid w:val="00964E56"/>
    <w:rsid w:val="00975043"/>
    <w:rsid w:val="0098430A"/>
    <w:rsid w:val="009B1598"/>
    <w:rsid w:val="009D3A00"/>
    <w:rsid w:val="009D610D"/>
    <w:rsid w:val="009D6CC2"/>
    <w:rsid w:val="009E6DC4"/>
    <w:rsid w:val="009E7254"/>
    <w:rsid w:val="009F7750"/>
    <w:rsid w:val="00A07C83"/>
    <w:rsid w:val="00A45A2A"/>
    <w:rsid w:val="00A6375B"/>
    <w:rsid w:val="00AA6274"/>
    <w:rsid w:val="00AB28DB"/>
    <w:rsid w:val="00AC7EA2"/>
    <w:rsid w:val="00AF6789"/>
    <w:rsid w:val="00B008BD"/>
    <w:rsid w:val="00B23BA5"/>
    <w:rsid w:val="00B334BA"/>
    <w:rsid w:val="00B45252"/>
    <w:rsid w:val="00B67EEA"/>
    <w:rsid w:val="00B94C60"/>
    <w:rsid w:val="00BC24D9"/>
    <w:rsid w:val="00BD00A2"/>
    <w:rsid w:val="00BF18CB"/>
    <w:rsid w:val="00BF6E83"/>
    <w:rsid w:val="00C00A34"/>
    <w:rsid w:val="00C20112"/>
    <w:rsid w:val="00C22D11"/>
    <w:rsid w:val="00C2443E"/>
    <w:rsid w:val="00C4280A"/>
    <w:rsid w:val="00C54F16"/>
    <w:rsid w:val="00C6315C"/>
    <w:rsid w:val="00C65D31"/>
    <w:rsid w:val="00C6689F"/>
    <w:rsid w:val="00C800B7"/>
    <w:rsid w:val="00C829A3"/>
    <w:rsid w:val="00C860AB"/>
    <w:rsid w:val="00CC3CFE"/>
    <w:rsid w:val="00CC4C3F"/>
    <w:rsid w:val="00CD6B5D"/>
    <w:rsid w:val="00CE0A06"/>
    <w:rsid w:val="00CF45E5"/>
    <w:rsid w:val="00D04DB5"/>
    <w:rsid w:val="00D05D5A"/>
    <w:rsid w:val="00D0632D"/>
    <w:rsid w:val="00D1310C"/>
    <w:rsid w:val="00D14542"/>
    <w:rsid w:val="00D26AAD"/>
    <w:rsid w:val="00D27C2C"/>
    <w:rsid w:val="00D609C2"/>
    <w:rsid w:val="00D7647F"/>
    <w:rsid w:val="00D957AC"/>
    <w:rsid w:val="00DA2986"/>
    <w:rsid w:val="00DA68F2"/>
    <w:rsid w:val="00DC18CC"/>
    <w:rsid w:val="00DE2FA8"/>
    <w:rsid w:val="00E04560"/>
    <w:rsid w:val="00E06E1E"/>
    <w:rsid w:val="00E308DB"/>
    <w:rsid w:val="00E51505"/>
    <w:rsid w:val="00E57007"/>
    <w:rsid w:val="00E61E89"/>
    <w:rsid w:val="00E65042"/>
    <w:rsid w:val="00E67D4D"/>
    <w:rsid w:val="00E71E68"/>
    <w:rsid w:val="00E72840"/>
    <w:rsid w:val="00EA47F7"/>
    <w:rsid w:val="00EC45AF"/>
    <w:rsid w:val="00EC61BF"/>
    <w:rsid w:val="00ED2A8D"/>
    <w:rsid w:val="00EE29DA"/>
    <w:rsid w:val="00EE2B7C"/>
    <w:rsid w:val="00EE6684"/>
    <w:rsid w:val="00EF11D6"/>
    <w:rsid w:val="00EF45C0"/>
    <w:rsid w:val="00F03178"/>
    <w:rsid w:val="00F2139A"/>
    <w:rsid w:val="00F32D7C"/>
    <w:rsid w:val="00F351B7"/>
    <w:rsid w:val="00F4688B"/>
    <w:rsid w:val="00F52394"/>
    <w:rsid w:val="00F6081E"/>
    <w:rsid w:val="00F708C5"/>
    <w:rsid w:val="00F7547A"/>
    <w:rsid w:val="00F76C97"/>
    <w:rsid w:val="00F77CE0"/>
    <w:rsid w:val="00F93737"/>
    <w:rsid w:val="00F94C19"/>
    <w:rsid w:val="00F952F4"/>
    <w:rsid w:val="00F954C9"/>
    <w:rsid w:val="00FA4316"/>
    <w:rsid w:val="00FC5FCD"/>
    <w:rsid w:val="00FD5C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DFAFFCE-E07F-4ADD-B86C-72FC1C2AEECE}"/>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428E5BFF-CF37-4339-9199-A023C46B7481}"/>
</file>

<file path=docProps/app.xml><?xml version="1.0" encoding="utf-8"?>
<Properties xmlns="http://schemas.openxmlformats.org/officeDocument/2006/extended-properties" xmlns:vt="http://schemas.openxmlformats.org/officeDocument/2006/docPropsVTypes">
  <Template>Normal</Template>
  <TotalTime>87</TotalTime>
  <Pages>4</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Market Code Modification Proposal</dc:title>
  <dc:creator>aodonnell</dc:creator>
  <dc:description/>
  <cp:lastModifiedBy>eblair</cp:lastModifiedBy>
  <cp:revision>7</cp:revision>
  <cp:lastPrinted>2018-04-24T14:00:00Z</cp:lastPrinted>
  <dcterms:created xsi:type="dcterms:W3CDTF">2018-04-24T13:59:00Z</dcterms:created>
  <dcterms:modified xsi:type="dcterms:W3CDTF">2018-04-27T12:33:00Z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y fmtid="{D5CDD505-2E9C-101B-9397-08002B2CF9AE}" pid="15" name="MMTID">
    <vt:lpwstr>1221</vt:lpwstr>
  </property>
  <property fmtid="{D5CDD505-2E9C-101B-9397-08002B2CF9AE}" pid="16" name="ModID">
    <vt:lpwstr>646</vt:lpwstr>
  </property>
  <property fmtid="{D5CDD505-2E9C-101B-9397-08002B2CF9AE}" pid="17" name="FromMMT">
    <vt:lpwstr>true</vt:lpwstr>
  </property>
</Properties>
</file>