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491" w:rsidRDefault="00C97491"/>
    <w:p w:rsidR="007D05A3" w:rsidRDefault="007D05A3" w:rsidP="007D05A3"/>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855"/>
        <w:gridCol w:w="1678"/>
        <w:gridCol w:w="1247"/>
        <w:gridCol w:w="1064"/>
        <w:gridCol w:w="2311"/>
      </w:tblGrid>
      <w:tr w:rsidR="007D05A3" w:rsidRPr="004C53E7" w:rsidTr="00340DC6">
        <w:tc>
          <w:tcPr>
            <w:tcW w:w="9243" w:type="dxa"/>
            <w:gridSpan w:val="6"/>
            <w:shd w:val="clear" w:color="auto" w:fill="548DD4"/>
            <w:vAlign w:val="center"/>
          </w:tcPr>
          <w:p w:rsidR="007D05A3" w:rsidRPr="004C53E7" w:rsidRDefault="007D05A3" w:rsidP="00340DC6">
            <w:pPr>
              <w:jc w:val="center"/>
              <w:rPr>
                <w:rFonts w:ascii="Calibri" w:hAnsi="Calibri" w:cs="Arial"/>
                <w:lang w:val="en-IE"/>
              </w:rPr>
            </w:pPr>
          </w:p>
          <w:p w:rsidR="007D05A3" w:rsidRPr="004C53E7" w:rsidRDefault="007D05A3" w:rsidP="00340DC6">
            <w:pPr>
              <w:jc w:val="center"/>
              <w:rPr>
                <w:rFonts w:ascii="Calibri" w:hAnsi="Calibri" w:cs="Arial"/>
                <w:lang w:val="en-IE"/>
              </w:rPr>
            </w:pPr>
            <w:r w:rsidRPr="004C53E7">
              <w:rPr>
                <w:rFonts w:ascii="Calibri" w:hAnsi="Calibri" w:cs="Arial"/>
                <w:b/>
                <w:lang w:val="en-IE"/>
              </w:rPr>
              <w:t>MODIFICATION PROPOSAL FORM</w:t>
            </w:r>
          </w:p>
          <w:p w:rsidR="007D05A3" w:rsidRPr="004C53E7" w:rsidRDefault="007D05A3" w:rsidP="00340DC6">
            <w:pPr>
              <w:jc w:val="center"/>
              <w:rPr>
                <w:rFonts w:ascii="Calibri" w:hAnsi="Calibri" w:cs="Arial"/>
                <w:lang w:val="en-IE"/>
              </w:rPr>
            </w:pPr>
          </w:p>
        </w:tc>
      </w:tr>
      <w:tr w:rsidR="007D05A3" w:rsidRPr="004C53E7" w:rsidTr="00340DC6">
        <w:tc>
          <w:tcPr>
            <w:tcW w:w="2088" w:type="dxa"/>
            <w:vAlign w:val="center"/>
          </w:tcPr>
          <w:p w:rsidR="007D05A3" w:rsidRPr="004C53E7" w:rsidRDefault="007D05A3" w:rsidP="00340DC6">
            <w:pPr>
              <w:jc w:val="center"/>
              <w:rPr>
                <w:rFonts w:ascii="Arial" w:hAnsi="Arial" w:cs="Arial"/>
                <w:b/>
                <w:bCs/>
                <w:sz w:val="18"/>
                <w:szCs w:val="18"/>
                <w:lang w:val="en-IE"/>
              </w:rPr>
            </w:pPr>
            <w:r w:rsidRPr="004C53E7">
              <w:rPr>
                <w:rFonts w:ascii="Arial" w:hAnsi="Arial" w:cs="Arial"/>
                <w:b/>
                <w:bCs/>
                <w:sz w:val="18"/>
                <w:szCs w:val="18"/>
                <w:lang w:val="en-IE"/>
              </w:rPr>
              <w:t>Proposer</w:t>
            </w:r>
          </w:p>
          <w:p w:rsidR="007D05A3" w:rsidRPr="004C53E7" w:rsidRDefault="007D05A3" w:rsidP="00340DC6">
            <w:pPr>
              <w:jc w:val="center"/>
              <w:rPr>
                <w:rFonts w:ascii="Arial" w:hAnsi="Arial" w:cs="Arial"/>
                <w:sz w:val="18"/>
                <w:szCs w:val="18"/>
                <w:lang w:val="en-IE"/>
              </w:rPr>
            </w:pPr>
          </w:p>
        </w:tc>
        <w:tc>
          <w:tcPr>
            <w:tcW w:w="2533" w:type="dxa"/>
            <w:gridSpan w:val="2"/>
            <w:vAlign w:val="center"/>
          </w:tcPr>
          <w:p w:rsidR="007D05A3" w:rsidRPr="004C53E7" w:rsidRDefault="007D05A3" w:rsidP="00340DC6">
            <w:pPr>
              <w:jc w:val="center"/>
              <w:rPr>
                <w:rFonts w:ascii="Calibri" w:hAnsi="Calibri" w:cs="Arial"/>
                <w:b/>
                <w:bCs/>
                <w:lang w:val="en-IE"/>
              </w:rPr>
            </w:pPr>
            <w:r w:rsidRPr="004C53E7">
              <w:rPr>
                <w:rFonts w:ascii="Calibri" w:hAnsi="Calibri" w:cs="Arial"/>
                <w:b/>
                <w:bCs/>
                <w:lang w:val="en-IE"/>
              </w:rPr>
              <w:t>Date of receipt</w:t>
            </w:r>
          </w:p>
          <w:p w:rsidR="007D05A3" w:rsidRPr="004C53E7" w:rsidRDefault="007D05A3" w:rsidP="00340DC6">
            <w:pPr>
              <w:jc w:val="center"/>
              <w:rPr>
                <w:rFonts w:ascii="Calibri" w:hAnsi="Calibri" w:cs="Arial"/>
                <w:lang w:val="en-IE"/>
              </w:rPr>
            </w:pPr>
          </w:p>
        </w:tc>
        <w:tc>
          <w:tcPr>
            <w:tcW w:w="2311" w:type="dxa"/>
            <w:gridSpan w:val="2"/>
            <w:vAlign w:val="center"/>
          </w:tcPr>
          <w:p w:rsidR="007D05A3" w:rsidRPr="004C53E7" w:rsidRDefault="007D05A3" w:rsidP="00340DC6">
            <w:pPr>
              <w:jc w:val="center"/>
              <w:rPr>
                <w:rFonts w:ascii="Calibri" w:hAnsi="Calibri" w:cs="Arial"/>
                <w:b/>
                <w:bCs/>
                <w:lang w:val="en-IE"/>
              </w:rPr>
            </w:pPr>
            <w:r w:rsidRPr="004C53E7">
              <w:rPr>
                <w:rFonts w:ascii="Calibri" w:hAnsi="Calibri" w:cs="Arial"/>
                <w:b/>
                <w:bCs/>
                <w:lang w:val="en-IE"/>
              </w:rPr>
              <w:t>Type of Proposal</w:t>
            </w:r>
          </w:p>
          <w:p w:rsidR="007D05A3" w:rsidRPr="004C53E7" w:rsidRDefault="007D05A3" w:rsidP="00340DC6">
            <w:pPr>
              <w:jc w:val="center"/>
              <w:rPr>
                <w:rFonts w:ascii="Calibri" w:hAnsi="Calibri" w:cs="Arial"/>
                <w:lang w:val="en-IE"/>
              </w:rPr>
            </w:pPr>
          </w:p>
        </w:tc>
        <w:tc>
          <w:tcPr>
            <w:tcW w:w="2311" w:type="dxa"/>
            <w:vAlign w:val="center"/>
          </w:tcPr>
          <w:p w:rsidR="007D05A3" w:rsidRPr="004C53E7" w:rsidRDefault="007D05A3" w:rsidP="00340DC6">
            <w:pPr>
              <w:jc w:val="center"/>
              <w:rPr>
                <w:rFonts w:ascii="Calibri" w:hAnsi="Calibri" w:cs="Arial"/>
                <w:color w:val="000000"/>
                <w:lang w:val="en-IE"/>
              </w:rPr>
            </w:pPr>
            <w:r w:rsidRPr="004C53E7">
              <w:rPr>
                <w:rFonts w:ascii="Calibri" w:hAnsi="Calibri" w:cs="Arial"/>
                <w:b/>
                <w:bCs/>
                <w:color w:val="000000"/>
                <w:lang w:val="en-IE"/>
              </w:rPr>
              <w:t>Modification Proposal ID</w:t>
            </w:r>
          </w:p>
          <w:p w:rsidR="007D05A3" w:rsidRPr="004C53E7" w:rsidRDefault="007D05A3" w:rsidP="00340DC6">
            <w:pPr>
              <w:jc w:val="center"/>
              <w:rPr>
                <w:rFonts w:ascii="Calibri" w:hAnsi="Calibri" w:cs="Arial"/>
                <w:lang w:val="en-IE"/>
              </w:rPr>
            </w:pPr>
          </w:p>
        </w:tc>
      </w:tr>
      <w:tr w:rsidR="007D05A3" w:rsidRPr="004C53E7" w:rsidTr="00340DC6">
        <w:tc>
          <w:tcPr>
            <w:tcW w:w="2088" w:type="dxa"/>
            <w:vAlign w:val="center"/>
          </w:tcPr>
          <w:p w:rsidR="007D05A3" w:rsidRPr="004C53E7" w:rsidRDefault="00D23B1F" w:rsidP="00340DC6">
            <w:pPr>
              <w:jc w:val="center"/>
              <w:rPr>
                <w:rFonts w:ascii="Calibri" w:hAnsi="Calibri" w:cs="Arial"/>
                <w:b/>
                <w:lang w:val="en-IE"/>
              </w:rPr>
            </w:pPr>
            <w:r>
              <w:rPr>
                <w:rFonts w:ascii="Calibri" w:hAnsi="Calibri" w:cs="Arial"/>
                <w:b/>
                <w:lang w:val="en-IE"/>
              </w:rPr>
              <w:t>SEMO</w:t>
            </w:r>
          </w:p>
        </w:tc>
        <w:tc>
          <w:tcPr>
            <w:tcW w:w="2533" w:type="dxa"/>
            <w:gridSpan w:val="2"/>
            <w:vAlign w:val="center"/>
          </w:tcPr>
          <w:p w:rsidR="007D05A3" w:rsidRPr="004C53E7" w:rsidRDefault="00EF2A3A" w:rsidP="00340DC6">
            <w:pPr>
              <w:jc w:val="center"/>
              <w:rPr>
                <w:rFonts w:ascii="Calibri" w:hAnsi="Calibri" w:cs="Arial"/>
                <w:b/>
                <w:lang w:val="en-IE"/>
              </w:rPr>
            </w:pPr>
            <w:r>
              <w:rPr>
                <w:rFonts w:ascii="Calibri" w:hAnsi="Calibri" w:cs="Arial"/>
                <w:b/>
                <w:lang w:val="en-IE"/>
              </w:rPr>
              <w:t>22 January 2014</w:t>
            </w:r>
          </w:p>
        </w:tc>
        <w:tc>
          <w:tcPr>
            <w:tcW w:w="2311" w:type="dxa"/>
            <w:gridSpan w:val="2"/>
            <w:vAlign w:val="center"/>
          </w:tcPr>
          <w:p w:rsidR="007D05A3" w:rsidRPr="004C53E7" w:rsidRDefault="00001C50" w:rsidP="00340DC6">
            <w:pPr>
              <w:jc w:val="center"/>
              <w:rPr>
                <w:rFonts w:ascii="Calibri" w:hAnsi="Calibri" w:cs="Arial"/>
                <w:b/>
                <w:lang w:val="en-IE"/>
              </w:rPr>
            </w:pPr>
            <w:r>
              <w:rPr>
                <w:rFonts w:ascii="Calibri" w:hAnsi="Calibri" w:cs="Arial"/>
                <w:b/>
                <w:lang w:val="en-IE"/>
              </w:rPr>
              <w:t>Standard</w:t>
            </w:r>
          </w:p>
          <w:p w:rsidR="007D05A3" w:rsidRPr="004C53E7" w:rsidRDefault="007D05A3" w:rsidP="00340DC6">
            <w:pPr>
              <w:jc w:val="center"/>
              <w:rPr>
                <w:rFonts w:ascii="Calibri" w:hAnsi="Calibri" w:cs="Arial"/>
                <w:b/>
                <w:lang w:val="en-IE"/>
              </w:rPr>
            </w:pPr>
          </w:p>
        </w:tc>
        <w:tc>
          <w:tcPr>
            <w:tcW w:w="2311" w:type="dxa"/>
            <w:vAlign w:val="center"/>
          </w:tcPr>
          <w:p w:rsidR="007D05A3" w:rsidRPr="004C53E7" w:rsidRDefault="00EF2A3A" w:rsidP="008E2A79">
            <w:pPr>
              <w:jc w:val="center"/>
              <w:rPr>
                <w:rFonts w:ascii="Calibri" w:hAnsi="Calibri" w:cs="Arial"/>
                <w:b/>
                <w:lang w:val="en-IE"/>
              </w:rPr>
            </w:pPr>
            <w:r>
              <w:rPr>
                <w:rFonts w:ascii="Calibri" w:hAnsi="Calibri" w:cs="Arial"/>
                <w:b/>
                <w:lang w:val="en-IE"/>
              </w:rPr>
              <w:t>Mod_</w:t>
            </w:r>
            <w:r w:rsidR="008E2A79">
              <w:rPr>
                <w:rFonts w:ascii="Calibri" w:hAnsi="Calibri" w:cs="Arial"/>
                <w:b/>
                <w:lang w:val="en-IE"/>
              </w:rPr>
              <w:t>01_14</w:t>
            </w:r>
          </w:p>
        </w:tc>
      </w:tr>
      <w:tr w:rsidR="007D05A3" w:rsidRPr="004C53E7" w:rsidTr="00340DC6">
        <w:trPr>
          <w:trHeight w:val="467"/>
        </w:trPr>
        <w:tc>
          <w:tcPr>
            <w:tcW w:w="9243" w:type="dxa"/>
            <w:gridSpan w:val="6"/>
            <w:shd w:val="clear" w:color="auto" w:fill="C6D9F1"/>
            <w:vAlign w:val="center"/>
          </w:tcPr>
          <w:p w:rsidR="007D05A3" w:rsidRPr="004C53E7" w:rsidRDefault="007D05A3" w:rsidP="00340DC6">
            <w:pPr>
              <w:jc w:val="center"/>
              <w:rPr>
                <w:rFonts w:ascii="Calibri" w:hAnsi="Calibri" w:cs="Arial"/>
                <w:lang w:val="en-IE"/>
              </w:rPr>
            </w:pPr>
            <w:r w:rsidRPr="004C53E7">
              <w:rPr>
                <w:rFonts w:ascii="Calibri" w:hAnsi="Calibri" w:cs="Arial"/>
                <w:b/>
                <w:bCs/>
                <w:lang w:val="en-IE"/>
              </w:rPr>
              <w:t>Contact Details for Modification Proposal Originator</w:t>
            </w:r>
          </w:p>
        </w:tc>
      </w:tr>
      <w:tr w:rsidR="007D05A3" w:rsidRPr="004C53E7" w:rsidTr="00340DC6">
        <w:tc>
          <w:tcPr>
            <w:tcW w:w="2943" w:type="dxa"/>
            <w:gridSpan w:val="2"/>
            <w:vAlign w:val="center"/>
          </w:tcPr>
          <w:p w:rsidR="007D05A3" w:rsidRPr="004C53E7" w:rsidRDefault="007D05A3" w:rsidP="00340DC6">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7D05A3" w:rsidRPr="004C53E7" w:rsidRDefault="007D05A3" w:rsidP="00340DC6">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7D05A3" w:rsidRPr="004C53E7" w:rsidRDefault="007D05A3" w:rsidP="00340DC6">
            <w:pPr>
              <w:jc w:val="center"/>
              <w:rPr>
                <w:rFonts w:ascii="Calibri" w:hAnsi="Calibri" w:cs="Arial"/>
                <w:lang w:val="en-IE"/>
              </w:rPr>
            </w:pPr>
            <w:r w:rsidRPr="004C53E7">
              <w:rPr>
                <w:rFonts w:ascii="Calibri" w:hAnsi="Calibri" w:cs="Arial"/>
                <w:b/>
                <w:bCs/>
                <w:lang w:val="en-IE"/>
              </w:rPr>
              <w:t>Email address</w:t>
            </w:r>
          </w:p>
        </w:tc>
      </w:tr>
      <w:tr w:rsidR="007D05A3" w:rsidRPr="004C53E7" w:rsidTr="00340DC6">
        <w:tc>
          <w:tcPr>
            <w:tcW w:w="2943" w:type="dxa"/>
            <w:gridSpan w:val="2"/>
            <w:vAlign w:val="center"/>
          </w:tcPr>
          <w:p w:rsidR="007D05A3" w:rsidRPr="004C53E7" w:rsidRDefault="007D05A3" w:rsidP="00340DC6">
            <w:pPr>
              <w:rPr>
                <w:rFonts w:ascii="Calibri" w:hAnsi="Calibri" w:cs="Arial"/>
                <w:b/>
                <w:lang w:val="en-IE"/>
              </w:rPr>
            </w:pPr>
            <w:r>
              <w:rPr>
                <w:rFonts w:ascii="Calibri" w:hAnsi="Calibri" w:cs="Arial"/>
                <w:b/>
                <w:lang w:val="en-IE"/>
              </w:rPr>
              <w:t>Niamh Delaney</w:t>
            </w:r>
          </w:p>
        </w:tc>
        <w:tc>
          <w:tcPr>
            <w:tcW w:w="2925" w:type="dxa"/>
            <w:gridSpan w:val="2"/>
            <w:vAlign w:val="center"/>
          </w:tcPr>
          <w:p w:rsidR="007D05A3" w:rsidRPr="00C97491" w:rsidRDefault="007D05A3" w:rsidP="00340DC6">
            <w:pPr>
              <w:pStyle w:val="ListParagraph"/>
              <w:numPr>
                <w:ilvl w:val="0"/>
                <w:numId w:val="3"/>
              </w:numPr>
              <w:rPr>
                <w:rFonts w:ascii="Calibri" w:hAnsi="Calibri" w:cs="Arial"/>
                <w:b/>
                <w:lang w:val="en-IE"/>
              </w:rPr>
            </w:pPr>
            <w:r>
              <w:rPr>
                <w:rFonts w:ascii="Calibri" w:hAnsi="Calibri" w:cs="Arial"/>
                <w:b/>
                <w:lang w:val="en-IE"/>
              </w:rPr>
              <w:t>2370321</w:t>
            </w:r>
          </w:p>
        </w:tc>
        <w:tc>
          <w:tcPr>
            <w:tcW w:w="3375" w:type="dxa"/>
            <w:gridSpan w:val="2"/>
            <w:vAlign w:val="center"/>
          </w:tcPr>
          <w:p w:rsidR="007D05A3" w:rsidRPr="004C53E7" w:rsidRDefault="007D05A3" w:rsidP="00340DC6">
            <w:pPr>
              <w:rPr>
                <w:rFonts w:ascii="Calibri" w:hAnsi="Calibri" w:cs="Arial"/>
                <w:b/>
                <w:lang w:val="en-IE"/>
              </w:rPr>
            </w:pPr>
            <w:r>
              <w:rPr>
                <w:rFonts w:ascii="Calibri" w:hAnsi="Calibri" w:cs="Arial"/>
                <w:b/>
                <w:lang w:val="en-IE"/>
              </w:rPr>
              <w:t>niamh.delaney@sem-o.com</w:t>
            </w:r>
          </w:p>
        </w:tc>
      </w:tr>
      <w:tr w:rsidR="007D05A3" w:rsidRPr="004C53E7" w:rsidTr="00340DC6">
        <w:trPr>
          <w:trHeight w:val="327"/>
        </w:trPr>
        <w:tc>
          <w:tcPr>
            <w:tcW w:w="9243" w:type="dxa"/>
            <w:gridSpan w:val="6"/>
            <w:shd w:val="clear" w:color="auto" w:fill="C6D9F1"/>
            <w:vAlign w:val="center"/>
          </w:tcPr>
          <w:p w:rsidR="007D05A3" w:rsidRPr="004C53E7" w:rsidRDefault="007D05A3" w:rsidP="00340DC6">
            <w:pPr>
              <w:jc w:val="center"/>
              <w:rPr>
                <w:rFonts w:ascii="Calibri" w:hAnsi="Calibri" w:cs="Arial"/>
                <w:b/>
                <w:bCs/>
                <w:lang w:val="en-IE"/>
              </w:rPr>
            </w:pPr>
            <w:r w:rsidRPr="004C53E7">
              <w:rPr>
                <w:rFonts w:ascii="Calibri" w:hAnsi="Calibri" w:cs="Arial"/>
                <w:b/>
                <w:bCs/>
                <w:lang w:val="en-IE"/>
              </w:rPr>
              <w:t>Modification Proposal Title</w:t>
            </w:r>
          </w:p>
        </w:tc>
      </w:tr>
      <w:tr w:rsidR="007D05A3" w:rsidRPr="004C53E7" w:rsidTr="00340DC6">
        <w:trPr>
          <w:trHeight w:val="323"/>
        </w:trPr>
        <w:tc>
          <w:tcPr>
            <w:tcW w:w="9243" w:type="dxa"/>
            <w:gridSpan w:val="6"/>
            <w:vAlign w:val="center"/>
          </w:tcPr>
          <w:p w:rsidR="007D05A3" w:rsidRPr="004C53E7" w:rsidRDefault="007D05A3" w:rsidP="005D2570">
            <w:pPr>
              <w:jc w:val="center"/>
              <w:rPr>
                <w:rFonts w:ascii="Calibri" w:hAnsi="Calibri" w:cs="Arial"/>
                <w:b/>
                <w:bCs/>
                <w:color w:val="000000"/>
                <w:lang w:val="en-IE"/>
              </w:rPr>
            </w:pPr>
            <w:r>
              <w:rPr>
                <w:rFonts w:ascii="Calibri" w:hAnsi="Calibri" w:cs="Arial"/>
                <w:b/>
                <w:bCs/>
                <w:color w:val="000000"/>
                <w:lang w:val="en-IE"/>
              </w:rPr>
              <w:t>Removal of obligation to publish Ex-Ante Margin</w:t>
            </w:r>
          </w:p>
        </w:tc>
      </w:tr>
      <w:tr w:rsidR="007D05A3" w:rsidRPr="004C53E7" w:rsidTr="00340DC6">
        <w:tc>
          <w:tcPr>
            <w:tcW w:w="2943" w:type="dxa"/>
            <w:gridSpan w:val="2"/>
            <w:shd w:val="clear" w:color="auto" w:fill="C6D9F1"/>
            <w:vAlign w:val="center"/>
          </w:tcPr>
          <w:p w:rsidR="007D05A3" w:rsidRPr="004C53E7" w:rsidRDefault="007D05A3" w:rsidP="00340DC6">
            <w:pPr>
              <w:jc w:val="center"/>
              <w:rPr>
                <w:rFonts w:ascii="Calibri" w:hAnsi="Calibri" w:cs="Arial"/>
                <w:b/>
                <w:bCs/>
                <w:lang w:val="en-IE"/>
              </w:rPr>
            </w:pPr>
            <w:r w:rsidRPr="004C53E7">
              <w:rPr>
                <w:rFonts w:ascii="Calibri" w:hAnsi="Calibri" w:cs="Arial"/>
                <w:b/>
                <w:bCs/>
                <w:lang w:val="en-IE"/>
              </w:rPr>
              <w:t>Documents affected</w:t>
            </w:r>
          </w:p>
          <w:p w:rsidR="007D05A3" w:rsidRPr="004C53E7" w:rsidRDefault="007D05A3" w:rsidP="00340DC6">
            <w:pPr>
              <w:jc w:val="center"/>
              <w:rPr>
                <w:rFonts w:ascii="Calibri" w:hAnsi="Calibri" w:cs="Arial"/>
                <w:b/>
                <w:bCs/>
                <w:lang w:val="en-IE"/>
              </w:rPr>
            </w:pPr>
          </w:p>
        </w:tc>
        <w:tc>
          <w:tcPr>
            <w:tcW w:w="2925" w:type="dxa"/>
            <w:gridSpan w:val="2"/>
            <w:shd w:val="clear" w:color="auto" w:fill="C6D9F1"/>
            <w:vAlign w:val="center"/>
          </w:tcPr>
          <w:p w:rsidR="007D05A3" w:rsidRPr="004C53E7" w:rsidRDefault="007D05A3" w:rsidP="00340DC6">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7D05A3" w:rsidRPr="004C53E7" w:rsidRDefault="007D05A3" w:rsidP="00340DC6">
            <w:pPr>
              <w:jc w:val="center"/>
              <w:rPr>
                <w:rStyle w:val="IntenseEmphasis"/>
                <w:lang w:val="en-IE"/>
              </w:rPr>
            </w:pPr>
            <w:r w:rsidRPr="004C53E7">
              <w:rPr>
                <w:rFonts w:ascii="Calibri" w:hAnsi="Calibri" w:cs="Arial"/>
                <w:b/>
                <w:lang w:val="en-IE"/>
              </w:rPr>
              <w:t>Version number of T&amp;SC or AP used in Drafting</w:t>
            </w:r>
          </w:p>
        </w:tc>
      </w:tr>
      <w:tr w:rsidR="007D05A3" w:rsidRPr="004C53E7" w:rsidTr="00340DC6">
        <w:tc>
          <w:tcPr>
            <w:tcW w:w="2943" w:type="dxa"/>
            <w:gridSpan w:val="2"/>
            <w:shd w:val="clear" w:color="auto" w:fill="FFFFFF"/>
            <w:vAlign w:val="center"/>
          </w:tcPr>
          <w:p w:rsidR="007D05A3" w:rsidRPr="004C53E7" w:rsidRDefault="007D05A3" w:rsidP="00340DC6">
            <w:pPr>
              <w:jc w:val="center"/>
              <w:rPr>
                <w:rFonts w:ascii="Calibri" w:hAnsi="Calibri" w:cs="Arial"/>
                <w:b/>
                <w:lang w:val="en-IE"/>
              </w:rPr>
            </w:pPr>
            <w:r w:rsidRPr="004C53E7">
              <w:rPr>
                <w:rFonts w:ascii="Calibri" w:hAnsi="Calibri" w:cs="Arial"/>
                <w:b/>
                <w:lang w:val="en-IE"/>
              </w:rPr>
              <w:t>T&amp;SC</w:t>
            </w:r>
            <w:r w:rsidR="007F7E9D">
              <w:rPr>
                <w:rFonts w:ascii="Calibri" w:hAnsi="Calibri" w:cs="Arial"/>
                <w:b/>
                <w:lang w:val="en-IE"/>
              </w:rPr>
              <w:t xml:space="preserve"> APPENDIX E</w:t>
            </w:r>
          </w:p>
          <w:p w:rsidR="007D05A3" w:rsidRPr="004C53E7" w:rsidDel="00476388" w:rsidRDefault="007D05A3" w:rsidP="00340DC6">
            <w:pPr>
              <w:jc w:val="center"/>
              <w:rPr>
                <w:rFonts w:ascii="Calibri" w:hAnsi="Calibri" w:cs="Arial"/>
                <w:b/>
                <w:lang w:val="en-IE"/>
              </w:rPr>
            </w:pPr>
            <w:r w:rsidRPr="004C53E7">
              <w:rPr>
                <w:rFonts w:ascii="Calibri" w:hAnsi="Calibri" w:cs="Arial"/>
                <w:b/>
                <w:lang w:val="en-IE"/>
              </w:rPr>
              <w:t>AP</w:t>
            </w:r>
            <w:r w:rsidR="001E0FCC">
              <w:rPr>
                <w:rFonts w:ascii="Calibri" w:hAnsi="Calibri" w:cs="Arial"/>
                <w:b/>
                <w:lang w:val="en-IE"/>
              </w:rPr>
              <w:t xml:space="preserve"> 6</w:t>
            </w:r>
          </w:p>
        </w:tc>
        <w:tc>
          <w:tcPr>
            <w:tcW w:w="2925" w:type="dxa"/>
            <w:gridSpan w:val="2"/>
            <w:vAlign w:val="center"/>
          </w:tcPr>
          <w:p w:rsidR="007D05A3" w:rsidRDefault="00987618" w:rsidP="00340DC6">
            <w:pPr>
              <w:jc w:val="center"/>
              <w:rPr>
                <w:rFonts w:ascii="Calibri" w:hAnsi="Calibri" w:cs="Arial"/>
                <w:b/>
                <w:lang w:val="en-IE"/>
              </w:rPr>
            </w:pPr>
            <w:r>
              <w:rPr>
                <w:rFonts w:ascii="Calibri" w:hAnsi="Calibri" w:cs="Arial"/>
                <w:b/>
                <w:lang w:val="en-IE"/>
              </w:rPr>
              <w:t xml:space="preserve">APPENDIX E </w:t>
            </w:r>
            <w:r w:rsidR="007D05A3">
              <w:rPr>
                <w:rFonts w:ascii="Calibri" w:hAnsi="Calibri" w:cs="Arial"/>
                <w:b/>
                <w:lang w:val="en-IE"/>
              </w:rPr>
              <w:t>Table E.3</w:t>
            </w:r>
          </w:p>
          <w:p w:rsidR="00987618" w:rsidRPr="004C53E7" w:rsidRDefault="00987618" w:rsidP="00340DC6">
            <w:pPr>
              <w:jc w:val="center"/>
              <w:rPr>
                <w:rFonts w:ascii="Calibri" w:hAnsi="Calibri" w:cs="Arial"/>
                <w:b/>
                <w:lang w:val="en-IE"/>
              </w:rPr>
            </w:pPr>
            <w:r>
              <w:rPr>
                <w:rFonts w:ascii="Calibri" w:hAnsi="Calibri" w:cs="Arial"/>
                <w:b/>
                <w:lang w:val="en-IE"/>
              </w:rPr>
              <w:t>AP6 APPENDIX 2</w:t>
            </w:r>
          </w:p>
        </w:tc>
        <w:tc>
          <w:tcPr>
            <w:tcW w:w="3375" w:type="dxa"/>
            <w:gridSpan w:val="2"/>
            <w:vAlign w:val="center"/>
          </w:tcPr>
          <w:p w:rsidR="007D05A3" w:rsidRPr="004C53E7" w:rsidRDefault="007D05A3" w:rsidP="00340DC6">
            <w:pPr>
              <w:jc w:val="center"/>
              <w:rPr>
                <w:rFonts w:ascii="Calibri" w:hAnsi="Calibri" w:cs="Arial"/>
                <w:b/>
                <w:lang w:val="en-IE"/>
              </w:rPr>
            </w:pPr>
            <w:r>
              <w:rPr>
                <w:rFonts w:ascii="Calibri" w:hAnsi="Calibri" w:cs="Arial"/>
                <w:b/>
                <w:lang w:val="en-IE"/>
              </w:rPr>
              <w:t>V14.0</w:t>
            </w:r>
          </w:p>
        </w:tc>
      </w:tr>
      <w:tr w:rsidR="007D05A3" w:rsidRPr="004C53E7" w:rsidTr="00340DC6">
        <w:trPr>
          <w:trHeight w:val="375"/>
        </w:trPr>
        <w:tc>
          <w:tcPr>
            <w:tcW w:w="9243" w:type="dxa"/>
            <w:gridSpan w:val="6"/>
            <w:shd w:val="clear" w:color="auto" w:fill="C6D9F1"/>
            <w:vAlign w:val="center"/>
          </w:tcPr>
          <w:p w:rsidR="007D05A3" w:rsidRPr="004C53E7" w:rsidRDefault="007D05A3" w:rsidP="00340DC6">
            <w:pPr>
              <w:jc w:val="center"/>
              <w:rPr>
                <w:rFonts w:ascii="Calibri" w:hAnsi="Calibri" w:cs="Arial"/>
                <w:b/>
                <w:bCs/>
                <w:lang w:val="en-IE"/>
              </w:rPr>
            </w:pPr>
            <w:r w:rsidRPr="004C53E7">
              <w:rPr>
                <w:rFonts w:ascii="Calibri" w:hAnsi="Calibri" w:cs="Arial"/>
                <w:b/>
                <w:bCs/>
                <w:lang w:val="en-IE"/>
              </w:rPr>
              <w:t>Explanation of Proposed Change</w:t>
            </w:r>
          </w:p>
          <w:p w:rsidR="007D05A3" w:rsidRPr="004C53E7" w:rsidRDefault="007D05A3" w:rsidP="00340DC6">
            <w:pPr>
              <w:jc w:val="center"/>
              <w:rPr>
                <w:rFonts w:ascii="Calibri" w:hAnsi="Calibri" w:cs="Arial"/>
                <w:lang w:val="en-IE"/>
              </w:rPr>
            </w:pPr>
            <w:r w:rsidRPr="004C53E7">
              <w:rPr>
                <w:rFonts w:ascii="Calibri" w:hAnsi="Calibri"/>
                <w:i/>
                <w:spacing w:val="-3"/>
                <w:lang w:val="en-IE"/>
              </w:rPr>
              <w:t>(mandatory by originator)</w:t>
            </w:r>
          </w:p>
        </w:tc>
      </w:tr>
      <w:tr w:rsidR="007D05A3" w:rsidRPr="004C53E7" w:rsidTr="00340DC6">
        <w:trPr>
          <w:trHeight w:val="467"/>
        </w:trPr>
        <w:tc>
          <w:tcPr>
            <w:tcW w:w="9243" w:type="dxa"/>
            <w:gridSpan w:val="6"/>
            <w:vAlign w:val="center"/>
          </w:tcPr>
          <w:p w:rsidR="007D05A3" w:rsidRPr="004C53E7" w:rsidRDefault="007D05A3" w:rsidP="005D2570">
            <w:pPr>
              <w:rPr>
                <w:rFonts w:ascii="Calibri" w:hAnsi="Calibri" w:cs="Arial"/>
                <w:lang w:val="en-IE"/>
              </w:rPr>
            </w:pPr>
            <w:r>
              <w:rPr>
                <w:rFonts w:ascii="Calibri" w:hAnsi="Calibri" w:cs="Arial"/>
                <w:lang w:val="en-IE"/>
              </w:rPr>
              <w:t>The modification proposes to remove th</w:t>
            </w:r>
            <w:r w:rsidR="00BA2514">
              <w:rPr>
                <w:rFonts w:ascii="Calibri" w:hAnsi="Calibri" w:cs="Arial"/>
                <w:lang w:val="en-IE"/>
              </w:rPr>
              <w:t>e requirement to publish an ex-a</w:t>
            </w:r>
            <w:r>
              <w:rPr>
                <w:rFonts w:ascii="Calibri" w:hAnsi="Calibri" w:cs="Arial"/>
                <w:lang w:val="en-IE"/>
              </w:rPr>
              <w:t xml:space="preserve">nte value for Margin in advance of a given month. </w:t>
            </w:r>
            <w:r w:rsidR="00340DC6">
              <w:rPr>
                <w:rFonts w:ascii="Calibri" w:hAnsi="Calibri" w:cs="Arial"/>
                <w:lang w:val="en-IE"/>
              </w:rPr>
              <w:t>There is a requirement in the T&amp;SC (Appendix M.20) for the System Operators to determine values for the System Margi</w:t>
            </w:r>
            <w:r w:rsidR="009547FF">
              <w:rPr>
                <w:rFonts w:ascii="Calibri" w:hAnsi="Calibri" w:cs="Arial"/>
                <w:lang w:val="en-IE"/>
              </w:rPr>
              <w:t>n (</w:t>
            </w:r>
            <w:proofErr w:type="spellStart"/>
            <w:r w:rsidR="009547FF">
              <w:rPr>
                <w:rFonts w:ascii="Calibri" w:hAnsi="Calibri" w:cs="Arial"/>
                <w:lang w:val="en-IE"/>
              </w:rPr>
              <w:t>Mh</w:t>
            </w:r>
            <w:proofErr w:type="spellEnd"/>
            <w:r w:rsidR="009547FF">
              <w:rPr>
                <w:rFonts w:ascii="Calibri" w:hAnsi="Calibri" w:cs="Arial"/>
                <w:lang w:val="en-IE"/>
              </w:rPr>
              <w:t>) in each Trading Period h</w:t>
            </w:r>
            <w:r w:rsidR="00340DC6">
              <w:rPr>
                <w:rFonts w:ascii="Calibri" w:hAnsi="Calibri" w:cs="Arial"/>
                <w:lang w:val="en-IE"/>
              </w:rPr>
              <w:t xml:space="preserve"> in each Capacity Period 5 Working Days prior to each Capacity Period. This calculated Margin is subsequently used in the determination of the Loss of Load Probability </w:t>
            </w:r>
            <w:r w:rsidR="00722D50">
              <w:rPr>
                <w:rFonts w:ascii="Calibri" w:hAnsi="Calibri" w:cs="Arial"/>
                <w:lang w:val="en-IE"/>
              </w:rPr>
              <w:t xml:space="preserve">table which is published. </w:t>
            </w:r>
            <w:r w:rsidR="00C842F7">
              <w:rPr>
                <w:rFonts w:ascii="Calibri" w:hAnsi="Calibri" w:cs="Arial"/>
                <w:lang w:val="en-IE"/>
              </w:rPr>
              <w:t>Currently, there is no</w:t>
            </w:r>
            <w:r w:rsidR="00157D78">
              <w:rPr>
                <w:rFonts w:ascii="Calibri" w:hAnsi="Calibri" w:cs="Arial"/>
                <w:lang w:val="en-IE"/>
              </w:rPr>
              <w:t xml:space="preserve"> facility </w:t>
            </w:r>
            <w:r w:rsidR="00722D50">
              <w:rPr>
                <w:rFonts w:ascii="Calibri" w:hAnsi="Calibri" w:cs="Arial"/>
                <w:lang w:val="en-IE"/>
              </w:rPr>
              <w:t xml:space="preserve">to </w:t>
            </w:r>
            <w:r w:rsidR="00BA2514">
              <w:rPr>
                <w:rFonts w:ascii="Calibri" w:hAnsi="Calibri" w:cs="Arial"/>
                <w:lang w:val="en-IE"/>
              </w:rPr>
              <w:t xml:space="preserve">publish </w:t>
            </w:r>
            <w:r w:rsidR="008B2919">
              <w:rPr>
                <w:rFonts w:ascii="Calibri" w:hAnsi="Calibri" w:cs="Arial"/>
                <w:lang w:val="en-IE"/>
              </w:rPr>
              <w:t xml:space="preserve">an </w:t>
            </w:r>
            <w:r w:rsidR="00BA2514">
              <w:rPr>
                <w:rFonts w:ascii="Calibri" w:hAnsi="Calibri" w:cs="Arial"/>
                <w:lang w:val="en-IE"/>
              </w:rPr>
              <w:t>e</w:t>
            </w:r>
            <w:r w:rsidR="00157D78">
              <w:rPr>
                <w:rFonts w:ascii="Calibri" w:hAnsi="Calibri" w:cs="Arial"/>
                <w:lang w:val="en-IE"/>
              </w:rPr>
              <w:t>x-</w:t>
            </w:r>
            <w:r w:rsidR="00C842F7">
              <w:rPr>
                <w:rFonts w:ascii="Calibri" w:hAnsi="Calibri" w:cs="Arial"/>
                <w:lang w:val="en-IE"/>
              </w:rPr>
              <w:t>a</w:t>
            </w:r>
            <w:r w:rsidR="00157D78">
              <w:rPr>
                <w:rFonts w:ascii="Calibri" w:hAnsi="Calibri" w:cs="Arial"/>
                <w:lang w:val="en-IE"/>
              </w:rPr>
              <w:t xml:space="preserve">nte </w:t>
            </w:r>
            <w:r w:rsidR="008B2919">
              <w:rPr>
                <w:rFonts w:ascii="Calibri" w:hAnsi="Calibri" w:cs="Arial"/>
                <w:lang w:val="en-IE"/>
              </w:rPr>
              <w:t xml:space="preserve">value for </w:t>
            </w:r>
            <w:r w:rsidR="00157D78">
              <w:rPr>
                <w:rFonts w:ascii="Calibri" w:hAnsi="Calibri" w:cs="Arial"/>
                <w:lang w:val="en-IE"/>
              </w:rPr>
              <w:t>Margi</w:t>
            </w:r>
            <w:r w:rsidR="00711338">
              <w:rPr>
                <w:rFonts w:ascii="Calibri" w:hAnsi="Calibri" w:cs="Arial"/>
                <w:lang w:val="en-IE"/>
              </w:rPr>
              <w:t>n in the Central Market System</w:t>
            </w:r>
            <w:r w:rsidR="00C842F7">
              <w:rPr>
                <w:rFonts w:ascii="Calibri" w:hAnsi="Calibri" w:cs="Arial"/>
                <w:lang w:val="en-IE"/>
              </w:rPr>
              <w:t xml:space="preserve">. </w:t>
            </w:r>
          </w:p>
        </w:tc>
      </w:tr>
      <w:tr w:rsidR="007D05A3" w:rsidRPr="004C53E7" w:rsidDel="00404964" w:rsidTr="00340DC6">
        <w:tc>
          <w:tcPr>
            <w:tcW w:w="9243" w:type="dxa"/>
            <w:gridSpan w:val="6"/>
            <w:shd w:val="clear" w:color="auto" w:fill="C6D9F1"/>
            <w:vAlign w:val="center"/>
          </w:tcPr>
          <w:p w:rsidR="007D05A3" w:rsidRPr="004C53E7" w:rsidRDefault="007D05A3" w:rsidP="00340DC6">
            <w:pPr>
              <w:jc w:val="center"/>
              <w:rPr>
                <w:rFonts w:ascii="Calibri" w:hAnsi="Calibri" w:cs="Arial"/>
                <w:iCs/>
                <w:lang w:val="en-IE"/>
              </w:rPr>
            </w:pPr>
            <w:r w:rsidRPr="004C53E7">
              <w:rPr>
                <w:rFonts w:ascii="Calibri" w:hAnsi="Calibri" w:cs="Arial"/>
                <w:b/>
                <w:bCs/>
                <w:iCs/>
                <w:lang w:val="en-IE"/>
              </w:rPr>
              <w:t>Legal Drafting Change</w:t>
            </w:r>
          </w:p>
          <w:p w:rsidR="007D05A3" w:rsidRPr="004C53E7" w:rsidDel="00404964" w:rsidRDefault="007D05A3" w:rsidP="00340DC6">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7D05A3" w:rsidRPr="004C53E7" w:rsidDel="00404964" w:rsidTr="00340DC6">
        <w:tc>
          <w:tcPr>
            <w:tcW w:w="9243" w:type="dxa"/>
            <w:gridSpan w:val="6"/>
            <w:shd w:val="clear" w:color="auto" w:fill="FFFFFF" w:themeFill="background1"/>
            <w:vAlign w:val="center"/>
          </w:tcPr>
          <w:p w:rsidR="005D2570" w:rsidRDefault="005D2570" w:rsidP="005D2570">
            <w:pPr>
              <w:pStyle w:val="CERnon-indent"/>
              <w:rPr>
                <w:color w:val="auto"/>
              </w:rPr>
            </w:pPr>
          </w:p>
          <w:p w:rsidR="005D2570" w:rsidRPr="005D2570" w:rsidRDefault="005D2570" w:rsidP="005D2570">
            <w:pPr>
              <w:pStyle w:val="CERNUMAPPENDXHD1"/>
              <w:numPr>
                <w:ilvl w:val="0"/>
                <w:numId w:val="4"/>
              </w:numPr>
            </w:pPr>
            <w:r>
              <w:t>DATA PUBLICATION</w:t>
            </w:r>
          </w:p>
          <w:p w:rsidR="007D05A3" w:rsidRDefault="007D05A3" w:rsidP="00340DC6">
            <w:pPr>
              <w:spacing w:after="120"/>
              <w:rPr>
                <w:rFonts w:ascii="Arial" w:hAnsi="Arial"/>
                <w:b/>
                <w:bCs/>
                <w:lang w:val="en-IE"/>
              </w:rPr>
            </w:pPr>
            <w:r>
              <w:rPr>
                <w:rFonts w:ascii="Arial" w:hAnsi="Arial"/>
                <w:b/>
                <w:bCs/>
                <w:lang w:val="en-IE"/>
              </w:rPr>
              <w:t xml:space="preserve">               </w:t>
            </w:r>
            <w:r w:rsidRPr="00996BFC">
              <w:rPr>
                <w:rFonts w:ascii="Arial" w:hAnsi="Arial"/>
                <w:b/>
                <w:bCs/>
                <w:lang w:val="en-IE"/>
              </w:rPr>
              <w:t>Table E.</w:t>
            </w:r>
            <w:r w:rsidR="003D5C10" w:rsidRPr="00996BFC">
              <w:rPr>
                <w:rFonts w:ascii="Arial" w:hAnsi="Arial"/>
                <w:b/>
                <w:bCs/>
                <w:lang w:val="en-IE"/>
              </w:rPr>
              <w:fldChar w:fldCharType="begin"/>
            </w:r>
            <w:r w:rsidRPr="00996BFC">
              <w:rPr>
                <w:rFonts w:ascii="Arial" w:hAnsi="Arial"/>
                <w:b/>
                <w:bCs/>
                <w:lang w:val="en-IE"/>
              </w:rPr>
              <w:instrText xml:space="preserve"> SEQ Table_E. \* ARABIC </w:instrText>
            </w:r>
            <w:r w:rsidR="003D5C10" w:rsidRPr="00996BFC">
              <w:rPr>
                <w:rFonts w:ascii="Arial" w:hAnsi="Arial"/>
                <w:b/>
                <w:bCs/>
                <w:lang w:val="en-IE"/>
              </w:rPr>
              <w:fldChar w:fldCharType="separate"/>
            </w:r>
            <w:r w:rsidRPr="00996BFC">
              <w:rPr>
                <w:rFonts w:ascii="Arial" w:hAnsi="Arial"/>
                <w:b/>
                <w:bCs/>
                <w:noProof/>
                <w:lang w:val="en-IE"/>
              </w:rPr>
              <w:t>3</w:t>
            </w:r>
            <w:r w:rsidR="003D5C10" w:rsidRPr="00996BFC">
              <w:rPr>
                <w:rFonts w:ascii="Arial" w:hAnsi="Arial"/>
                <w:b/>
                <w:bCs/>
                <w:lang w:val="en-IE"/>
              </w:rPr>
              <w:fldChar w:fldCharType="end"/>
            </w:r>
            <w:r w:rsidRPr="00996BFC">
              <w:rPr>
                <w:rFonts w:ascii="Arial" w:hAnsi="Arial"/>
                <w:b/>
                <w:bCs/>
                <w:lang w:val="en-IE"/>
              </w:rPr>
              <w:t xml:space="preserve"> – Data publication list part 3: updated Monthly</w:t>
            </w:r>
          </w:p>
          <w:tbl>
            <w:tblPr>
              <w:tblW w:w="7711" w:type="dxa"/>
              <w:tblInd w:w="817" w:type="dxa"/>
              <w:tblBorders>
                <w:top w:val="single" w:sz="12" w:space="0" w:color="808080"/>
                <w:bottom w:val="single" w:sz="12" w:space="0" w:color="808080"/>
              </w:tblBorders>
              <w:tblLook w:val="0000"/>
            </w:tblPr>
            <w:tblGrid>
              <w:gridCol w:w="2531"/>
              <w:gridCol w:w="3240"/>
              <w:gridCol w:w="900"/>
              <w:gridCol w:w="1040"/>
            </w:tblGrid>
            <w:tr w:rsidR="007D05A3" w:rsidRPr="00B53C13" w:rsidTr="00340DC6">
              <w:trPr>
                <w:tblHeader/>
              </w:trPr>
              <w:tc>
                <w:tcPr>
                  <w:tcW w:w="2531" w:type="dxa"/>
                  <w:tcBorders>
                    <w:top w:val="single" w:sz="4" w:space="0" w:color="auto"/>
                    <w:left w:val="nil"/>
                    <w:bottom w:val="single" w:sz="4" w:space="0" w:color="auto"/>
                    <w:right w:val="nil"/>
                  </w:tcBorders>
                </w:tcPr>
                <w:p w:rsidR="007D05A3" w:rsidRPr="00B53C13" w:rsidRDefault="007D05A3" w:rsidP="00340DC6">
                  <w:pPr>
                    <w:pStyle w:val="CERnon-indent"/>
                    <w:spacing w:before="60" w:after="60"/>
                    <w:rPr>
                      <w:b/>
                      <w:color w:val="auto"/>
                      <w:sz w:val="16"/>
                      <w:szCs w:val="16"/>
                    </w:rPr>
                  </w:pPr>
                  <w:r w:rsidRPr="00B53C13">
                    <w:rPr>
                      <w:b/>
                      <w:color w:val="auto"/>
                      <w:sz w:val="16"/>
                      <w:szCs w:val="16"/>
                    </w:rPr>
                    <w:t>Time</w:t>
                  </w:r>
                </w:p>
              </w:tc>
              <w:tc>
                <w:tcPr>
                  <w:tcW w:w="3240" w:type="dxa"/>
                  <w:tcBorders>
                    <w:top w:val="single" w:sz="4" w:space="0" w:color="auto"/>
                    <w:left w:val="nil"/>
                    <w:bottom w:val="single" w:sz="4" w:space="0" w:color="auto"/>
                    <w:right w:val="nil"/>
                  </w:tcBorders>
                </w:tcPr>
                <w:p w:rsidR="007D05A3" w:rsidRPr="00B53C13" w:rsidRDefault="007D05A3" w:rsidP="00340DC6">
                  <w:pPr>
                    <w:pStyle w:val="CERnon-indent"/>
                    <w:spacing w:before="60" w:after="60"/>
                    <w:rPr>
                      <w:b/>
                      <w:color w:val="auto"/>
                      <w:sz w:val="16"/>
                      <w:szCs w:val="16"/>
                    </w:rPr>
                  </w:pPr>
                  <w:r w:rsidRPr="00B53C13">
                    <w:rPr>
                      <w:b/>
                      <w:color w:val="auto"/>
                      <w:sz w:val="16"/>
                      <w:szCs w:val="16"/>
                    </w:rPr>
                    <w:t>Item / Data Record</w:t>
                  </w:r>
                </w:p>
              </w:tc>
              <w:tc>
                <w:tcPr>
                  <w:tcW w:w="900" w:type="dxa"/>
                  <w:tcBorders>
                    <w:top w:val="single" w:sz="4" w:space="0" w:color="auto"/>
                    <w:left w:val="nil"/>
                    <w:bottom w:val="single" w:sz="4" w:space="0" w:color="auto"/>
                    <w:right w:val="nil"/>
                  </w:tcBorders>
                </w:tcPr>
                <w:p w:rsidR="007D05A3" w:rsidRPr="00B53C13" w:rsidRDefault="007D05A3" w:rsidP="00340DC6">
                  <w:pPr>
                    <w:pStyle w:val="CERnon-indent"/>
                    <w:spacing w:before="60" w:after="60"/>
                    <w:rPr>
                      <w:b/>
                      <w:color w:val="auto"/>
                      <w:sz w:val="16"/>
                      <w:szCs w:val="16"/>
                    </w:rPr>
                  </w:pPr>
                  <w:r w:rsidRPr="00B53C13">
                    <w:rPr>
                      <w:b/>
                      <w:color w:val="auto"/>
                      <w:sz w:val="16"/>
                      <w:szCs w:val="16"/>
                    </w:rPr>
                    <w:t>Term</w:t>
                  </w:r>
                </w:p>
              </w:tc>
              <w:tc>
                <w:tcPr>
                  <w:tcW w:w="1040" w:type="dxa"/>
                  <w:tcBorders>
                    <w:top w:val="single" w:sz="4" w:space="0" w:color="auto"/>
                    <w:left w:val="nil"/>
                    <w:bottom w:val="single" w:sz="4" w:space="0" w:color="auto"/>
                    <w:right w:val="nil"/>
                  </w:tcBorders>
                </w:tcPr>
                <w:p w:rsidR="007D05A3" w:rsidRPr="00B53C13" w:rsidRDefault="007D05A3" w:rsidP="00340DC6">
                  <w:pPr>
                    <w:pStyle w:val="CERnon-indent"/>
                    <w:spacing w:before="60" w:after="60"/>
                    <w:rPr>
                      <w:b/>
                      <w:color w:val="auto"/>
                      <w:sz w:val="16"/>
                      <w:szCs w:val="16"/>
                    </w:rPr>
                  </w:pPr>
                  <w:r w:rsidRPr="00B53C13">
                    <w:rPr>
                      <w:b/>
                      <w:color w:val="auto"/>
                      <w:sz w:val="16"/>
                      <w:szCs w:val="16"/>
                    </w:rPr>
                    <w:t>Subscript</w:t>
                  </w:r>
                </w:p>
              </w:tc>
            </w:tr>
            <w:tr w:rsidR="007D05A3" w:rsidRPr="00B53C13" w:rsidTr="00340DC6">
              <w:tc>
                <w:tcPr>
                  <w:tcW w:w="2531" w:type="dxa"/>
                  <w:tcBorders>
                    <w:top w:val="single" w:sz="4" w:space="0" w:color="auto"/>
                    <w:left w:val="nil"/>
                    <w:bottom w:val="nil"/>
                    <w:right w:val="nil"/>
                  </w:tcBorders>
                </w:tcPr>
                <w:p w:rsidR="007D05A3" w:rsidRPr="00B53C13" w:rsidRDefault="007D05A3" w:rsidP="00340DC6">
                  <w:pPr>
                    <w:pStyle w:val="CERnon-indent"/>
                    <w:spacing w:before="60" w:after="60"/>
                    <w:rPr>
                      <w:b/>
                      <w:color w:val="auto"/>
                      <w:sz w:val="16"/>
                      <w:szCs w:val="16"/>
                    </w:rPr>
                  </w:pPr>
                  <w:r w:rsidRPr="00B53C13">
                    <w:rPr>
                      <w:b/>
                      <w:color w:val="auto"/>
                      <w:sz w:val="16"/>
                      <w:szCs w:val="16"/>
                    </w:rPr>
                    <w:t>Monthly</w:t>
                  </w:r>
                </w:p>
              </w:tc>
              <w:tc>
                <w:tcPr>
                  <w:tcW w:w="3240" w:type="dxa"/>
                  <w:tcBorders>
                    <w:top w:val="single" w:sz="4" w:space="0" w:color="auto"/>
                    <w:left w:val="nil"/>
                    <w:bottom w:val="nil"/>
                    <w:right w:val="nil"/>
                  </w:tcBorders>
                </w:tcPr>
                <w:p w:rsidR="007D05A3" w:rsidRPr="00B53C13" w:rsidRDefault="007D05A3" w:rsidP="00340DC6">
                  <w:pPr>
                    <w:pStyle w:val="CERnon-indent"/>
                    <w:spacing w:before="60" w:after="60"/>
                    <w:rPr>
                      <w:b/>
                      <w:color w:val="auto"/>
                      <w:sz w:val="16"/>
                      <w:szCs w:val="16"/>
                    </w:rPr>
                  </w:pPr>
                </w:p>
              </w:tc>
              <w:tc>
                <w:tcPr>
                  <w:tcW w:w="900" w:type="dxa"/>
                  <w:tcBorders>
                    <w:top w:val="single" w:sz="4" w:space="0" w:color="auto"/>
                    <w:left w:val="nil"/>
                    <w:bottom w:val="nil"/>
                    <w:right w:val="nil"/>
                  </w:tcBorders>
                </w:tcPr>
                <w:p w:rsidR="007D05A3" w:rsidRPr="00B53C13" w:rsidRDefault="007D05A3" w:rsidP="00340DC6">
                  <w:pPr>
                    <w:pStyle w:val="CERnon-indent"/>
                    <w:spacing w:before="60" w:after="60"/>
                    <w:rPr>
                      <w:b/>
                      <w:color w:val="auto"/>
                      <w:sz w:val="16"/>
                      <w:szCs w:val="16"/>
                    </w:rPr>
                  </w:pPr>
                </w:p>
              </w:tc>
              <w:tc>
                <w:tcPr>
                  <w:tcW w:w="1040" w:type="dxa"/>
                  <w:tcBorders>
                    <w:top w:val="single" w:sz="4" w:space="0" w:color="auto"/>
                    <w:left w:val="nil"/>
                    <w:bottom w:val="nil"/>
                    <w:right w:val="nil"/>
                  </w:tcBorders>
                </w:tcPr>
                <w:p w:rsidR="007D05A3" w:rsidRPr="00B53C13" w:rsidRDefault="007D05A3" w:rsidP="00340DC6">
                  <w:pPr>
                    <w:pStyle w:val="CERnon-indent"/>
                    <w:spacing w:before="60" w:after="60"/>
                    <w:rPr>
                      <w:b/>
                      <w:color w:val="auto"/>
                      <w:sz w:val="16"/>
                      <w:szCs w:val="16"/>
                    </w:rPr>
                  </w:pPr>
                </w:p>
              </w:tc>
            </w:tr>
            <w:tr w:rsidR="007D05A3" w:rsidRPr="00B53C13" w:rsidTr="00340DC6">
              <w:tc>
                <w:tcPr>
                  <w:tcW w:w="2531" w:type="dxa"/>
                  <w:tcBorders>
                    <w:top w:val="nil"/>
                    <w:left w:val="nil"/>
                    <w:bottom w:val="nil"/>
                    <w:right w:val="nil"/>
                  </w:tcBorders>
                </w:tcPr>
                <w:p w:rsidR="007D05A3" w:rsidRPr="00B53C13" w:rsidRDefault="007D05A3" w:rsidP="00340DC6">
                  <w:pPr>
                    <w:pStyle w:val="CERnon-indent"/>
                    <w:spacing w:before="60" w:after="60"/>
                    <w:rPr>
                      <w:color w:val="auto"/>
                      <w:sz w:val="16"/>
                      <w:szCs w:val="16"/>
                    </w:rPr>
                  </w:pPr>
                  <w:r w:rsidRPr="00B53C13">
                    <w:rPr>
                      <w:color w:val="auto"/>
                      <w:sz w:val="16"/>
                      <w:szCs w:val="16"/>
                    </w:rPr>
                    <w:t>Within five Working Days of its creation</w:t>
                  </w:r>
                </w:p>
              </w:tc>
              <w:tc>
                <w:tcPr>
                  <w:tcW w:w="3240" w:type="dxa"/>
                  <w:tcBorders>
                    <w:top w:val="nil"/>
                    <w:left w:val="nil"/>
                    <w:bottom w:val="nil"/>
                    <w:right w:val="nil"/>
                  </w:tcBorders>
                </w:tcPr>
                <w:p w:rsidR="007D05A3" w:rsidRPr="00B53C13" w:rsidRDefault="007D05A3" w:rsidP="00340DC6">
                  <w:pPr>
                    <w:pStyle w:val="CERnon-indent"/>
                    <w:spacing w:before="60" w:after="60"/>
                    <w:rPr>
                      <w:color w:val="auto"/>
                      <w:sz w:val="16"/>
                      <w:szCs w:val="16"/>
                    </w:rPr>
                  </w:pPr>
                  <w:r w:rsidRPr="00B53C13">
                    <w:rPr>
                      <w:color w:val="auto"/>
                      <w:sz w:val="16"/>
                      <w:szCs w:val="16"/>
                    </w:rPr>
                    <w:t xml:space="preserve">Market Operator Performance Report </w:t>
                  </w:r>
                </w:p>
              </w:tc>
              <w:tc>
                <w:tcPr>
                  <w:tcW w:w="900" w:type="dxa"/>
                  <w:tcBorders>
                    <w:top w:val="nil"/>
                    <w:left w:val="nil"/>
                    <w:bottom w:val="nil"/>
                    <w:right w:val="nil"/>
                  </w:tcBorders>
                </w:tcPr>
                <w:p w:rsidR="007D05A3" w:rsidRPr="00B53C13" w:rsidRDefault="007D05A3" w:rsidP="00340DC6">
                  <w:pPr>
                    <w:pStyle w:val="CERnon-indent"/>
                    <w:spacing w:before="60" w:after="60"/>
                    <w:rPr>
                      <w:color w:val="auto"/>
                      <w:sz w:val="16"/>
                      <w:szCs w:val="16"/>
                    </w:rPr>
                  </w:pPr>
                </w:p>
              </w:tc>
              <w:tc>
                <w:tcPr>
                  <w:tcW w:w="1040" w:type="dxa"/>
                  <w:tcBorders>
                    <w:top w:val="nil"/>
                    <w:left w:val="nil"/>
                    <w:bottom w:val="nil"/>
                    <w:right w:val="nil"/>
                  </w:tcBorders>
                </w:tcPr>
                <w:p w:rsidR="007D05A3" w:rsidRPr="00B53C13" w:rsidRDefault="007D05A3" w:rsidP="00340DC6">
                  <w:pPr>
                    <w:pStyle w:val="CERnon-indent"/>
                    <w:spacing w:before="60" w:after="60"/>
                    <w:rPr>
                      <w:color w:val="auto"/>
                      <w:sz w:val="16"/>
                      <w:szCs w:val="16"/>
                    </w:rPr>
                  </w:pPr>
                </w:p>
              </w:tc>
            </w:tr>
            <w:tr w:rsidR="007D05A3" w:rsidRPr="00B53C13" w:rsidTr="00340DC6">
              <w:tc>
                <w:tcPr>
                  <w:tcW w:w="2531" w:type="dxa"/>
                  <w:tcBorders>
                    <w:top w:val="nil"/>
                    <w:left w:val="nil"/>
                    <w:bottom w:val="nil"/>
                    <w:right w:val="nil"/>
                  </w:tcBorders>
                </w:tcPr>
                <w:p w:rsidR="007D05A3" w:rsidRPr="00B53C13" w:rsidRDefault="007D05A3" w:rsidP="00340DC6">
                  <w:pPr>
                    <w:pStyle w:val="CERnon-indent"/>
                    <w:spacing w:before="60" w:after="60"/>
                    <w:rPr>
                      <w:color w:val="auto"/>
                      <w:sz w:val="16"/>
                      <w:szCs w:val="16"/>
                    </w:rPr>
                  </w:pPr>
                  <w:r w:rsidRPr="00B53C13">
                    <w:rPr>
                      <w:color w:val="auto"/>
                      <w:sz w:val="16"/>
                      <w:szCs w:val="16"/>
                    </w:rPr>
                    <w:t>By 10:00, at least one Working Day before start of Month</w:t>
                  </w:r>
                </w:p>
              </w:tc>
              <w:tc>
                <w:tcPr>
                  <w:tcW w:w="3240" w:type="dxa"/>
                  <w:tcBorders>
                    <w:top w:val="nil"/>
                    <w:left w:val="nil"/>
                    <w:bottom w:val="nil"/>
                    <w:right w:val="nil"/>
                  </w:tcBorders>
                </w:tcPr>
                <w:p w:rsidR="007D05A3" w:rsidRPr="00B53C13" w:rsidRDefault="007D05A3" w:rsidP="00340DC6">
                  <w:pPr>
                    <w:pStyle w:val="CERnon-indent"/>
                    <w:spacing w:before="60" w:after="60"/>
                    <w:rPr>
                      <w:color w:val="auto"/>
                      <w:sz w:val="16"/>
                      <w:szCs w:val="16"/>
                    </w:rPr>
                  </w:pPr>
                  <w:r w:rsidRPr="00B53C13">
                    <w:rPr>
                      <w:color w:val="auto"/>
                      <w:sz w:val="16"/>
                      <w:szCs w:val="16"/>
                    </w:rPr>
                    <w:t>Monthly Maintenance Schedule  – Generator Unit outages</w:t>
                  </w:r>
                </w:p>
              </w:tc>
              <w:tc>
                <w:tcPr>
                  <w:tcW w:w="900" w:type="dxa"/>
                  <w:tcBorders>
                    <w:top w:val="nil"/>
                    <w:left w:val="nil"/>
                    <w:bottom w:val="nil"/>
                    <w:right w:val="nil"/>
                  </w:tcBorders>
                </w:tcPr>
                <w:p w:rsidR="007D05A3" w:rsidRPr="00B53C13" w:rsidRDefault="007D05A3" w:rsidP="00340DC6">
                  <w:pPr>
                    <w:pStyle w:val="CERnon-indent"/>
                    <w:spacing w:before="60" w:after="60"/>
                    <w:rPr>
                      <w:color w:val="auto"/>
                      <w:sz w:val="16"/>
                      <w:szCs w:val="16"/>
                    </w:rPr>
                  </w:pPr>
                  <w:r w:rsidRPr="00B53C13">
                    <w:rPr>
                      <w:color w:val="auto"/>
                      <w:sz w:val="16"/>
                      <w:szCs w:val="16"/>
                    </w:rPr>
                    <w:t>--</w:t>
                  </w:r>
                </w:p>
              </w:tc>
              <w:tc>
                <w:tcPr>
                  <w:tcW w:w="1040" w:type="dxa"/>
                  <w:tcBorders>
                    <w:top w:val="nil"/>
                    <w:left w:val="nil"/>
                    <w:bottom w:val="nil"/>
                    <w:right w:val="nil"/>
                  </w:tcBorders>
                </w:tcPr>
                <w:p w:rsidR="007D05A3" w:rsidRPr="00B53C13" w:rsidRDefault="007D05A3" w:rsidP="00340DC6">
                  <w:pPr>
                    <w:pStyle w:val="CERnon-indent"/>
                    <w:spacing w:before="60" w:after="60"/>
                    <w:rPr>
                      <w:color w:val="auto"/>
                      <w:sz w:val="16"/>
                      <w:szCs w:val="16"/>
                    </w:rPr>
                  </w:pPr>
                  <w:r w:rsidRPr="00B53C13">
                    <w:rPr>
                      <w:color w:val="auto"/>
                      <w:sz w:val="16"/>
                      <w:szCs w:val="16"/>
                    </w:rPr>
                    <w:t>--</w:t>
                  </w:r>
                </w:p>
              </w:tc>
            </w:tr>
            <w:tr w:rsidR="007D05A3" w:rsidRPr="00B53C13" w:rsidTr="00340DC6">
              <w:tc>
                <w:tcPr>
                  <w:tcW w:w="2531" w:type="dxa"/>
                  <w:tcBorders>
                    <w:top w:val="nil"/>
                    <w:left w:val="nil"/>
                    <w:bottom w:val="nil"/>
                    <w:right w:val="nil"/>
                  </w:tcBorders>
                </w:tcPr>
                <w:p w:rsidR="007D05A3" w:rsidRPr="00B53C13" w:rsidDel="00E918BB" w:rsidRDefault="007D05A3" w:rsidP="00340DC6">
                  <w:pPr>
                    <w:pStyle w:val="CERnon-indent"/>
                    <w:spacing w:before="60" w:after="60"/>
                    <w:rPr>
                      <w:color w:val="auto"/>
                      <w:sz w:val="16"/>
                      <w:szCs w:val="16"/>
                    </w:rPr>
                  </w:pPr>
                  <w:r w:rsidRPr="00B53C13">
                    <w:rPr>
                      <w:color w:val="auto"/>
                      <w:sz w:val="16"/>
                      <w:szCs w:val="16"/>
                    </w:rPr>
                    <w:t>By 10:00, at least one Working Day before start of Month</w:t>
                  </w:r>
                </w:p>
              </w:tc>
              <w:tc>
                <w:tcPr>
                  <w:tcW w:w="3240" w:type="dxa"/>
                  <w:tcBorders>
                    <w:top w:val="nil"/>
                    <w:left w:val="nil"/>
                    <w:bottom w:val="nil"/>
                    <w:right w:val="nil"/>
                  </w:tcBorders>
                </w:tcPr>
                <w:p w:rsidR="007D05A3" w:rsidRPr="00B53C13" w:rsidDel="00E918BB" w:rsidRDefault="007D05A3" w:rsidP="00340DC6">
                  <w:pPr>
                    <w:pStyle w:val="CERnon-indent"/>
                    <w:spacing w:before="60" w:after="60"/>
                    <w:rPr>
                      <w:color w:val="auto"/>
                      <w:sz w:val="16"/>
                      <w:szCs w:val="16"/>
                    </w:rPr>
                  </w:pPr>
                  <w:r w:rsidRPr="00B53C13">
                    <w:rPr>
                      <w:color w:val="auto"/>
                      <w:sz w:val="16"/>
                      <w:szCs w:val="16"/>
                    </w:rPr>
                    <w:t xml:space="preserve">Monthly Maintenance Schedule  – Transmission System line  outages </w:t>
                  </w:r>
                </w:p>
              </w:tc>
              <w:tc>
                <w:tcPr>
                  <w:tcW w:w="900" w:type="dxa"/>
                  <w:tcBorders>
                    <w:top w:val="nil"/>
                    <w:left w:val="nil"/>
                    <w:bottom w:val="nil"/>
                    <w:right w:val="nil"/>
                  </w:tcBorders>
                </w:tcPr>
                <w:p w:rsidR="007D05A3" w:rsidRPr="00B53C13" w:rsidRDefault="007D05A3" w:rsidP="00340DC6">
                  <w:pPr>
                    <w:pStyle w:val="CERnon-indent"/>
                    <w:spacing w:before="60" w:after="60"/>
                    <w:rPr>
                      <w:color w:val="auto"/>
                      <w:sz w:val="16"/>
                      <w:szCs w:val="16"/>
                    </w:rPr>
                  </w:pPr>
                </w:p>
              </w:tc>
              <w:tc>
                <w:tcPr>
                  <w:tcW w:w="1040" w:type="dxa"/>
                  <w:tcBorders>
                    <w:top w:val="nil"/>
                    <w:left w:val="nil"/>
                    <w:bottom w:val="nil"/>
                    <w:right w:val="nil"/>
                  </w:tcBorders>
                </w:tcPr>
                <w:p w:rsidR="007D05A3" w:rsidRPr="00B53C13" w:rsidRDefault="007D05A3" w:rsidP="00340DC6">
                  <w:pPr>
                    <w:pStyle w:val="CERnon-indent"/>
                    <w:spacing w:before="60" w:after="60"/>
                    <w:rPr>
                      <w:color w:val="auto"/>
                      <w:sz w:val="16"/>
                      <w:szCs w:val="16"/>
                    </w:rPr>
                  </w:pPr>
                </w:p>
              </w:tc>
            </w:tr>
            <w:tr w:rsidR="007D05A3" w:rsidRPr="00B53C13" w:rsidTr="00340DC6">
              <w:tc>
                <w:tcPr>
                  <w:tcW w:w="2531" w:type="dxa"/>
                  <w:tcBorders>
                    <w:top w:val="nil"/>
                    <w:left w:val="nil"/>
                    <w:bottom w:val="nil"/>
                    <w:right w:val="nil"/>
                  </w:tcBorders>
                </w:tcPr>
                <w:p w:rsidR="007D05A3" w:rsidRPr="00B53C13" w:rsidRDefault="007D05A3" w:rsidP="00340DC6">
                  <w:pPr>
                    <w:pStyle w:val="CERnon-indent"/>
                    <w:spacing w:before="60" w:after="60"/>
                    <w:rPr>
                      <w:color w:val="auto"/>
                      <w:sz w:val="16"/>
                      <w:szCs w:val="16"/>
                    </w:rPr>
                  </w:pPr>
                  <w:r w:rsidRPr="00B53C13">
                    <w:rPr>
                      <w:color w:val="auto"/>
                      <w:sz w:val="16"/>
                      <w:szCs w:val="16"/>
                    </w:rPr>
                    <w:t>By 10:00, at least one Working Day before start of Month</w:t>
                  </w:r>
                </w:p>
              </w:tc>
              <w:tc>
                <w:tcPr>
                  <w:tcW w:w="3240" w:type="dxa"/>
                  <w:tcBorders>
                    <w:top w:val="nil"/>
                    <w:left w:val="nil"/>
                    <w:bottom w:val="nil"/>
                    <w:right w:val="nil"/>
                  </w:tcBorders>
                </w:tcPr>
                <w:p w:rsidR="007D05A3" w:rsidRPr="00B53C13" w:rsidRDefault="007D05A3" w:rsidP="00340DC6">
                  <w:pPr>
                    <w:pStyle w:val="CERnon-indent"/>
                    <w:spacing w:before="60" w:after="60"/>
                    <w:rPr>
                      <w:color w:val="auto"/>
                      <w:sz w:val="16"/>
                      <w:szCs w:val="16"/>
                    </w:rPr>
                  </w:pPr>
                  <w:r w:rsidRPr="00B53C13">
                    <w:rPr>
                      <w:color w:val="auto"/>
                      <w:sz w:val="16"/>
                      <w:szCs w:val="16"/>
                    </w:rPr>
                    <w:t>Monthly Load Forecast and assumptions</w:t>
                  </w:r>
                </w:p>
              </w:tc>
              <w:tc>
                <w:tcPr>
                  <w:tcW w:w="900" w:type="dxa"/>
                  <w:tcBorders>
                    <w:top w:val="nil"/>
                    <w:left w:val="nil"/>
                    <w:bottom w:val="nil"/>
                    <w:right w:val="nil"/>
                  </w:tcBorders>
                </w:tcPr>
                <w:p w:rsidR="007D05A3" w:rsidRPr="00B53C13" w:rsidRDefault="007D05A3" w:rsidP="00340DC6">
                  <w:pPr>
                    <w:pStyle w:val="CERnon-indent"/>
                    <w:spacing w:before="60" w:after="60"/>
                    <w:rPr>
                      <w:color w:val="auto"/>
                      <w:sz w:val="16"/>
                      <w:szCs w:val="16"/>
                    </w:rPr>
                  </w:pPr>
                  <w:r w:rsidRPr="00B53C13">
                    <w:rPr>
                      <w:color w:val="auto"/>
                      <w:sz w:val="16"/>
                      <w:szCs w:val="16"/>
                    </w:rPr>
                    <w:t>--</w:t>
                  </w:r>
                </w:p>
              </w:tc>
              <w:tc>
                <w:tcPr>
                  <w:tcW w:w="1040" w:type="dxa"/>
                  <w:tcBorders>
                    <w:top w:val="nil"/>
                    <w:left w:val="nil"/>
                    <w:bottom w:val="nil"/>
                    <w:right w:val="nil"/>
                  </w:tcBorders>
                </w:tcPr>
                <w:p w:rsidR="007D05A3" w:rsidRPr="00B53C13" w:rsidRDefault="007D05A3" w:rsidP="00340DC6">
                  <w:pPr>
                    <w:pStyle w:val="CERnon-indent"/>
                    <w:spacing w:before="60" w:after="60"/>
                    <w:rPr>
                      <w:color w:val="auto"/>
                      <w:sz w:val="16"/>
                      <w:szCs w:val="16"/>
                    </w:rPr>
                  </w:pPr>
                  <w:r w:rsidRPr="00B53C13">
                    <w:rPr>
                      <w:color w:val="auto"/>
                      <w:sz w:val="16"/>
                      <w:szCs w:val="16"/>
                    </w:rPr>
                    <w:t>--</w:t>
                  </w:r>
                </w:p>
              </w:tc>
            </w:tr>
            <w:tr w:rsidR="007D05A3" w:rsidRPr="00B53C13" w:rsidDel="0088681D" w:rsidTr="00340DC6">
              <w:trPr>
                <w:del w:id="0" w:author="Robert Flanagan" w:date="2013-11-11T16:24:00Z"/>
              </w:trPr>
              <w:tc>
                <w:tcPr>
                  <w:tcW w:w="2531" w:type="dxa"/>
                  <w:tcBorders>
                    <w:top w:val="nil"/>
                    <w:left w:val="nil"/>
                    <w:bottom w:val="nil"/>
                    <w:right w:val="nil"/>
                  </w:tcBorders>
                </w:tcPr>
                <w:p w:rsidR="007D05A3" w:rsidRPr="00B53C13" w:rsidDel="0088681D" w:rsidRDefault="007D05A3" w:rsidP="00340DC6">
                  <w:pPr>
                    <w:pStyle w:val="CERnon-indent"/>
                    <w:spacing w:before="60" w:after="60"/>
                    <w:rPr>
                      <w:del w:id="1" w:author="Robert Flanagan" w:date="2013-11-11T16:24:00Z"/>
                      <w:color w:val="auto"/>
                      <w:sz w:val="16"/>
                      <w:szCs w:val="16"/>
                    </w:rPr>
                  </w:pPr>
                  <w:del w:id="2" w:author="Robert Flanagan" w:date="2013-11-11T16:24:00Z">
                    <w:r w:rsidRPr="00B53C13" w:rsidDel="0088681D">
                      <w:rPr>
                        <w:color w:val="auto"/>
                        <w:sz w:val="16"/>
                        <w:szCs w:val="16"/>
                      </w:rPr>
                      <w:delText>By 10:00, at least five Working Days before start of Month</w:delText>
                    </w:r>
                  </w:del>
                </w:p>
              </w:tc>
              <w:tc>
                <w:tcPr>
                  <w:tcW w:w="3240" w:type="dxa"/>
                  <w:tcBorders>
                    <w:top w:val="nil"/>
                    <w:left w:val="nil"/>
                    <w:bottom w:val="nil"/>
                    <w:right w:val="nil"/>
                  </w:tcBorders>
                </w:tcPr>
                <w:p w:rsidR="007D05A3" w:rsidRPr="00B53C13" w:rsidDel="0088681D" w:rsidRDefault="007D05A3" w:rsidP="00340DC6">
                  <w:pPr>
                    <w:pStyle w:val="CERnon-indent"/>
                    <w:spacing w:before="60" w:after="60"/>
                    <w:rPr>
                      <w:del w:id="3" w:author="Robert Flanagan" w:date="2013-11-11T16:24:00Z"/>
                      <w:color w:val="auto"/>
                      <w:sz w:val="16"/>
                      <w:szCs w:val="16"/>
                    </w:rPr>
                  </w:pPr>
                  <w:del w:id="4" w:author="Robert Flanagan" w:date="2013-11-11T16:24:00Z">
                    <w:r w:rsidRPr="00B53C13" w:rsidDel="0088681D">
                      <w:rPr>
                        <w:color w:val="auto"/>
                        <w:sz w:val="16"/>
                        <w:szCs w:val="16"/>
                      </w:rPr>
                      <w:delText>Margin</w:delText>
                    </w:r>
                  </w:del>
                </w:p>
              </w:tc>
              <w:tc>
                <w:tcPr>
                  <w:tcW w:w="900" w:type="dxa"/>
                  <w:tcBorders>
                    <w:top w:val="nil"/>
                    <w:left w:val="nil"/>
                    <w:bottom w:val="nil"/>
                    <w:right w:val="nil"/>
                  </w:tcBorders>
                </w:tcPr>
                <w:p w:rsidR="007D05A3" w:rsidRPr="00B53C13" w:rsidDel="0088681D" w:rsidRDefault="007D05A3" w:rsidP="00340DC6">
                  <w:pPr>
                    <w:pStyle w:val="CERnon-indent"/>
                    <w:spacing w:before="60" w:after="60"/>
                    <w:rPr>
                      <w:del w:id="5" w:author="Robert Flanagan" w:date="2013-11-11T16:24:00Z"/>
                      <w:color w:val="auto"/>
                      <w:sz w:val="16"/>
                      <w:szCs w:val="16"/>
                    </w:rPr>
                  </w:pPr>
                  <w:del w:id="6" w:author="Robert Flanagan" w:date="2013-11-11T16:24:00Z">
                    <w:r w:rsidRPr="00B53C13" w:rsidDel="0088681D">
                      <w:rPr>
                        <w:color w:val="auto"/>
                        <w:sz w:val="16"/>
                        <w:szCs w:val="16"/>
                      </w:rPr>
                      <w:delText>M</w:delText>
                    </w:r>
                  </w:del>
                </w:p>
              </w:tc>
              <w:tc>
                <w:tcPr>
                  <w:tcW w:w="1040" w:type="dxa"/>
                  <w:tcBorders>
                    <w:top w:val="nil"/>
                    <w:left w:val="nil"/>
                    <w:bottom w:val="nil"/>
                    <w:right w:val="nil"/>
                  </w:tcBorders>
                </w:tcPr>
                <w:p w:rsidR="007D05A3" w:rsidRPr="00B53C13" w:rsidDel="0088681D" w:rsidRDefault="007D05A3" w:rsidP="00340DC6">
                  <w:pPr>
                    <w:pStyle w:val="CERnon-indent"/>
                    <w:spacing w:before="60" w:after="60"/>
                    <w:rPr>
                      <w:del w:id="7" w:author="Robert Flanagan" w:date="2013-11-11T16:24:00Z"/>
                      <w:color w:val="auto"/>
                      <w:sz w:val="16"/>
                      <w:szCs w:val="16"/>
                    </w:rPr>
                  </w:pPr>
                  <w:del w:id="8" w:author="Robert Flanagan" w:date="2013-11-11T16:24:00Z">
                    <w:r w:rsidRPr="00B53C13" w:rsidDel="0088681D">
                      <w:rPr>
                        <w:color w:val="auto"/>
                        <w:sz w:val="16"/>
                        <w:szCs w:val="16"/>
                      </w:rPr>
                      <w:delText>h</w:delText>
                    </w:r>
                  </w:del>
                </w:p>
              </w:tc>
            </w:tr>
            <w:tr w:rsidR="007D05A3" w:rsidRPr="00B53C13" w:rsidTr="00340DC6">
              <w:tc>
                <w:tcPr>
                  <w:tcW w:w="2531" w:type="dxa"/>
                  <w:tcBorders>
                    <w:top w:val="nil"/>
                    <w:left w:val="nil"/>
                    <w:bottom w:val="nil"/>
                    <w:right w:val="nil"/>
                  </w:tcBorders>
                </w:tcPr>
                <w:p w:rsidR="007D05A3" w:rsidRPr="00B53C13" w:rsidRDefault="007D05A3" w:rsidP="00340DC6">
                  <w:pPr>
                    <w:pStyle w:val="CERnon-indent"/>
                    <w:spacing w:before="60" w:after="60"/>
                    <w:rPr>
                      <w:color w:val="auto"/>
                      <w:sz w:val="16"/>
                      <w:szCs w:val="16"/>
                    </w:rPr>
                  </w:pPr>
                  <w:r w:rsidRPr="00B53C13">
                    <w:rPr>
                      <w:color w:val="auto"/>
                      <w:sz w:val="16"/>
                      <w:szCs w:val="16"/>
                    </w:rPr>
                    <w:t>By 10:00, at least five Working Days before start of Month</w:t>
                  </w:r>
                </w:p>
              </w:tc>
              <w:tc>
                <w:tcPr>
                  <w:tcW w:w="3240" w:type="dxa"/>
                  <w:tcBorders>
                    <w:top w:val="nil"/>
                    <w:left w:val="nil"/>
                    <w:bottom w:val="nil"/>
                    <w:right w:val="nil"/>
                  </w:tcBorders>
                </w:tcPr>
                <w:p w:rsidR="007D05A3" w:rsidRPr="00B53C13" w:rsidRDefault="007D05A3" w:rsidP="00340DC6">
                  <w:pPr>
                    <w:pStyle w:val="CERnon-indent"/>
                    <w:spacing w:before="60" w:after="60"/>
                    <w:rPr>
                      <w:color w:val="auto"/>
                      <w:sz w:val="16"/>
                      <w:szCs w:val="16"/>
                    </w:rPr>
                  </w:pPr>
                  <w:r w:rsidRPr="00B53C13">
                    <w:rPr>
                      <w:color w:val="auto"/>
                      <w:sz w:val="16"/>
                      <w:szCs w:val="16"/>
                    </w:rPr>
                    <w:t>Loss of Load Probability for each Trading Period in the relevant Month</w:t>
                  </w:r>
                </w:p>
              </w:tc>
              <w:tc>
                <w:tcPr>
                  <w:tcW w:w="900" w:type="dxa"/>
                  <w:tcBorders>
                    <w:top w:val="nil"/>
                    <w:left w:val="nil"/>
                    <w:bottom w:val="nil"/>
                    <w:right w:val="nil"/>
                  </w:tcBorders>
                </w:tcPr>
                <w:p w:rsidR="007D05A3" w:rsidRPr="00B53C13" w:rsidRDefault="007D05A3" w:rsidP="00340DC6">
                  <w:pPr>
                    <w:pStyle w:val="CERnon-indent"/>
                    <w:spacing w:before="60" w:after="60"/>
                    <w:rPr>
                      <w:color w:val="auto"/>
                      <w:sz w:val="16"/>
                      <w:szCs w:val="16"/>
                    </w:rPr>
                  </w:pPr>
                  <w:r w:rsidRPr="00B53C13">
                    <w:rPr>
                      <w:color w:val="auto"/>
                      <w:sz w:val="16"/>
                      <w:szCs w:val="16"/>
                    </w:rPr>
                    <w:t>λ</w:t>
                  </w:r>
                </w:p>
              </w:tc>
              <w:tc>
                <w:tcPr>
                  <w:tcW w:w="1040" w:type="dxa"/>
                  <w:tcBorders>
                    <w:top w:val="nil"/>
                    <w:left w:val="nil"/>
                    <w:bottom w:val="nil"/>
                    <w:right w:val="nil"/>
                  </w:tcBorders>
                </w:tcPr>
                <w:p w:rsidR="007D05A3" w:rsidRPr="00B53C13" w:rsidRDefault="007D05A3" w:rsidP="00340DC6">
                  <w:pPr>
                    <w:pStyle w:val="CERnon-indent"/>
                    <w:spacing w:before="60" w:after="60"/>
                    <w:rPr>
                      <w:color w:val="auto"/>
                      <w:sz w:val="16"/>
                      <w:szCs w:val="16"/>
                    </w:rPr>
                  </w:pPr>
                  <w:r w:rsidRPr="00B53C13">
                    <w:rPr>
                      <w:color w:val="auto"/>
                      <w:sz w:val="16"/>
                      <w:szCs w:val="16"/>
                    </w:rPr>
                    <w:t>h</w:t>
                  </w:r>
                </w:p>
              </w:tc>
            </w:tr>
            <w:tr w:rsidR="007D05A3" w:rsidRPr="00B53C13" w:rsidTr="00340DC6">
              <w:tc>
                <w:tcPr>
                  <w:tcW w:w="2531" w:type="dxa"/>
                  <w:tcBorders>
                    <w:top w:val="nil"/>
                    <w:left w:val="nil"/>
                    <w:right w:val="nil"/>
                  </w:tcBorders>
                </w:tcPr>
                <w:p w:rsidR="007D05A3" w:rsidRPr="00B53C13" w:rsidRDefault="007D05A3" w:rsidP="00340DC6">
                  <w:pPr>
                    <w:pStyle w:val="CERnon-indent"/>
                    <w:spacing w:before="60" w:after="60"/>
                    <w:rPr>
                      <w:color w:val="auto"/>
                      <w:sz w:val="16"/>
                      <w:szCs w:val="16"/>
                    </w:rPr>
                  </w:pPr>
                  <w:r w:rsidRPr="00B53C13">
                    <w:rPr>
                      <w:color w:val="auto"/>
                      <w:sz w:val="16"/>
                      <w:szCs w:val="16"/>
                    </w:rPr>
                    <w:t>By 10:00, at least five Working Days before start of Month</w:t>
                  </w:r>
                </w:p>
              </w:tc>
              <w:tc>
                <w:tcPr>
                  <w:tcW w:w="3240" w:type="dxa"/>
                  <w:tcBorders>
                    <w:top w:val="nil"/>
                    <w:left w:val="nil"/>
                    <w:right w:val="nil"/>
                  </w:tcBorders>
                </w:tcPr>
                <w:p w:rsidR="007D05A3" w:rsidRPr="00B53C13" w:rsidRDefault="007D05A3" w:rsidP="00340DC6">
                  <w:pPr>
                    <w:pStyle w:val="CERnon-indent"/>
                    <w:spacing w:before="60" w:after="60"/>
                    <w:rPr>
                      <w:color w:val="auto"/>
                      <w:sz w:val="16"/>
                      <w:szCs w:val="16"/>
                    </w:rPr>
                  </w:pPr>
                  <w:r w:rsidRPr="00B53C13">
                    <w:rPr>
                      <w:color w:val="auto"/>
                      <w:sz w:val="16"/>
                      <w:szCs w:val="16"/>
                    </w:rPr>
                    <w:t>Variable Capacity Payments Weighting Factor for each Trading Period in the relevant Month</w:t>
                  </w:r>
                </w:p>
              </w:tc>
              <w:tc>
                <w:tcPr>
                  <w:tcW w:w="900" w:type="dxa"/>
                  <w:tcBorders>
                    <w:top w:val="nil"/>
                    <w:left w:val="nil"/>
                    <w:right w:val="nil"/>
                  </w:tcBorders>
                </w:tcPr>
                <w:p w:rsidR="007D05A3" w:rsidRPr="00B53C13" w:rsidRDefault="007D05A3" w:rsidP="00340DC6">
                  <w:pPr>
                    <w:pStyle w:val="CERnon-indent"/>
                    <w:spacing w:before="60" w:after="60"/>
                    <w:rPr>
                      <w:color w:val="auto"/>
                      <w:sz w:val="16"/>
                      <w:szCs w:val="16"/>
                    </w:rPr>
                  </w:pPr>
                  <w:r w:rsidRPr="00B53C13">
                    <w:rPr>
                      <w:color w:val="auto"/>
                      <w:sz w:val="16"/>
                      <w:szCs w:val="16"/>
                    </w:rPr>
                    <w:t>VCPWF</w:t>
                  </w:r>
                </w:p>
              </w:tc>
              <w:tc>
                <w:tcPr>
                  <w:tcW w:w="1040" w:type="dxa"/>
                  <w:tcBorders>
                    <w:top w:val="nil"/>
                    <w:left w:val="nil"/>
                    <w:right w:val="nil"/>
                  </w:tcBorders>
                </w:tcPr>
                <w:p w:rsidR="007D05A3" w:rsidRPr="00B53C13" w:rsidRDefault="007D05A3" w:rsidP="00340DC6">
                  <w:pPr>
                    <w:pStyle w:val="CERnon-indent"/>
                    <w:spacing w:before="60" w:after="60"/>
                    <w:rPr>
                      <w:color w:val="auto"/>
                      <w:sz w:val="16"/>
                      <w:szCs w:val="16"/>
                    </w:rPr>
                  </w:pPr>
                  <w:r w:rsidRPr="00B53C13">
                    <w:rPr>
                      <w:color w:val="auto"/>
                      <w:sz w:val="16"/>
                      <w:szCs w:val="16"/>
                    </w:rPr>
                    <w:t>h</w:t>
                  </w:r>
                </w:p>
              </w:tc>
            </w:tr>
            <w:tr w:rsidR="007D05A3" w:rsidRPr="00B53C13" w:rsidTr="00340DC6">
              <w:tc>
                <w:tcPr>
                  <w:tcW w:w="2531" w:type="dxa"/>
                  <w:tcBorders>
                    <w:left w:val="nil"/>
                    <w:bottom w:val="single" w:sz="12" w:space="0" w:color="808080"/>
                    <w:right w:val="nil"/>
                  </w:tcBorders>
                </w:tcPr>
                <w:p w:rsidR="007D05A3" w:rsidRPr="00B53C13" w:rsidRDefault="007D05A3" w:rsidP="00340DC6">
                  <w:pPr>
                    <w:pStyle w:val="CERnon-indent"/>
                    <w:spacing w:before="60" w:after="60"/>
                    <w:rPr>
                      <w:color w:val="auto"/>
                      <w:sz w:val="16"/>
                      <w:szCs w:val="16"/>
                    </w:rPr>
                  </w:pPr>
                  <w:r w:rsidRPr="00B53C13">
                    <w:rPr>
                      <w:color w:val="auto"/>
                      <w:sz w:val="16"/>
                      <w:szCs w:val="16"/>
                    </w:rPr>
                    <w:t>At least once every four Months</w:t>
                  </w:r>
                </w:p>
              </w:tc>
              <w:tc>
                <w:tcPr>
                  <w:tcW w:w="3240" w:type="dxa"/>
                  <w:tcBorders>
                    <w:left w:val="nil"/>
                    <w:bottom w:val="single" w:sz="12" w:space="0" w:color="808080"/>
                    <w:right w:val="nil"/>
                  </w:tcBorders>
                </w:tcPr>
                <w:p w:rsidR="007D05A3" w:rsidRPr="00B53C13" w:rsidRDefault="007D05A3" w:rsidP="00340DC6">
                  <w:pPr>
                    <w:pStyle w:val="CERnon-indent"/>
                    <w:spacing w:before="60" w:after="60"/>
                    <w:rPr>
                      <w:color w:val="auto"/>
                      <w:sz w:val="16"/>
                      <w:szCs w:val="16"/>
                    </w:rPr>
                  </w:pPr>
                  <w:r w:rsidRPr="00B53C13">
                    <w:rPr>
                      <w:color w:val="auto"/>
                      <w:sz w:val="16"/>
                      <w:szCs w:val="16"/>
                    </w:rPr>
                    <w:t>Reports on progress and status of Modification Proposals</w:t>
                  </w:r>
                </w:p>
              </w:tc>
              <w:tc>
                <w:tcPr>
                  <w:tcW w:w="900" w:type="dxa"/>
                  <w:tcBorders>
                    <w:left w:val="nil"/>
                    <w:bottom w:val="single" w:sz="12" w:space="0" w:color="808080"/>
                    <w:right w:val="nil"/>
                  </w:tcBorders>
                </w:tcPr>
                <w:p w:rsidR="007D05A3" w:rsidRPr="00B53C13" w:rsidRDefault="007D05A3" w:rsidP="00340DC6">
                  <w:pPr>
                    <w:pStyle w:val="CERnon-indent"/>
                    <w:spacing w:before="60" w:after="60"/>
                    <w:rPr>
                      <w:color w:val="auto"/>
                      <w:sz w:val="16"/>
                      <w:szCs w:val="16"/>
                    </w:rPr>
                  </w:pPr>
                </w:p>
              </w:tc>
              <w:tc>
                <w:tcPr>
                  <w:tcW w:w="1040" w:type="dxa"/>
                  <w:tcBorders>
                    <w:left w:val="nil"/>
                    <w:bottom w:val="single" w:sz="12" w:space="0" w:color="808080"/>
                    <w:right w:val="nil"/>
                  </w:tcBorders>
                </w:tcPr>
                <w:p w:rsidR="007D05A3" w:rsidRPr="00B53C13" w:rsidRDefault="007D05A3" w:rsidP="00340DC6">
                  <w:pPr>
                    <w:pStyle w:val="CERnon-indent"/>
                    <w:spacing w:before="60" w:after="60"/>
                    <w:rPr>
                      <w:color w:val="auto"/>
                      <w:sz w:val="16"/>
                      <w:szCs w:val="16"/>
                    </w:rPr>
                  </w:pPr>
                </w:p>
              </w:tc>
            </w:tr>
          </w:tbl>
          <w:p w:rsidR="007D05A3" w:rsidRPr="004C53E7" w:rsidRDefault="007D05A3" w:rsidP="00340DC6">
            <w:pPr>
              <w:tabs>
                <w:tab w:val="num" w:pos="851"/>
              </w:tabs>
              <w:overflowPunct/>
              <w:autoSpaceDE/>
              <w:autoSpaceDN/>
              <w:adjustRightInd/>
              <w:spacing w:before="120" w:after="120"/>
              <w:textAlignment w:val="auto"/>
              <w:rPr>
                <w:rFonts w:ascii="Calibri" w:hAnsi="Calibri" w:cs="Arial"/>
                <w:b/>
                <w:bCs/>
                <w:iCs/>
                <w:lang w:val="en-IE"/>
              </w:rPr>
            </w:pPr>
          </w:p>
        </w:tc>
      </w:tr>
    </w:tbl>
    <w:p w:rsidR="007D05A3" w:rsidRDefault="007D05A3" w:rsidP="00D23B1F">
      <w:pPr>
        <w:keepNext/>
        <w:overflowPunct/>
        <w:autoSpaceDE/>
        <w:autoSpaceDN/>
        <w:adjustRightInd/>
        <w:spacing w:before="120" w:after="120"/>
        <w:textAlignment w:val="auto"/>
        <w:rPr>
          <w:rFonts w:ascii="Arial" w:hAnsi="Arial"/>
          <w:b/>
          <w:bCs/>
          <w:sz w:val="16"/>
          <w:szCs w:val="16"/>
          <w:lang w:val="en-IE"/>
        </w:rPr>
        <w:sectPr w:rsidR="007D05A3" w:rsidSect="00EC45AF">
          <w:pgSz w:w="11906" w:h="16838"/>
          <w:pgMar w:top="1440" w:right="1440" w:bottom="1440" w:left="1440" w:header="708" w:footer="708" w:gutter="0"/>
          <w:cols w:space="708"/>
          <w:docGrid w:linePitch="360"/>
        </w:sectPr>
      </w:pPr>
    </w:p>
    <w:tbl>
      <w:tblPr>
        <w:tblStyle w:val="TableGrid"/>
        <w:tblW w:w="5000" w:type="pct"/>
        <w:tblLook w:val="04A0"/>
      </w:tblPr>
      <w:tblGrid>
        <w:gridCol w:w="14174"/>
      </w:tblGrid>
      <w:tr w:rsidR="007D05A3" w:rsidTr="00340DC6">
        <w:tc>
          <w:tcPr>
            <w:tcW w:w="5000" w:type="pct"/>
          </w:tcPr>
          <w:p w:rsidR="007F7E9D" w:rsidRDefault="007F7E9D" w:rsidP="00340DC6">
            <w:pPr>
              <w:keepNext/>
              <w:overflowPunct/>
              <w:autoSpaceDE/>
              <w:autoSpaceDN/>
              <w:adjustRightInd/>
              <w:spacing w:before="240" w:after="120"/>
              <w:textAlignment w:val="auto"/>
              <w:rPr>
                <w:rFonts w:ascii="Arial" w:hAnsi="Arial"/>
                <w:b/>
                <w:caps/>
                <w:sz w:val="24"/>
                <w:lang w:val="en-GB" w:eastAsia="en-US"/>
              </w:rPr>
            </w:pPr>
            <w:r w:rsidRPr="007F7E9D">
              <w:rPr>
                <w:rFonts w:ascii="Arial" w:hAnsi="Arial"/>
                <w:b/>
                <w:caps/>
                <w:sz w:val="24"/>
                <w:lang w:val="en-GB" w:eastAsia="en-US"/>
              </w:rPr>
              <w:lastRenderedPageBreak/>
              <w:t>Agreed Procedure 6: Data Publication and Data Reporting</w:t>
            </w:r>
          </w:p>
          <w:p w:rsidR="007F7E9D" w:rsidRDefault="007F7E9D" w:rsidP="00340DC6">
            <w:pPr>
              <w:keepNext/>
              <w:overflowPunct/>
              <w:autoSpaceDE/>
              <w:autoSpaceDN/>
              <w:adjustRightInd/>
              <w:spacing w:before="240" w:after="120"/>
              <w:textAlignment w:val="auto"/>
              <w:rPr>
                <w:rFonts w:ascii="Arial" w:hAnsi="Arial"/>
                <w:b/>
                <w:caps/>
                <w:sz w:val="24"/>
                <w:lang w:val="en-GB" w:eastAsia="en-US"/>
              </w:rPr>
            </w:pPr>
          </w:p>
          <w:p w:rsidR="007F7E9D" w:rsidRPr="005D2570" w:rsidRDefault="007F7E9D" w:rsidP="007F7E9D">
            <w:pPr>
              <w:pStyle w:val="CERNUMAPPENDXHD1"/>
              <w:ind w:left="900"/>
            </w:pPr>
            <w:r>
              <w:t>APPENDIX 2: Report Listing</w:t>
            </w:r>
          </w:p>
          <w:p w:rsidR="007D05A3" w:rsidRPr="00936557" w:rsidRDefault="007F7E9D" w:rsidP="007F7E9D">
            <w:pPr>
              <w:keepNext/>
              <w:overflowPunct/>
              <w:autoSpaceDE/>
              <w:autoSpaceDN/>
              <w:adjustRightInd/>
              <w:spacing w:after="120"/>
              <w:textAlignment w:val="auto"/>
              <w:rPr>
                <w:rFonts w:ascii="Arial" w:hAnsi="Arial"/>
                <w:b/>
                <w:caps/>
                <w:sz w:val="24"/>
                <w:lang w:val="en-GB" w:eastAsia="en-US"/>
              </w:rPr>
            </w:pPr>
            <w:r>
              <w:rPr>
                <w:rFonts w:ascii="Arial" w:hAnsi="Arial"/>
                <w:b/>
                <w:bCs/>
                <w:lang w:val="en-IE"/>
              </w:rPr>
              <w:t xml:space="preserve"> </w:t>
            </w:r>
            <w:r w:rsidR="007D05A3" w:rsidRPr="00936557">
              <w:rPr>
                <w:rFonts w:ascii="Arial" w:hAnsi="Arial"/>
                <w:b/>
                <w:caps/>
                <w:sz w:val="24"/>
                <w:lang w:val="en-GB" w:eastAsia="en-US"/>
              </w:rPr>
              <w:t xml:space="preserve">Data Publications </w:t>
            </w:r>
          </w:p>
          <w:p w:rsidR="007D05A3" w:rsidRDefault="007D05A3" w:rsidP="007F7E9D">
            <w:pPr>
              <w:tabs>
                <w:tab w:val="num" w:pos="851"/>
              </w:tabs>
              <w:overflowPunct/>
              <w:autoSpaceDE/>
              <w:autoSpaceDN/>
              <w:adjustRightInd/>
              <w:spacing w:before="120" w:after="120"/>
              <w:textAlignment w:val="auto"/>
              <w:rPr>
                <w:rFonts w:ascii="Arial" w:hAnsi="Arial"/>
                <w:sz w:val="22"/>
                <w:lang w:val="en-GB" w:eastAsia="en-US"/>
              </w:rPr>
            </w:pPr>
            <w:r w:rsidRPr="00936557">
              <w:rPr>
                <w:rFonts w:ascii="Arial" w:hAnsi="Arial"/>
                <w:sz w:val="22"/>
                <w:lang w:val="en-GB" w:eastAsia="en-US"/>
              </w:rPr>
              <w:t>The following list identifies each Data Publication that is published to the general public via the MO Website and whether it is also reported to Participants via the MPI.  When a report of the same name as set out in Appendix E is updated, and the information contained within those reports is generated by Market Operators Isolated Market System, the previously Published report of the same name will be overwritten by the new Publication.</w:t>
            </w:r>
          </w:p>
          <w:p w:rsidR="007F7E9D" w:rsidRPr="007F7E9D" w:rsidRDefault="007F7E9D" w:rsidP="007F7E9D">
            <w:pPr>
              <w:tabs>
                <w:tab w:val="num" w:pos="851"/>
              </w:tabs>
              <w:overflowPunct/>
              <w:autoSpaceDE/>
              <w:autoSpaceDN/>
              <w:adjustRightInd/>
              <w:spacing w:before="120" w:after="120"/>
              <w:textAlignment w:val="auto"/>
              <w:rPr>
                <w:rFonts w:ascii="Arial" w:hAnsi="Arial"/>
                <w:sz w:val="22"/>
                <w:lang w:val="en-GB" w:eastAsia="en-US"/>
              </w:rPr>
            </w:pPr>
          </w:p>
          <w:tbl>
            <w:tblPr>
              <w:tblW w:w="0" w:type="auto"/>
              <w:tblInd w:w="78" w:type="dxa"/>
              <w:tblLook w:val="0000"/>
            </w:tblPr>
            <w:tblGrid>
              <w:gridCol w:w="4338"/>
              <w:gridCol w:w="720"/>
              <w:gridCol w:w="1975"/>
              <w:gridCol w:w="1079"/>
              <w:gridCol w:w="1438"/>
              <w:gridCol w:w="1438"/>
              <w:gridCol w:w="1439"/>
              <w:gridCol w:w="1437"/>
            </w:tblGrid>
            <w:tr w:rsidR="007D05A3" w:rsidRPr="007222B9" w:rsidTr="00340DC6">
              <w:trPr>
                <w:trHeight w:val="218"/>
              </w:trPr>
              <w:tc>
                <w:tcPr>
                  <w:tcW w:w="4338" w:type="dxa"/>
                  <w:tcBorders>
                    <w:top w:val="single" w:sz="6" w:space="0" w:color="auto"/>
                    <w:left w:val="single" w:sz="6" w:space="0" w:color="auto"/>
                    <w:bottom w:val="single" w:sz="6" w:space="0" w:color="auto"/>
                    <w:right w:val="single" w:sz="6" w:space="0" w:color="auto"/>
                  </w:tcBorders>
                  <w:shd w:val="clear" w:color="auto" w:fill="000000" w:themeFill="text1"/>
                </w:tcPr>
                <w:p w:rsidR="007D05A3" w:rsidRPr="007222B9" w:rsidRDefault="007D05A3" w:rsidP="00340DC6">
                  <w:pPr>
                    <w:keepNext/>
                    <w:overflowPunct/>
                    <w:autoSpaceDE/>
                    <w:autoSpaceDN/>
                    <w:adjustRightInd/>
                    <w:spacing w:before="120" w:after="120"/>
                    <w:jc w:val="center"/>
                    <w:textAlignment w:val="auto"/>
                    <w:rPr>
                      <w:rFonts w:ascii="Arial" w:hAnsi="Arial"/>
                      <w:b/>
                      <w:bCs/>
                      <w:sz w:val="16"/>
                      <w:szCs w:val="16"/>
                      <w:lang w:val="en-IE"/>
                    </w:rPr>
                  </w:pPr>
                  <w:r w:rsidRPr="007222B9">
                    <w:rPr>
                      <w:rFonts w:ascii="Arial" w:hAnsi="Arial"/>
                      <w:b/>
                      <w:bCs/>
                      <w:sz w:val="16"/>
                      <w:szCs w:val="16"/>
                      <w:lang w:val="en-IE"/>
                    </w:rPr>
                    <w:t>Publication / Data Report Name</w:t>
                  </w:r>
                </w:p>
              </w:tc>
              <w:tc>
                <w:tcPr>
                  <w:tcW w:w="720" w:type="dxa"/>
                  <w:tcBorders>
                    <w:top w:val="single" w:sz="6" w:space="0" w:color="auto"/>
                    <w:left w:val="single" w:sz="6" w:space="0" w:color="auto"/>
                    <w:bottom w:val="single" w:sz="6" w:space="0" w:color="auto"/>
                    <w:right w:val="single" w:sz="6" w:space="0" w:color="auto"/>
                  </w:tcBorders>
                  <w:shd w:val="clear" w:color="auto" w:fill="000000" w:themeFill="text1"/>
                </w:tcPr>
                <w:p w:rsidR="007D05A3" w:rsidRPr="007222B9" w:rsidRDefault="007D05A3" w:rsidP="00340DC6">
                  <w:pPr>
                    <w:keepNext/>
                    <w:overflowPunct/>
                    <w:autoSpaceDE/>
                    <w:autoSpaceDN/>
                    <w:adjustRightInd/>
                    <w:spacing w:before="120" w:after="120"/>
                    <w:jc w:val="center"/>
                    <w:textAlignment w:val="auto"/>
                    <w:rPr>
                      <w:rFonts w:ascii="Arial" w:hAnsi="Arial"/>
                      <w:b/>
                      <w:bCs/>
                      <w:sz w:val="16"/>
                      <w:szCs w:val="16"/>
                      <w:lang w:val="en-IE"/>
                    </w:rPr>
                  </w:pPr>
                  <w:r w:rsidRPr="007222B9">
                    <w:rPr>
                      <w:rFonts w:ascii="Arial" w:hAnsi="Arial"/>
                      <w:b/>
                      <w:bCs/>
                      <w:sz w:val="16"/>
                      <w:szCs w:val="16"/>
                      <w:lang w:val="en-IE"/>
                    </w:rPr>
                    <w:t>Class</w:t>
                  </w:r>
                </w:p>
              </w:tc>
              <w:tc>
                <w:tcPr>
                  <w:tcW w:w="1975" w:type="dxa"/>
                  <w:tcBorders>
                    <w:top w:val="single" w:sz="6" w:space="0" w:color="auto"/>
                    <w:left w:val="single" w:sz="6" w:space="0" w:color="auto"/>
                    <w:bottom w:val="single" w:sz="6" w:space="0" w:color="auto"/>
                    <w:right w:val="single" w:sz="6" w:space="0" w:color="auto"/>
                  </w:tcBorders>
                  <w:shd w:val="clear" w:color="auto" w:fill="000000" w:themeFill="text1"/>
                </w:tcPr>
                <w:p w:rsidR="007D05A3" w:rsidRPr="007222B9" w:rsidRDefault="007D05A3" w:rsidP="00340DC6">
                  <w:pPr>
                    <w:keepNext/>
                    <w:overflowPunct/>
                    <w:autoSpaceDE/>
                    <w:autoSpaceDN/>
                    <w:adjustRightInd/>
                    <w:spacing w:before="120" w:after="120"/>
                    <w:jc w:val="center"/>
                    <w:textAlignment w:val="auto"/>
                    <w:rPr>
                      <w:rFonts w:ascii="Arial" w:hAnsi="Arial"/>
                      <w:b/>
                      <w:bCs/>
                      <w:sz w:val="16"/>
                      <w:szCs w:val="16"/>
                      <w:lang w:val="en-IE"/>
                    </w:rPr>
                  </w:pPr>
                  <w:r w:rsidRPr="007222B9">
                    <w:rPr>
                      <w:rFonts w:ascii="Arial" w:hAnsi="Arial"/>
                      <w:b/>
                      <w:bCs/>
                      <w:sz w:val="16"/>
                      <w:szCs w:val="16"/>
                      <w:lang w:val="en-IE"/>
                    </w:rPr>
                    <w:t>Timing</w:t>
                  </w:r>
                </w:p>
              </w:tc>
              <w:tc>
                <w:tcPr>
                  <w:tcW w:w="1079" w:type="dxa"/>
                  <w:tcBorders>
                    <w:top w:val="single" w:sz="6" w:space="0" w:color="auto"/>
                    <w:left w:val="single" w:sz="6" w:space="0" w:color="auto"/>
                    <w:bottom w:val="single" w:sz="6" w:space="0" w:color="auto"/>
                    <w:right w:val="single" w:sz="6" w:space="0" w:color="auto"/>
                  </w:tcBorders>
                  <w:shd w:val="clear" w:color="auto" w:fill="000000" w:themeFill="text1"/>
                </w:tcPr>
                <w:p w:rsidR="007D05A3" w:rsidRPr="007222B9" w:rsidRDefault="007D05A3" w:rsidP="00340DC6">
                  <w:pPr>
                    <w:keepNext/>
                    <w:overflowPunct/>
                    <w:autoSpaceDE/>
                    <w:autoSpaceDN/>
                    <w:adjustRightInd/>
                    <w:spacing w:before="120" w:after="120"/>
                    <w:jc w:val="center"/>
                    <w:textAlignment w:val="auto"/>
                    <w:rPr>
                      <w:rFonts w:ascii="Arial" w:hAnsi="Arial"/>
                      <w:b/>
                      <w:bCs/>
                      <w:sz w:val="16"/>
                      <w:szCs w:val="16"/>
                      <w:lang w:val="en-IE"/>
                    </w:rPr>
                  </w:pPr>
                  <w:r w:rsidRPr="007222B9">
                    <w:rPr>
                      <w:rFonts w:ascii="Arial" w:hAnsi="Arial"/>
                      <w:b/>
                      <w:bCs/>
                      <w:sz w:val="16"/>
                      <w:szCs w:val="16"/>
                      <w:lang w:val="en-IE"/>
                    </w:rPr>
                    <w:t>Subscript</w:t>
                  </w:r>
                </w:p>
              </w:tc>
              <w:tc>
                <w:tcPr>
                  <w:tcW w:w="1438" w:type="dxa"/>
                  <w:tcBorders>
                    <w:top w:val="single" w:sz="6" w:space="0" w:color="auto"/>
                    <w:left w:val="single" w:sz="6" w:space="0" w:color="auto"/>
                    <w:bottom w:val="single" w:sz="6" w:space="0" w:color="auto"/>
                    <w:right w:val="single" w:sz="6" w:space="0" w:color="auto"/>
                  </w:tcBorders>
                  <w:shd w:val="clear" w:color="auto" w:fill="000000" w:themeFill="text1"/>
                </w:tcPr>
                <w:p w:rsidR="007D05A3" w:rsidRPr="007222B9" w:rsidRDefault="007D05A3" w:rsidP="00340DC6">
                  <w:pPr>
                    <w:keepNext/>
                    <w:overflowPunct/>
                    <w:autoSpaceDE/>
                    <w:autoSpaceDN/>
                    <w:adjustRightInd/>
                    <w:spacing w:before="120" w:after="120"/>
                    <w:jc w:val="center"/>
                    <w:textAlignment w:val="auto"/>
                    <w:rPr>
                      <w:rFonts w:ascii="Arial" w:hAnsi="Arial"/>
                      <w:b/>
                      <w:bCs/>
                      <w:sz w:val="16"/>
                      <w:szCs w:val="16"/>
                      <w:lang w:val="en-IE"/>
                    </w:rPr>
                  </w:pPr>
                  <w:r w:rsidRPr="007222B9">
                    <w:rPr>
                      <w:rFonts w:ascii="Arial" w:hAnsi="Arial"/>
                      <w:b/>
                      <w:bCs/>
                      <w:sz w:val="16"/>
                      <w:szCs w:val="16"/>
                      <w:lang w:val="en-IE"/>
                    </w:rPr>
                    <w:t>Published via Market Operator Website</w:t>
                  </w:r>
                </w:p>
              </w:tc>
              <w:tc>
                <w:tcPr>
                  <w:tcW w:w="1438" w:type="dxa"/>
                  <w:tcBorders>
                    <w:top w:val="single" w:sz="6" w:space="0" w:color="auto"/>
                    <w:left w:val="single" w:sz="6" w:space="0" w:color="auto"/>
                    <w:bottom w:val="single" w:sz="6" w:space="0" w:color="auto"/>
                    <w:right w:val="single" w:sz="6" w:space="0" w:color="auto"/>
                  </w:tcBorders>
                  <w:shd w:val="clear" w:color="auto" w:fill="000000" w:themeFill="text1"/>
                </w:tcPr>
                <w:p w:rsidR="007D05A3" w:rsidRPr="007222B9" w:rsidRDefault="007D05A3" w:rsidP="00340DC6">
                  <w:pPr>
                    <w:keepNext/>
                    <w:overflowPunct/>
                    <w:autoSpaceDE/>
                    <w:autoSpaceDN/>
                    <w:adjustRightInd/>
                    <w:spacing w:before="120" w:after="120"/>
                    <w:jc w:val="center"/>
                    <w:textAlignment w:val="auto"/>
                    <w:rPr>
                      <w:rFonts w:ascii="Arial" w:hAnsi="Arial"/>
                      <w:b/>
                      <w:bCs/>
                      <w:sz w:val="16"/>
                      <w:szCs w:val="16"/>
                      <w:lang w:val="en-IE"/>
                    </w:rPr>
                  </w:pPr>
                  <w:r w:rsidRPr="007222B9">
                    <w:rPr>
                      <w:rFonts w:ascii="Arial" w:hAnsi="Arial"/>
                      <w:b/>
                      <w:bCs/>
                      <w:sz w:val="16"/>
                      <w:szCs w:val="16"/>
                      <w:lang w:val="en-IE"/>
                    </w:rPr>
                    <w:t>Available via MPI</w:t>
                  </w:r>
                </w:p>
              </w:tc>
              <w:tc>
                <w:tcPr>
                  <w:tcW w:w="1439" w:type="dxa"/>
                  <w:tcBorders>
                    <w:top w:val="single" w:sz="6" w:space="0" w:color="auto"/>
                    <w:left w:val="single" w:sz="6" w:space="0" w:color="auto"/>
                    <w:bottom w:val="single" w:sz="6" w:space="0" w:color="auto"/>
                    <w:right w:val="single" w:sz="6" w:space="0" w:color="auto"/>
                  </w:tcBorders>
                  <w:shd w:val="clear" w:color="auto" w:fill="000000" w:themeFill="text1"/>
                </w:tcPr>
                <w:p w:rsidR="007D05A3" w:rsidRPr="007222B9" w:rsidRDefault="007D05A3" w:rsidP="00340DC6">
                  <w:pPr>
                    <w:keepNext/>
                    <w:overflowPunct/>
                    <w:autoSpaceDE/>
                    <w:autoSpaceDN/>
                    <w:adjustRightInd/>
                    <w:spacing w:before="120" w:after="120"/>
                    <w:jc w:val="center"/>
                    <w:textAlignment w:val="auto"/>
                    <w:rPr>
                      <w:rFonts w:ascii="Arial Bold" w:hAnsi="Arial Bold"/>
                      <w:b/>
                      <w:bCs/>
                      <w:spacing w:val="-4"/>
                      <w:sz w:val="16"/>
                      <w:szCs w:val="16"/>
                      <w:lang w:val="en-IE"/>
                    </w:rPr>
                  </w:pPr>
                  <w:r w:rsidRPr="007222B9">
                    <w:rPr>
                      <w:rFonts w:ascii="Arial Bold" w:hAnsi="Arial Bold"/>
                      <w:b/>
                      <w:bCs/>
                      <w:spacing w:val="-4"/>
                      <w:sz w:val="16"/>
                      <w:szCs w:val="16"/>
                      <w:lang w:val="en-IE"/>
                    </w:rPr>
                    <w:t>Confidentiality</w:t>
                  </w:r>
                </w:p>
              </w:tc>
              <w:tc>
                <w:tcPr>
                  <w:tcW w:w="1437" w:type="dxa"/>
                  <w:tcBorders>
                    <w:top w:val="single" w:sz="6" w:space="0" w:color="auto"/>
                    <w:left w:val="single" w:sz="6" w:space="0" w:color="auto"/>
                    <w:bottom w:val="single" w:sz="6" w:space="0" w:color="auto"/>
                    <w:right w:val="single" w:sz="6" w:space="0" w:color="auto"/>
                  </w:tcBorders>
                  <w:shd w:val="clear" w:color="auto" w:fill="000000" w:themeFill="text1"/>
                </w:tcPr>
                <w:p w:rsidR="007D05A3" w:rsidRPr="007222B9" w:rsidRDefault="007D05A3" w:rsidP="00340DC6">
                  <w:pPr>
                    <w:keepNext/>
                    <w:overflowPunct/>
                    <w:autoSpaceDE/>
                    <w:autoSpaceDN/>
                    <w:adjustRightInd/>
                    <w:spacing w:before="120" w:after="120"/>
                    <w:jc w:val="center"/>
                    <w:textAlignment w:val="auto"/>
                    <w:rPr>
                      <w:rFonts w:ascii="Arial" w:hAnsi="Arial"/>
                      <w:b/>
                      <w:bCs/>
                      <w:sz w:val="16"/>
                      <w:szCs w:val="16"/>
                      <w:lang w:val="en-IE"/>
                    </w:rPr>
                  </w:pPr>
                  <w:r w:rsidRPr="007222B9">
                    <w:rPr>
                      <w:rFonts w:ascii="Arial" w:hAnsi="Arial"/>
                      <w:b/>
                      <w:bCs/>
                      <w:sz w:val="16"/>
                      <w:szCs w:val="16"/>
                      <w:lang w:val="en-IE"/>
                    </w:rPr>
                    <w:t>Validity</w:t>
                  </w:r>
                </w:p>
              </w:tc>
            </w:tr>
            <w:tr w:rsidR="007D05A3" w:rsidRPr="007222B9" w:rsidTr="00340DC6">
              <w:trPr>
                <w:trHeight w:val="218"/>
              </w:trPr>
              <w:tc>
                <w:tcPr>
                  <w:tcW w:w="4338"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120" w:after="120"/>
                    <w:textAlignment w:val="auto"/>
                    <w:rPr>
                      <w:rFonts w:ascii="Arial" w:hAnsi="Arial" w:cs="Arial"/>
                      <w:sz w:val="16"/>
                      <w:szCs w:val="16"/>
                      <w:lang w:val="en-GB" w:eastAsia="en-US"/>
                    </w:rPr>
                  </w:pPr>
                  <w:r w:rsidRPr="007222B9">
                    <w:rPr>
                      <w:rFonts w:ascii="Arial" w:hAnsi="Arial" w:cs="Arial"/>
                      <w:sz w:val="16"/>
                      <w:szCs w:val="16"/>
                      <w:lang w:val="en-GB" w:eastAsia="en-US"/>
                    </w:rPr>
                    <w:t>Market Operator Performance Report (paragraph 2.144)</w:t>
                  </w:r>
                </w:p>
              </w:tc>
              <w:tc>
                <w:tcPr>
                  <w:tcW w:w="720"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120" w:after="120"/>
                    <w:jc w:val="center"/>
                    <w:textAlignment w:val="auto"/>
                    <w:rPr>
                      <w:rFonts w:ascii="Arial" w:hAnsi="Arial" w:cs="Arial"/>
                      <w:sz w:val="16"/>
                      <w:szCs w:val="16"/>
                      <w:lang w:val="en-GB" w:eastAsia="en-US"/>
                    </w:rPr>
                  </w:pPr>
                  <w:r w:rsidRPr="007222B9">
                    <w:rPr>
                      <w:rFonts w:ascii="Arial" w:hAnsi="Arial" w:cs="Arial"/>
                      <w:sz w:val="16"/>
                      <w:szCs w:val="16"/>
                      <w:lang w:val="en-GB" w:eastAsia="en-US"/>
                    </w:rPr>
                    <w:t>C</w:t>
                  </w:r>
                </w:p>
              </w:tc>
              <w:tc>
                <w:tcPr>
                  <w:tcW w:w="1975"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120" w:after="120"/>
                    <w:textAlignment w:val="auto"/>
                    <w:rPr>
                      <w:rFonts w:ascii="Arial" w:hAnsi="Arial" w:cs="Arial"/>
                      <w:sz w:val="16"/>
                      <w:szCs w:val="16"/>
                      <w:lang w:val="en-GB" w:eastAsia="en-US"/>
                    </w:rPr>
                  </w:pPr>
                  <w:r w:rsidRPr="007222B9">
                    <w:rPr>
                      <w:rFonts w:ascii="Arial" w:hAnsi="Arial" w:cs="Arial"/>
                      <w:sz w:val="16"/>
                      <w:szCs w:val="16"/>
                      <w:lang w:val="en-GB" w:eastAsia="en-US"/>
                    </w:rPr>
                    <w:t>As defined in the Code</w:t>
                  </w:r>
                </w:p>
              </w:tc>
              <w:tc>
                <w:tcPr>
                  <w:tcW w:w="1079"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120" w:after="120"/>
                    <w:jc w:val="center"/>
                    <w:textAlignment w:val="auto"/>
                    <w:rPr>
                      <w:rFonts w:ascii="Arial" w:hAnsi="Arial" w:cs="Arial"/>
                      <w:sz w:val="16"/>
                      <w:szCs w:val="16"/>
                      <w:lang w:val="en-GB" w:eastAsia="en-US"/>
                    </w:rPr>
                  </w:pPr>
                  <w:r w:rsidRPr="007222B9">
                    <w:rPr>
                      <w:rFonts w:ascii="Arial" w:hAnsi="Arial" w:cs="Arial"/>
                      <w:sz w:val="16"/>
                      <w:szCs w:val="16"/>
                      <w:lang w:val="en-GB" w:eastAsia="en-US"/>
                    </w:rPr>
                    <w:t>-</w:t>
                  </w:r>
                </w:p>
              </w:tc>
              <w:tc>
                <w:tcPr>
                  <w:tcW w:w="1438"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120" w:after="120"/>
                    <w:jc w:val="center"/>
                    <w:textAlignment w:val="auto"/>
                    <w:rPr>
                      <w:rFonts w:ascii="Arial" w:hAnsi="Arial" w:cs="Arial"/>
                      <w:sz w:val="16"/>
                      <w:szCs w:val="16"/>
                      <w:lang w:val="en-GB" w:eastAsia="en-US"/>
                    </w:rPr>
                  </w:pPr>
                  <w:r w:rsidRPr="007222B9">
                    <w:rPr>
                      <w:rFonts w:ascii="Arial" w:hAnsi="Arial" w:cs="Arial"/>
                      <w:sz w:val="16"/>
                      <w:szCs w:val="16"/>
                      <w:lang w:val="en-GB" w:eastAsia="en-US"/>
                    </w:rPr>
                    <w:t>Y</w:t>
                  </w:r>
                </w:p>
              </w:tc>
              <w:tc>
                <w:tcPr>
                  <w:tcW w:w="1438"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120" w:after="120"/>
                    <w:jc w:val="center"/>
                    <w:textAlignment w:val="auto"/>
                    <w:rPr>
                      <w:rFonts w:ascii="Arial" w:hAnsi="Arial" w:cs="Arial"/>
                      <w:sz w:val="16"/>
                      <w:szCs w:val="16"/>
                      <w:lang w:val="en-GB" w:eastAsia="en-US"/>
                    </w:rPr>
                  </w:pPr>
                </w:p>
              </w:tc>
              <w:tc>
                <w:tcPr>
                  <w:tcW w:w="1439"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120" w:after="120"/>
                    <w:textAlignment w:val="auto"/>
                    <w:rPr>
                      <w:rFonts w:ascii="Arial" w:hAnsi="Arial" w:cs="Arial"/>
                      <w:sz w:val="16"/>
                      <w:szCs w:val="16"/>
                      <w:lang w:val="en-GB" w:eastAsia="en-US"/>
                    </w:rPr>
                  </w:pPr>
                  <w:r w:rsidRPr="007222B9">
                    <w:rPr>
                      <w:rFonts w:ascii="Arial" w:hAnsi="Arial" w:cs="Arial"/>
                      <w:sz w:val="16"/>
                      <w:szCs w:val="16"/>
                      <w:lang w:val="en-GB" w:eastAsia="en-US"/>
                    </w:rPr>
                    <w:t>Public Data</w:t>
                  </w:r>
                </w:p>
              </w:tc>
              <w:tc>
                <w:tcPr>
                  <w:tcW w:w="1437"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120" w:after="120"/>
                    <w:textAlignment w:val="auto"/>
                    <w:rPr>
                      <w:rFonts w:ascii="Arial" w:hAnsi="Arial" w:cs="Arial"/>
                      <w:sz w:val="16"/>
                      <w:szCs w:val="16"/>
                      <w:lang w:val="en-GB" w:eastAsia="en-US"/>
                    </w:rPr>
                  </w:pPr>
                </w:p>
              </w:tc>
            </w:tr>
            <w:tr w:rsidR="007D05A3" w:rsidRPr="007222B9" w:rsidTr="00340DC6">
              <w:trPr>
                <w:trHeight w:val="188"/>
              </w:trPr>
              <w:tc>
                <w:tcPr>
                  <w:tcW w:w="4338"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textAlignment w:val="auto"/>
                    <w:rPr>
                      <w:rFonts w:ascii="Arial" w:hAnsi="Arial" w:cs="Arial"/>
                      <w:sz w:val="16"/>
                      <w:szCs w:val="16"/>
                      <w:lang w:val="en-GB" w:eastAsia="en-US"/>
                    </w:rPr>
                  </w:pPr>
                  <w:r w:rsidRPr="007222B9">
                    <w:rPr>
                      <w:rFonts w:ascii="Arial" w:hAnsi="Arial" w:cs="Arial"/>
                      <w:sz w:val="16"/>
                      <w:szCs w:val="16"/>
                      <w:lang w:val="en-GB" w:eastAsia="en-US"/>
                    </w:rPr>
                    <w:t>Monthly Maintenance Schedule – Generator Unit outages</w:t>
                  </w:r>
                </w:p>
              </w:tc>
              <w:tc>
                <w:tcPr>
                  <w:tcW w:w="720"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jc w:val="center"/>
                    <w:textAlignment w:val="auto"/>
                    <w:rPr>
                      <w:rFonts w:ascii="Arial" w:hAnsi="Arial" w:cs="Arial"/>
                      <w:sz w:val="16"/>
                      <w:szCs w:val="16"/>
                      <w:lang w:val="en-GB" w:eastAsia="en-US"/>
                    </w:rPr>
                  </w:pPr>
                  <w:r w:rsidRPr="007222B9">
                    <w:rPr>
                      <w:rFonts w:ascii="Arial" w:hAnsi="Arial" w:cs="Arial"/>
                      <w:sz w:val="16"/>
                      <w:szCs w:val="16"/>
                      <w:lang w:val="en-GB" w:eastAsia="en-US"/>
                    </w:rPr>
                    <w:t>C</w:t>
                  </w:r>
                </w:p>
              </w:tc>
              <w:tc>
                <w:tcPr>
                  <w:tcW w:w="1975"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textAlignment w:val="auto"/>
                    <w:rPr>
                      <w:rFonts w:ascii="Arial" w:hAnsi="Arial" w:cs="Arial"/>
                      <w:sz w:val="16"/>
                      <w:szCs w:val="16"/>
                      <w:lang w:val="en-GB" w:eastAsia="en-US"/>
                    </w:rPr>
                  </w:pPr>
                  <w:r w:rsidRPr="007222B9">
                    <w:rPr>
                      <w:rFonts w:ascii="Arial" w:hAnsi="Arial" w:cs="Arial"/>
                      <w:sz w:val="16"/>
                      <w:szCs w:val="16"/>
                      <w:lang w:val="en-GB" w:eastAsia="en-US"/>
                    </w:rPr>
                    <w:t>As defined in the Code</w:t>
                  </w:r>
                </w:p>
              </w:tc>
              <w:tc>
                <w:tcPr>
                  <w:tcW w:w="1079"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jc w:val="center"/>
                    <w:textAlignment w:val="auto"/>
                    <w:rPr>
                      <w:rFonts w:ascii="Arial" w:hAnsi="Arial" w:cs="Arial"/>
                      <w:sz w:val="16"/>
                      <w:szCs w:val="16"/>
                      <w:lang w:val="en-GB" w:eastAsia="en-US"/>
                    </w:rPr>
                  </w:pPr>
                  <w:r w:rsidRPr="007222B9">
                    <w:rPr>
                      <w:rFonts w:ascii="Arial" w:hAnsi="Arial" w:cs="Arial"/>
                      <w:sz w:val="16"/>
                      <w:szCs w:val="16"/>
                      <w:lang w:val="en-GB" w:eastAsia="en-US"/>
                    </w:rPr>
                    <w:t>-</w:t>
                  </w:r>
                </w:p>
              </w:tc>
              <w:tc>
                <w:tcPr>
                  <w:tcW w:w="1438"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jc w:val="center"/>
                    <w:textAlignment w:val="auto"/>
                    <w:rPr>
                      <w:rFonts w:ascii="Arial" w:hAnsi="Arial" w:cs="Arial"/>
                      <w:sz w:val="16"/>
                      <w:szCs w:val="16"/>
                      <w:lang w:val="en-GB" w:eastAsia="en-US"/>
                    </w:rPr>
                  </w:pPr>
                  <w:r w:rsidRPr="007222B9">
                    <w:rPr>
                      <w:rFonts w:ascii="Arial" w:hAnsi="Arial" w:cs="Arial"/>
                      <w:sz w:val="16"/>
                      <w:szCs w:val="16"/>
                      <w:lang w:val="en-GB" w:eastAsia="en-US"/>
                    </w:rPr>
                    <w:t>Y</w:t>
                  </w:r>
                </w:p>
              </w:tc>
              <w:tc>
                <w:tcPr>
                  <w:tcW w:w="1438"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jc w:val="center"/>
                    <w:textAlignment w:val="auto"/>
                    <w:rPr>
                      <w:rFonts w:ascii="Arial" w:hAnsi="Arial" w:cs="Arial"/>
                      <w:sz w:val="16"/>
                      <w:szCs w:val="16"/>
                      <w:lang w:val="en-GB" w:eastAsia="en-US"/>
                    </w:rPr>
                  </w:pPr>
                </w:p>
              </w:tc>
              <w:tc>
                <w:tcPr>
                  <w:tcW w:w="1439"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textAlignment w:val="auto"/>
                    <w:rPr>
                      <w:rFonts w:ascii="Arial" w:hAnsi="Arial" w:cs="Arial"/>
                      <w:sz w:val="16"/>
                      <w:szCs w:val="16"/>
                      <w:lang w:val="en-GB" w:eastAsia="en-US"/>
                    </w:rPr>
                  </w:pPr>
                  <w:r w:rsidRPr="007222B9">
                    <w:rPr>
                      <w:rFonts w:ascii="Arial" w:hAnsi="Arial" w:cs="Arial"/>
                      <w:sz w:val="16"/>
                      <w:szCs w:val="16"/>
                      <w:lang w:val="en-GB" w:eastAsia="en-US"/>
                    </w:rPr>
                    <w:t>Public Data</w:t>
                  </w:r>
                </w:p>
              </w:tc>
              <w:tc>
                <w:tcPr>
                  <w:tcW w:w="1437"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textAlignment w:val="auto"/>
                    <w:rPr>
                      <w:rFonts w:ascii="Arial" w:hAnsi="Arial" w:cs="Arial"/>
                      <w:sz w:val="16"/>
                      <w:szCs w:val="16"/>
                      <w:lang w:val="en-GB" w:eastAsia="en-US"/>
                    </w:rPr>
                  </w:pPr>
                </w:p>
              </w:tc>
            </w:tr>
            <w:tr w:rsidR="007D05A3" w:rsidRPr="007222B9" w:rsidTr="00340DC6">
              <w:trPr>
                <w:trHeight w:val="440"/>
              </w:trPr>
              <w:tc>
                <w:tcPr>
                  <w:tcW w:w="4338"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textAlignment w:val="auto"/>
                    <w:rPr>
                      <w:rFonts w:ascii="Arial" w:hAnsi="Arial" w:cs="Arial"/>
                      <w:sz w:val="16"/>
                      <w:szCs w:val="16"/>
                      <w:lang w:val="en-GB" w:eastAsia="en-US"/>
                    </w:rPr>
                  </w:pPr>
                  <w:r w:rsidRPr="007222B9">
                    <w:rPr>
                      <w:rFonts w:ascii="Arial" w:hAnsi="Arial" w:cs="Arial"/>
                      <w:sz w:val="16"/>
                      <w:szCs w:val="16"/>
                      <w:lang w:val="en-GB" w:eastAsia="en-US"/>
                    </w:rPr>
                    <w:t>Monthly Maintenance Schedule – Transmission System line outages</w:t>
                  </w:r>
                </w:p>
              </w:tc>
              <w:tc>
                <w:tcPr>
                  <w:tcW w:w="720"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jc w:val="center"/>
                    <w:textAlignment w:val="auto"/>
                    <w:rPr>
                      <w:rFonts w:ascii="Arial" w:hAnsi="Arial" w:cs="Arial"/>
                      <w:sz w:val="16"/>
                      <w:szCs w:val="16"/>
                      <w:lang w:val="en-GB" w:eastAsia="en-US"/>
                    </w:rPr>
                  </w:pPr>
                  <w:r w:rsidRPr="007222B9">
                    <w:rPr>
                      <w:rFonts w:ascii="Arial" w:hAnsi="Arial" w:cs="Arial"/>
                      <w:sz w:val="16"/>
                      <w:szCs w:val="16"/>
                      <w:lang w:val="en-GB" w:eastAsia="en-US"/>
                    </w:rPr>
                    <w:t>C</w:t>
                  </w:r>
                </w:p>
              </w:tc>
              <w:tc>
                <w:tcPr>
                  <w:tcW w:w="1975"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textAlignment w:val="auto"/>
                    <w:rPr>
                      <w:rFonts w:ascii="Arial" w:hAnsi="Arial" w:cs="Arial"/>
                      <w:sz w:val="16"/>
                      <w:szCs w:val="16"/>
                      <w:lang w:val="en-GB" w:eastAsia="en-US"/>
                    </w:rPr>
                  </w:pPr>
                  <w:r w:rsidRPr="007222B9">
                    <w:rPr>
                      <w:rFonts w:ascii="Arial" w:hAnsi="Arial" w:cs="Arial"/>
                      <w:sz w:val="16"/>
                      <w:szCs w:val="16"/>
                      <w:lang w:val="en-GB" w:eastAsia="en-US"/>
                    </w:rPr>
                    <w:t>As defined in the Code</w:t>
                  </w:r>
                </w:p>
              </w:tc>
              <w:tc>
                <w:tcPr>
                  <w:tcW w:w="1079"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jc w:val="center"/>
                    <w:textAlignment w:val="auto"/>
                    <w:rPr>
                      <w:rFonts w:ascii="Arial" w:hAnsi="Arial" w:cs="Arial"/>
                      <w:sz w:val="16"/>
                      <w:szCs w:val="16"/>
                      <w:lang w:val="en-GB" w:eastAsia="en-US"/>
                    </w:rPr>
                  </w:pPr>
                  <w:r w:rsidRPr="007222B9">
                    <w:rPr>
                      <w:rFonts w:ascii="Arial" w:hAnsi="Arial" w:cs="Arial"/>
                      <w:sz w:val="16"/>
                      <w:szCs w:val="16"/>
                      <w:lang w:val="en-GB" w:eastAsia="en-US"/>
                    </w:rPr>
                    <w:t>-</w:t>
                  </w:r>
                </w:p>
              </w:tc>
              <w:tc>
                <w:tcPr>
                  <w:tcW w:w="1438"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jc w:val="center"/>
                    <w:textAlignment w:val="auto"/>
                    <w:rPr>
                      <w:rFonts w:ascii="Arial" w:hAnsi="Arial" w:cs="Arial"/>
                      <w:sz w:val="16"/>
                      <w:szCs w:val="16"/>
                      <w:lang w:val="en-GB" w:eastAsia="en-US"/>
                    </w:rPr>
                  </w:pPr>
                  <w:r w:rsidRPr="007222B9">
                    <w:rPr>
                      <w:rFonts w:ascii="Arial" w:hAnsi="Arial" w:cs="Arial"/>
                      <w:sz w:val="16"/>
                      <w:szCs w:val="16"/>
                      <w:lang w:val="en-GB" w:eastAsia="en-US"/>
                    </w:rPr>
                    <w:t>Y</w:t>
                  </w:r>
                </w:p>
              </w:tc>
              <w:tc>
                <w:tcPr>
                  <w:tcW w:w="1438"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jc w:val="center"/>
                    <w:textAlignment w:val="auto"/>
                    <w:rPr>
                      <w:rFonts w:ascii="Arial" w:hAnsi="Arial" w:cs="Arial"/>
                      <w:sz w:val="16"/>
                      <w:szCs w:val="16"/>
                      <w:lang w:val="en-GB" w:eastAsia="en-US"/>
                    </w:rPr>
                  </w:pPr>
                </w:p>
              </w:tc>
              <w:tc>
                <w:tcPr>
                  <w:tcW w:w="1439"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textAlignment w:val="auto"/>
                    <w:rPr>
                      <w:rFonts w:ascii="Arial" w:hAnsi="Arial" w:cs="Arial"/>
                      <w:sz w:val="16"/>
                      <w:szCs w:val="16"/>
                      <w:lang w:val="en-GB" w:eastAsia="en-US"/>
                    </w:rPr>
                  </w:pPr>
                  <w:r w:rsidRPr="007222B9">
                    <w:rPr>
                      <w:rFonts w:ascii="Arial" w:hAnsi="Arial" w:cs="Arial"/>
                      <w:sz w:val="16"/>
                      <w:szCs w:val="16"/>
                      <w:lang w:val="en-GB" w:eastAsia="en-US"/>
                    </w:rPr>
                    <w:t>Public Data</w:t>
                  </w:r>
                </w:p>
              </w:tc>
              <w:tc>
                <w:tcPr>
                  <w:tcW w:w="1437"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textAlignment w:val="auto"/>
                    <w:rPr>
                      <w:rFonts w:ascii="Arial" w:hAnsi="Arial" w:cs="Arial"/>
                      <w:sz w:val="16"/>
                      <w:szCs w:val="16"/>
                      <w:lang w:val="en-GB" w:eastAsia="en-US"/>
                    </w:rPr>
                  </w:pPr>
                </w:p>
              </w:tc>
            </w:tr>
            <w:tr w:rsidR="007D05A3" w:rsidRPr="007222B9" w:rsidTr="00340DC6">
              <w:trPr>
                <w:trHeight w:val="653"/>
              </w:trPr>
              <w:tc>
                <w:tcPr>
                  <w:tcW w:w="4338"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textAlignment w:val="auto"/>
                    <w:rPr>
                      <w:rFonts w:ascii="Arial" w:hAnsi="Arial" w:cs="Arial"/>
                      <w:sz w:val="16"/>
                      <w:szCs w:val="16"/>
                      <w:lang w:val="en-GB" w:eastAsia="en-US"/>
                    </w:rPr>
                  </w:pPr>
                  <w:r w:rsidRPr="007222B9">
                    <w:rPr>
                      <w:rFonts w:ascii="Arial" w:hAnsi="Arial" w:cs="Arial"/>
                      <w:sz w:val="16"/>
                      <w:szCs w:val="16"/>
                      <w:lang w:val="en-GB" w:eastAsia="en-US"/>
                    </w:rPr>
                    <w:t>Monthly Load Forecast and Assumptions</w:t>
                  </w:r>
                </w:p>
              </w:tc>
              <w:tc>
                <w:tcPr>
                  <w:tcW w:w="720"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jc w:val="center"/>
                    <w:textAlignment w:val="auto"/>
                    <w:rPr>
                      <w:rFonts w:ascii="Arial" w:hAnsi="Arial" w:cs="Arial"/>
                      <w:sz w:val="16"/>
                      <w:szCs w:val="16"/>
                      <w:lang w:val="en-GB" w:eastAsia="en-US"/>
                    </w:rPr>
                  </w:pPr>
                  <w:r w:rsidRPr="007222B9">
                    <w:rPr>
                      <w:rFonts w:ascii="Arial" w:hAnsi="Arial" w:cs="Arial"/>
                      <w:sz w:val="16"/>
                      <w:szCs w:val="16"/>
                      <w:lang w:val="en-GB" w:eastAsia="en-US"/>
                    </w:rPr>
                    <w:t>C</w:t>
                  </w:r>
                </w:p>
              </w:tc>
              <w:tc>
                <w:tcPr>
                  <w:tcW w:w="1975"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textAlignment w:val="auto"/>
                    <w:rPr>
                      <w:rFonts w:ascii="Arial" w:hAnsi="Arial" w:cs="Arial"/>
                      <w:sz w:val="16"/>
                      <w:szCs w:val="16"/>
                      <w:lang w:val="en-GB" w:eastAsia="en-US"/>
                    </w:rPr>
                  </w:pPr>
                  <w:r w:rsidRPr="007222B9">
                    <w:rPr>
                      <w:rFonts w:ascii="Arial" w:hAnsi="Arial" w:cs="Arial"/>
                      <w:sz w:val="16"/>
                      <w:szCs w:val="16"/>
                      <w:lang w:val="en-GB" w:eastAsia="en-US"/>
                    </w:rPr>
                    <w:t>By 10:00, at least one Working Day before start of Month</w:t>
                  </w:r>
                </w:p>
              </w:tc>
              <w:tc>
                <w:tcPr>
                  <w:tcW w:w="1079"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jc w:val="center"/>
                    <w:textAlignment w:val="auto"/>
                    <w:rPr>
                      <w:rFonts w:ascii="Arial" w:hAnsi="Arial" w:cs="Arial"/>
                      <w:sz w:val="16"/>
                      <w:szCs w:val="16"/>
                      <w:lang w:val="en-GB" w:eastAsia="en-US"/>
                    </w:rPr>
                  </w:pPr>
                  <w:r w:rsidRPr="007222B9">
                    <w:rPr>
                      <w:rFonts w:ascii="Arial" w:hAnsi="Arial" w:cs="Arial"/>
                      <w:sz w:val="16"/>
                      <w:szCs w:val="16"/>
                      <w:lang w:val="en-GB" w:eastAsia="en-US"/>
                    </w:rPr>
                    <w:t>-</w:t>
                  </w:r>
                </w:p>
              </w:tc>
              <w:tc>
                <w:tcPr>
                  <w:tcW w:w="1438"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jc w:val="center"/>
                    <w:textAlignment w:val="auto"/>
                    <w:rPr>
                      <w:rFonts w:ascii="Arial" w:hAnsi="Arial" w:cs="Arial"/>
                      <w:sz w:val="16"/>
                      <w:szCs w:val="16"/>
                      <w:lang w:val="en-GB" w:eastAsia="en-US"/>
                    </w:rPr>
                  </w:pPr>
                  <w:r w:rsidRPr="007222B9">
                    <w:rPr>
                      <w:rFonts w:ascii="Arial" w:hAnsi="Arial" w:cs="Arial"/>
                      <w:sz w:val="16"/>
                      <w:szCs w:val="16"/>
                      <w:lang w:val="en-GB" w:eastAsia="en-US"/>
                    </w:rPr>
                    <w:t>Y</w:t>
                  </w:r>
                </w:p>
              </w:tc>
              <w:tc>
                <w:tcPr>
                  <w:tcW w:w="1438"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jc w:val="center"/>
                    <w:textAlignment w:val="auto"/>
                    <w:rPr>
                      <w:rFonts w:ascii="Arial" w:hAnsi="Arial" w:cs="Arial"/>
                      <w:sz w:val="16"/>
                      <w:szCs w:val="16"/>
                      <w:lang w:val="en-GB" w:eastAsia="en-US"/>
                    </w:rPr>
                  </w:pPr>
                  <w:r w:rsidRPr="007222B9">
                    <w:rPr>
                      <w:rFonts w:ascii="Arial" w:hAnsi="Arial" w:cs="Arial"/>
                      <w:sz w:val="16"/>
                      <w:szCs w:val="16"/>
                      <w:lang w:val="en-GB" w:eastAsia="en-US"/>
                    </w:rPr>
                    <w:t>Y</w:t>
                  </w:r>
                </w:p>
              </w:tc>
              <w:tc>
                <w:tcPr>
                  <w:tcW w:w="1439"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textAlignment w:val="auto"/>
                    <w:rPr>
                      <w:rFonts w:ascii="Arial" w:hAnsi="Arial" w:cs="Arial"/>
                      <w:sz w:val="16"/>
                      <w:szCs w:val="16"/>
                      <w:lang w:val="en-GB" w:eastAsia="en-US"/>
                    </w:rPr>
                  </w:pPr>
                  <w:r w:rsidRPr="007222B9">
                    <w:rPr>
                      <w:rFonts w:ascii="Arial" w:hAnsi="Arial" w:cs="Arial"/>
                      <w:sz w:val="16"/>
                      <w:szCs w:val="16"/>
                      <w:lang w:val="en-GB" w:eastAsia="en-US"/>
                    </w:rPr>
                    <w:t>Public Data</w:t>
                  </w:r>
                </w:p>
              </w:tc>
              <w:tc>
                <w:tcPr>
                  <w:tcW w:w="1437"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textAlignment w:val="auto"/>
                    <w:rPr>
                      <w:rFonts w:ascii="Arial" w:hAnsi="Arial" w:cs="Arial"/>
                      <w:sz w:val="16"/>
                      <w:szCs w:val="16"/>
                      <w:lang w:val="en-GB" w:eastAsia="en-US"/>
                    </w:rPr>
                  </w:pPr>
                </w:p>
              </w:tc>
            </w:tr>
            <w:tr w:rsidR="007D05A3" w:rsidRPr="007222B9" w:rsidDel="00936557" w:rsidTr="00340DC6">
              <w:trPr>
                <w:trHeight w:val="653"/>
                <w:del w:id="9" w:author="rflanagan" w:date="2013-11-11T16:13:00Z"/>
              </w:trPr>
              <w:tc>
                <w:tcPr>
                  <w:tcW w:w="4338" w:type="dxa"/>
                  <w:tcBorders>
                    <w:top w:val="single" w:sz="6" w:space="0" w:color="auto"/>
                    <w:left w:val="single" w:sz="6" w:space="0" w:color="auto"/>
                    <w:bottom w:val="single" w:sz="6" w:space="0" w:color="auto"/>
                    <w:right w:val="single" w:sz="6" w:space="0" w:color="auto"/>
                  </w:tcBorders>
                </w:tcPr>
                <w:p w:rsidR="007D05A3" w:rsidRPr="007222B9" w:rsidDel="00936557" w:rsidRDefault="007D05A3" w:rsidP="00340DC6">
                  <w:pPr>
                    <w:tabs>
                      <w:tab w:val="num" w:pos="851"/>
                    </w:tabs>
                    <w:overflowPunct/>
                    <w:autoSpaceDE/>
                    <w:autoSpaceDN/>
                    <w:adjustRightInd/>
                    <w:spacing w:before="60" w:after="60"/>
                    <w:textAlignment w:val="auto"/>
                    <w:rPr>
                      <w:del w:id="10" w:author="rflanagan" w:date="2013-11-11T16:13:00Z"/>
                      <w:rFonts w:ascii="Arial" w:hAnsi="Arial" w:cs="Arial"/>
                      <w:sz w:val="16"/>
                      <w:szCs w:val="16"/>
                      <w:lang w:val="en-GB" w:eastAsia="en-US"/>
                    </w:rPr>
                  </w:pPr>
                  <w:del w:id="11" w:author="rflanagan" w:date="2013-11-11T16:13:00Z">
                    <w:r w:rsidRPr="007222B9" w:rsidDel="00936557">
                      <w:rPr>
                        <w:rFonts w:ascii="Arial" w:hAnsi="Arial" w:cs="Arial"/>
                        <w:sz w:val="16"/>
                        <w:szCs w:val="16"/>
                        <w:lang w:val="en-GB" w:eastAsia="en-US"/>
                      </w:rPr>
                      <w:delText>Margin</w:delText>
                    </w:r>
                  </w:del>
                </w:p>
              </w:tc>
              <w:tc>
                <w:tcPr>
                  <w:tcW w:w="720" w:type="dxa"/>
                  <w:tcBorders>
                    <w:top w:val="single" w:sz="6" w:space="0" w:color="auto"/>
                    <w:left w:val="single" w:sz="6" w:space="0" w:color="auto"/>
                    <w:bottom w:val="single" w:sz="6" w:space="0" w:color="auto"/>
                    <w:right w:val="single" w:sz="6" w:space="0" w:color="auto"/>
                  </w:tcBorders>
                </w:tcPr>
                <w:p w:rsidR="007D05A3" w:rsidRPr="007222B9" w:rsidDel="00936557" w:rsidRDefault="007D05A3" w:rsidP="00340DC6">
                  <w:pPr>
                    <w:tabs>
                      <w:tab w:val="num" w:pos="851"/>
                    </w:tabs>
                    <w:overflowPunct/>
                    <w:autoSpaceDE/>
                    <w:autoSpaceDN/>
                    <w:adjustRightInd/>
                    <w:spacing w:before="60" w:after="60"/>
                    <w:jc w:val="center"/>
                    <w:textAlignment w:val="auto"/>
                    <w:rPr>
                      <w:del w:id="12" w:author="rflanagan" w:date="2013-11-11T16:13:00Z"/>
                      <w:rFonts w:ascii="Arial" w:hAnsi="Arial" w:cs="Arial"/>
                      <w:sz w:val="16"/>
                      <w:szCs w:val="16"/>
                      <w:lang w:val="en-GB" w:eastAsia="en-US"/>
                    </w:rPr>
                  </w:pPr>
                  <w:del w:id="13" w:author="rflanagan" w:date="2013-11-11T16:13:00Z">
                    <w:r w:rsidRPr="007222B9" w:rsidDel="00936557">
                      <w:rPr>
                        <w:rFonts w:ascii="Arial" w:hAnsi="Arial" w:cs="Arial"/>
                        <w:sz w:val="16"/>
                        <w:szCs w:val="16"/>
                        <w:lang w:val="en-GB" w:eastAsia="en-US"/>
                      </w:rPr>
                      <w:delText>C</w:delText>
                    </w:r>
                  </w:del>
                </w:p>
              </w:tc>
              <w:tc>
                <w:tcPr>
                  <w:tcW w:w="1975" w:type="dxa"/>
                  <w:tcBorders>
                    <w:top w:val="single" w:sz="6" w:space="0" w:color="auto"/>
                    <w:left w:val="single" w:sz="6" w:space="0" w:color="auto"/>
                    <w:bottom w:val="single" w:sz="6" w:space="0" w:color="auto"/>
                    <w:right w:val="single" w:sz="6" w:space="0" w:color="auto"/>
                  </w:tcBorders>
                </w:tcPr>
                <w:p w:rsidR="007D05A3" w:rsidRPr="007222B9" w:rsidDel="00936557" w:rsidRDefault="007D05A3" w:rsidP="00340DC6">
                  <w:pPr>
                    <w:tabs>
                      <w:tab w:val="num" w:pos="851"/>
                    </w:tabs>
                    <w:overflowPunct/>
                    <w:autoSpaceDE/>
                    <w:autoSpaceDN/>
                    <w:adjustRightInd/>
                    <w:spacing w:before="60" w:after="60"/>
                    <w:textAlignment w:val="auto"/>
                    <w:rPr>
                      <w:del w:id="14" w:author="rflanagan" w:date="2013-11-11T16:13:00Z"/>
                      <w:rFonts w:ascii="Arial" w:hAnsi="Arial" w:cs="Arial"/>
                      <w:sz w:val="16"/>
                      <w:szCs w:val="16"/>
                      <w:lang w:val="en-GB" w:eastAsia="en-US"/>
                    </w:rPr>
                  </w:pPr>
                  <w:del w:id="15" w:author="rflanagan" w:date="2013-11-11T16:13:00Z">
                    <w:r w:rsidRPr="007222B9" w:rsidDel="00936557">
                      <w:rPr>
                        <w:rFonts w:ascii="Arial" w:hAnsi="Arial" w:cs="Arial"/>
                        <w:sz w:val="16"/>
                        <w:szCs w:val="16"/>
                        <w:lang w:val="en-GB" w:eastAsia="en-US"/>
                      </w:rPr>
                      <w:delText>By 10:00, at least five Working Days before start of Month</w:delText>
                    </w:r>
                  </w:del>
                </w:p>
              </w:tc>
              <w:tc>
                <w:tcPr>
                  <w:tcW w:w="1079" w:type="dxa"/>
                  <w:tcBorders>
                    <w:top w:val="single" w:sz="6" w:space="0" w:color="auto"/>
                    <w:left w:val="single" w:sz="6" w:space="0" w:color="auto"/>
                    <w:bottom w:val="single" w:sz="6" w:space="0" w:color="auto"/>
                    <w:right w:val="single" w:sz="6" w:space="0" w:color="auto"/>
                  </w:tcBorders>
                </w:tcPr>
                <w:p w:rsidR="007D05A3" w:rsidRPr="007222B9" w:rsidDel="00936557" w:rsidRDefault="007D05A3" w:rsidP="00340DC6">
                  <w:pPr>
                    <w:tabs>
                      <w:tab w:val="num" w:pos="851"/>
                    </w:tabs>
                    <w:overflowPunct/>
                    <w:autoSpaceDE/>
                    <w:autoSpaceDN/>
                    <w:adjustRightInd/>
                    <w:spacing w:before="60" w:after="60"/>
                    <w:jc w:val="center"/>
                    <w:textAlignment w:val="auto"/>
                    <w:rPr>
                      <w:del w:id="16" w:author="rflanagan" w:date="2013-11-11T16:13:00Z"/>
                      <w:rFonts w:ascii="Arial" w:hAnsi="Arial" w:cs="Arial"/>
                      <w:sz w:val="16"/>
                      <w:szCs w:val="16"/>
                      <w:lang w:val="en-GB" w:eastAsia="en-US"/>
                    </w:rPr>
                  </w:pPr>
                  <w:del w:id="17" w:author="rflanagan" w:date="2013-11-11T16:13:00Z">
                    <w:r w:rsidRPr="007222B9" w:rsidDel="00936557">
                      <w:rPr>
                        <w:rFonts w:ascii="Arial" w:hAnsi="Arial" w:cs="Arial"/>
                        <w:sz w:val="16"/>
                        <w:szCs w:val="16"/>
                        <w:lang w:val="en-GB" w:eastAsia="en-US"/>
                      </w:rPr>
                      <w:delText>h</w:delText>
                    </w:r>
                  </w:del>
                </w:p>
              </w:tc>
              <w:tc>
                <w:tcPr>
                  <w:tcW w:w="1438" w:type="dxa"/>
                  <w:tcBorders>
                    <w:top w:val="single" w:sz="6" w:space="0" w:color="auto"/>
                    <w:left w:val="single" w:sz="6" w:space="0" w:color="auto"/>
                    <w:bottom w:val="single" w:sz="6" w:space="0" w:color="auto"/>
                    <w:right w:val="single" w:sz="6" w:space="0" w:color="auto"/>
                  </w:tcBorders>
                </w:tcPr>
                <w:p w:rsidR="007D05A3" w:rsidRPr="007222B9" w:rsidDel="00936557" w:rsidRDefault="007D05A3" w:rsidP="00340DC6">
                  <w:pPr>
                    <w:tabs>
                      <w:tab w:val="num" w:pos="851"/>
                    </w:tabs>
                    <w:overflowPunct/>
                    <w:autoSpaceDE/>
                    <w:autoSpaceDN/>
                    <w:adjustRightInd/>
                    <w:spacing w:before="60" w:after="60"/>
                    <w:jc w:val="center"/>
                    <w:textAlignment w:val="auto"/>
                    <w:rPr>
                      <w:del w:id="18" w:author="rflanagan" w:date="2013-11-11T16:13:00Z"/>
                      <w:rFonts w:ascii="Arial" w:hAnsi="Arial" w:cs="Arial"/>
                      <w:sz w:val="16"/>
                      <w:szCs w:val="16"/>
                      <w:lang w:val="en-GB" w:eastAsia="en-US"/>
                    </w:rPr>
                  </w:pPr>
                  <w:del w:id="19" w:author="rflanagan" w:date="2013-11-11T16:13:00Z">
                    <w:r w:rsidRPr="007222B9" w:rsidDel="00936557">
                      <w:rPr>
                        <w:rFonts w:ascii="Arial" w:hAnsi="Arial" w:cs="Arial"/>
                        <w:sz w:val="16"/>
                        <w:szCs w:val="16"/>
                        <w:lang w:val="en-GB" w:eastAsia="en-US"/>
                      </w:rPr>
                      <w:delText>Y</w:delText>
                    </w:r>
                  </w:del>
                </w:p>
              </w:tc>
              <w:tc>
                <w:tcPr>
                  <w:tcW w:w="1438" w:type="dxa"/>
                  <w:tcBorders>
                    <w:top w:val="single" w:sz="6" w:space="0" w:color="auto"/>
                    <w:left w:val="single" w:sz="6" w:space="0" w:color="auto"/>
                    <w:bottom w:val="single" w:sz="6" w:space="0" w:color="auto"/>
                    <w:right w:val="single" w:sz="6" w:space="0" w:color="auto"/>
                  </w:tcBorders>
                </w:tcPr>
                <w:p w:rsidR="007D05A3" w:rsidRPr="007222B9" w:rsidDel="00936557" w:rsidRDefault="007D05A3" w:rsidP="00340DC6">
                  <w:pPr>
                    <w:tabs>
                      <w:tab w:val="num" w:pos="851"/>
                    </w:tabs>
                    <w:overflowPunct/>
                    <w:autoSpaceDE/>
                    <w:autoSpaceDN/>
                    <w:adjustRightInd/>
                    <w:spacing w:before="60" w:after="60"/>
                    <w:jc w:val="center"/>
                    <w:textAlignment w:val="auto"/>
                    <w:rPr>
                      <w:del w:id="20" w:author="rflanagan" w:date="2013-11-11T16:13:00Z"/>
                      <w:rFonts w:ascii="Arial" w:hAnsi="Arial" w:cs="Arial"/>
                      <w:sz w:val="16"/>
                      <w:szCs w:val="16"/>
                      <w:lang w:val="en-GB" w:eastAsia="en-US"/>
                    </w:rPr>
                  </w:pPr>
                </w:p>
              </w:tc>
              <w:tc>
                <w:tcPr>
                  <w:tcW w:w="1439" w:type="dxa"/>
                  <w:tcBorders>
                    <w:top w:val="single" w:sz="6" w:space="0" w:color="auto"/>
                    <w:left w:val="single" w:sz="6" w:space="0" w:color="auto"/>
                    <w:bottom w:val="single" w:sz="6" w:space="0" w:color="auto"/>
                    <w:right w:val="single" w:sz="6" w:space="0" w:color="auto"/>
                  </w:tcBorders>
                </w:tcPr>
                <w:p w:rsidR="007D05A3" w:rsidRPr="007222B9" w:rsidDel="00936557" w:rsidRDefault="007D05A3" w:rsidP="00340DC6">
                  <w:pPr>
                    <w:tabs>
                      <w:tab w:val="num" w:pos="851"/>
                    </w:tabs>
                    <w:overflowPunct/>
                    <w:autoSpaceDE/>
                    <w:autoSpaceDN/>
                    <w:adjustRightInd/>
                    <w:spacing w:before="60" w:after="60"/>
                    <w:textAlignment w:val="auto"/>
                    <w:rPr>
                      <w:del w:id="21" w:author="rflanagan" w:date="2013-11-11T16:13:00Z"/>
                      <w:rFonts w:ascii="Arial" w:hAnsi="Arial" w:cs="Arial"/>
                      <w:sz w:val="16"/>
                      <w:szCs w:val="16"/>
                      <w:lang w:val="en-GB" w:eastAsia="en-US"/>
                    </w:rPr>
                  </w:pPr>
                  <w:del w:id="22" w:author="rflanagan" w:date="2013-11-11T16:13:00Z">
                    <w:r w:rsidRPr="007222B9" w:rsidDel="00936557">
                      <w:rPr>
                        <w:rFonts w:ascii="Arial" w:hAnsi="Arial" w:cs="Arial"/>
                        <w:sz w:val="16"/>
                        <w:szCs w:val="16"/>
                        <w:lang w:val="en-GB" w:eastAsia="en-US"/>
                      </w:rPr>
                      <w:delText>Public Data</w:delText>
                    </w:r>
                  </w:del>
                </w:p>
              </w:tc>
              <w:tc>
                <w:tcPr>
                  <w:tcW w:w="1437" w:type="dxa"/>
                  <w:tcBorders>
                    <w:top w:val="single" w:sz="6" w:space="0" w:color="auto"/>
                    <w:left w:val="single" w:sz="6" w:space="0" w:color="auto"/>
                    <w:bottom w:val="single" w:sz="6" w:space="0" w:color="auto"/>
                    <w:right w:val="single" w:sz="6" w:space="0" w:color="auto"/>
                  </w:tcBorders>
                </w:tcPr>
                <w:p w:rsidR="007D05A3" w:rsidRPr="007222B9" w:rsidDel="00936557" w:rsidRDefault="007D05A3" w:rsidP="00340DC6">
                  <w:pPr>
                    <w:tabs>
                      <w:tab w:val="num" w:pos="851"/>
                    </w:tabs>
                    <w:overflowPunct/>
                    <w:autoSpaceDE/>
                    <w:autoSpaceDN/>
                    <w:adjustRightInd/>
                    <w:spacing w:before="60" w:after="60"/>
                    <w:textAlignment w:val="auto"/>
                    <w:rPr>
                      <w:del w:id="23" w:author="rflanagan" w:date="2013-11-11T16:13:00Z"/>
                      <w:rFonts w:ascii="Arial" w:hAnsi="Arial" w:cs="Arial"/>
                      <w:sz w:val="16"/>
                      <w:szCs w:val="16"/>
                      <w:lang w:val="en-GB" w:eastAsia="en-US"/>
                    </w:rPr>
                  </w:pPr>
                </w:p>
              </w:tc>
            </w:tr>
            <w:tr w:rsidR="007D05A3" w:rsidRPr="007222B9" w:rsidTr="00340DC6">
              <w:trPr>
                <w:trHeight w:val="653"/>
              </w:trPr>
              <w:tc>
                <w:tcPr>
                  <w:tcW w:w="4338"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textAlignment w:val="auto"/>
                    <w:rPr>
                      <w:rFonts w:ascii="Arial" w:hAnsi="Arial" w:cs="Arial"/>
                      <w:sz w:val="16"/>
                      <w:szCs w:val="16"/>
                      <w:lang w:val="en-GB" w:eastAsia="en-US"/>
                    </w:rPr>
                  </w:pPr>
                  <w:r w:rsidRPr="007222B9">
                    <w:rPr>
                      <w:rFonts w:ascii="Arial" w:hAnsi="Arial" w:cs="Arial"/>
                      <w:sz w:val="16"/>
                      <w:szCs w:val="16"/>
                      <w:lang w:val="en-GB" w:eastAsia="en-US"/>
                    </w:rPr>
                    <w:t>Loss of Load Probability for each Trading Period in the relevant Month</w:t>
                  </w:r>
                </w:p>
              </w:tc>
              <w:tc>
                <w:tcPr>
                  <w:tcW w:w="720"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jc w:val="center"/>
                    <w:textAlignment w:val="auto"/>
                    <w:rPr>
                      <w:rFonts w:ascii="Arial" w:hAnsi="Arial" w:cs="Arial"/>
                      <w:sz w:val="16"/>
                      <w:szCs w:val="16"/>
                      <w:lang w:val="en-GB" w:eastAsia="en-US"/>
                    </w:rPr>
                  </w:pPr>
                  <w:r w:rsidRPr="007222B9">
                    <w:rPr>
                      <w:rFonts w:ascii="Arial" w:hAnsi="Arial" w:cs="Arial"/>
                      <w:sz w:val="16"/>
                      <w:szCs w:val="16"/>
                      <w:lang w:val="en-GB" w:eastAsia="en-US"/>
                    </w:rPr>
                    <w:t>C</w:t>
                  </w:r>
                </w:p>
              </w:tc>
              <w:tc>
                <w:tcPr>
                  <w:tcW w:w="1975"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textAlignment w:val="auto"/>
                    <w:rPr>
                      <w:rFonts w:ascii="Arial" w:hAnsi="Arial" w:cs="Arial"/>
                      <w:sz w:val="16"/>
                      <w:szCs w:val="16"/>
                      <w:lang w:val="en-GB" w:eastAsia="en-US"/>
                    </w:rPr>
                  </w:pPr>
                  <w:r w:rsidRPr="007222B9">
                    <w:rPr>
                      <w:rFonts w:ascii="Arial" w:hAnsi="Arial" w:cs="Arial"/>
                      <w:sz w:val="16"/>
                      <w:szCs w:val="16"/>
                      <w:lang w:val="en-GB" w:eastAsia="en-US"/>
                    </w:rPr>
                    <w:t>By 10:00, at least five Working Days before start of Month</w:t>
                  </w:r>
                </w:p>
              </w:tc>
              <w:tc>
                <w:tcPr>
                  <w:tcW w:w="1079"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jc w:val="center"/>
                    <w:textAlignment w:val="auto"/>
                    <w:rPr>
                      <w:rFonts w:ascii="Arial" w:hAnsi="Arial" w:cs="Arial"/>
                      <w:sz w:val="16"/>
                      <w:szCs w:val="16"/>
                      <w:lang w:val="en-GB" w:eastAsia="en-US"/>
                    </w:rPr>
                  </w:pPr>
                  <w:r w:rsidRPr="007222B9">
                    <w:rPr>
                      <w:rFonts w:ascii="Arial" w:hAnsi="Arial" w:cs="Arial"/>
                      <w:sz w:val="16"/>
                      <w:szCs w:val="16"/>
                      <w:lang w:val="en-GB" w:eastAsia="en-US"/>
                    </w:rPr>
                    <w:t>h</w:t>
                  </w:r>
                </w:p>
              </w:tc>
              <w:tc>
                <w:tcPr>
                  <w:tcW w:w="1438"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jc w:val="center"/>
                    <w:textAlignment w:val="auto"/>
                    <w:rPr>
                      <w:rFonts w:ascii="Arial" w:hAnsi="Arial" w:cs="Arial"/>
                      <w:sz w:val="16"/>
                      <w:szCs w:val="16"/>
                      <w:lang w:val="en-GB" w:eastAsia="en-US"/>
                    </w:rPr>
                  </w:pPr>
                  <w:r w:rsidRPr="007222B9">
                    <w:rPr>
                      <w:rFonts w:ascii="Arial" w:hAnsi="Arial" w:cs="Arial"/>
                      <w:sz w:val="16"/>
                      <w:szCs w:val="16"/>
                      <w:lang w:val="en-GB" w:eastAsia="en-US"/>
                    </w:rPr>
                    <w:t>Y</w:t>
                  </w:r>
                </w:p>
              </w:tc>
              <w:tc>
                <w:tcPr>
                  <w:tcW w:w="1438"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jc w:val="center"/>
                    <w:textAlignment w:val="auto"/>
                    <w:rPr>
                      <w:rFonts w:ascii="Arial" w:hAnsi="Arial" w:cs="Arial"/>
                      <w:sz w:val="16"/>
                      <w:szCs w:val="16"/>
                      <w:lang w:val="en-GB" w:eastAsia="en-US"/>
                    </w:rPr>
                  </w:pPr>
                  <w:r w:rsidRPr="007222B9">
                    <w:rPr>
                      <w:rFonts w:ascii="Arial" w:hAnsi="Arial" w:cs="Arial"/>
                      <w:sz w:val="16"/>
                      <w:szCs w:val="16"/>
                      <w:lang w:val="en-GB" w:eastAsia="en-US"/>
                    </w:rPr>
                    <w:t>Y</w:t>
                  </w:r>
                </w:p>
              </w:tc>
              <w:tc>
                <w:tcPr>
                  <w:tcW w:w="1439"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textAlignment w:val="auto"/>
                    <w:rPr>
                      <w:rFonts w:ascii="Arial" w:hAnsi="Arial" w:cs="Arial"/>
                      <w:sz w:val="16"/>
                      <w:szCs w:val="16"/>
                      <w:lang w:val="en-GB" w:eastAsia="en-US"/>
                    </w:rPr>
                  </w:pPr>
                  <w:r w:rsidRPr="007222B9">
                    <w:rPr>
                      <w:rFonts w:ascii="Arial" w:hAnsi="Arial" w:cs="Arial"/>
                      <w:sz w:val="16"/>
                      <w:szCs w:val="16"/>
                      <w:lang w:val="en-GB" w:eastAsia="en-US"/>
                    </w:rPr>
                    <w:t>Public Data</w:t>
                  </w:r>
                </w:p>
              </w:tc>
              <w:tc>
                <w:tcPr>
                  <w:tcW w:w="1437"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textAlignment w:val="auto"/>
                    <w:rPr>
                      <w:rFonts w:ascii="Arial" w:hAnsi="Arial" w:cs="Arial"/>
                      <w:sz w:val="16"/>
                      <w:szCs w:val="16"/>
                      <w:lang w:val="en-GB" w:eastAsia="en-US"/>
                    </w:rPr>
                  </w:pPr>
                </w:p>
              </w:tc>
            </w:tr>
            <w:tr w:rsidR="007D05A3" w:rsidRPr="007222B9" w:rsidTr="00340DC6">
              <w:trPr>
                <w:trHeight w:val="592"/>
              </w:trPr>
              <w:tc>
                <w:tcPr>
                  <w:tcW w:w="4338"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textAlignment w:val="auto"/>
                    <w:rPr>
                      <w:rFonts w:ascii="Arial" w:hAnsi="Arial" w:cs="Arial"/>
                      <w:sz w:val="16"/>
                      <w:szCs w:val="16"/>
                      <w:lang w:val="en-GB" w:eastAsia="en-US"/>
                    </w:rPr>
                  </w:pPr>
                  <w:r w:rsidRPr="007222B9">
                    <w:rPr>
                      <w:rFonts w:ascii="Arial" w:hAnsi="Arial" w:cs="Arial"/>
                      <w:sz w:val="16"/>
                      <w:szCs w:val="16"/>
                      <w:lang w:val="en-GB" w:eastAsia="en-US"/>
                    </w:rPr>
                    <w:t>Variable Capacity Payments Weighting Factor for each Trading Period in the relevant Month</w:t>
                  </w:r>
                </w:p>
              </w:tc>
              <w:tc>
                <w:tcPr>
                  <w:tcW w:w="720"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jc w:val="center"/>
                    <w:textAlignment w:val="auto"/>
                    <w:rPr>
                      <w:rFonts w:ascii="Arial" w:hAnsi="Arial" w:cs="Arial"/>
                      <w:sz w:val="16"/>
                      <w:szCs w:val="16"/>
                      <w:lang w:val="en-GB" w:eastAsia="en-US"/>
                    </w:rPr>
                  </w:pPr>
                  <w:r w:rsidRPr="007222B9">
                    <w:rPr>
                      <w:rFonts w:ascii="Arial" w:hAnsi="Arial" w:cs="Arial"/>
                      <w:sz w:val="16"/>
                      <w:szCs w:val="16"/>
                      <w:lang w:val="en-GB" w:eastAsia="en-US"/>
                    </w:rPr>
                    <w:t>C</w:t>
                  </w:r>
                </w:p>
              </w:tc>
              <w:tc>
                <w:tcPr>
                  <w:tcW w:w="1975"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textAlignment w:val="auto"/>
                    <w:rPr>
                      <w:rFonts w:ascii="Arial" w:hAnsi="Arial" w:cs="Arial"/>
                      <w:sz w:val="16"/>
                      <w:szCs w:val="16"/>
                      <w:lang w:val="en-GB" w:eastAsia="en-US"/>
                    </w:rPr>
                  </w:pPr>
                  <w:r w:rsidRPr="007222B9">
                    <w:rPr>
                      <w:rFonts w:ascii="Arial" w:hAnsi="Arial" w:cs="Arial"/>
                      <w:sz w:val="16"/>
                      <w:szCs w:val="16"/>
                      <w:lang w:val="en-GB" w:eastAsia="en-US"/>
                    </w:rPr>
                    <w:t>At 10:00, at least five Working Days before start of Month</w:t>
                  </w:r>
                </w:p>
              </w:tc>
              <w:tc>
                <w:tcPr>
                  <w:tcW w:w="1079"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jc w:val="center"/>
                    <w:textAlignment w:val="auto"/>
                    <w:rPr>
                      <w:rFonts w:ascii="Arial" w:hAnsi="Arial" w:cs="Arial"/>
                      <w:sz w:val="16"/>
                      <w:szCs w:val="16"/>
                      <w:lang w:val="en-GB" w:eastAsia="en-US"/>
                    </w:rPr>
                  </w:pPr>
                  <w:r w:rsidRPr="007222B9">
                    <w:rPr>
                      <w:rFonts w:ascii="Arial" w:hAnsi="Arial" w:cs="Arial"/>
                      <w:sz w:val="16"/>
                      <w:szCs w:val="16"/>
                      <w:lang w:val="en-GB" w:eastAsia="en-US"/>
                    </w:rPr>
                    <w:t>h</w:t>
                  </w:r>
                </w:p>
              </w:tc>
              <w:tc>
                <w:tcPr>
                  <w:tcW w:w="1438"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jc w:val="center"/>
                    <w:textAlignment w:val="auto"/>
                    <w:rPr>
                      <w:rFonts w:ascii="Arial" w:hAnsi="Arial" w:cs="Arial"/>
                      <w:sz w:val="16"/>
                      <w:szCs w:val="16"/>
                      <w:lang w:val="en-GB" w:eastAsia="en-US"/>
                    </w:rPr>
                  </w:pPr>
                  <w:r w:rsidRPr="007222B9">
                    <w:rPr>
                      <w:rFonts w:ascii="Arial" w:hAnsi="Arial" w:cs="Arial"/>
                      <w:sz w:val="16"/>
                      <w:szCs w:val="16"/>
                      <w:lang w:val="en-GB" w:eastAsia="en-US"/>
                    </w:rPr>
                    <w:t>Y</w:t>
                  </w:r>
                </w:p>
              </w:tc>
              <w:tc>
                <w:tcPr>
                  <w:tcW w:w="1438"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jc w:val="center"/>
                    <w:textAlignment w:val="auto"/>
                    <w:rPr>
                      <w:rFonts w:ascii="Arial" w:hAnsi="Arial" w:cs="Arial"/>
                      <w:sz w:val="16"/>
                      <w:szCs w:val="16"/>
                      <w:lang w:val="en-GB" w:eastAsia="en-US"/>
                    </w:rPr>
                  </w:pPr>
                </w:p>
              </w:tc>
              <w:tc>
                <w:tcPr>
                  <w:tcW w:w="1439"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textAlignment w:val="auto"/>
                    <w:rPr>
                      <w:rFonts w:ascii="Arial" w:hAnsi="Arial" w:cs="Arial"/>
                      <w:sz w:val="16"/>
                      <w:szCs w:val="16"/>
                      <w:lang w:val="en-GB" w:eastAsia="en-US"/>
                    </w:rPr>
                  </w:pPr>
                  <w:r w:rsidRPr="007222B9">
                    <w:rPr>
                      <w:rFonts w:ascii="Arial" w:hAnsi="Arial" w:cs="Arial"/>
                      <w:sz w:val="16"/>
                      <w:szCs w:val="16"/>
                      <w:lang w:val="en-GB" w:eastAsia="en-US"/>
                    </w:rPr>
                    <w:t>Public Data</w:t>
                  </w:r>
                </w:p>
              </w:tc>
              <w:tc>
                <w:tcPr>
                  <w:tcW w:w="1437" w:type="dxa"/>
                  <w:tcBorders>
                    <w:top w:val="single" w:sz="6" w:space="0" w:color="auto"/>
                    <w:left w:val="single" w:sz="6" w:space="0" w:color="auto"/>
                    <w:bottom w:val="single" w:sz="6" w:space="0" w:color="auto"/>
                    <w:right w:val="single" w:sz="6" w:space="0" w:color="auto"/>
                  </w:tcBorders>
                </w:tcPr>
                <w:p w:rsidR="007D05A3" w:rsidRPr="007222B9" w:rsidRDefault="007D05A3" w:rsidP="00340DC6">
                  <w:pPr>
                    <w:tabs>
                      <w:tab w:val="num" w:pos="851"/>
                    </w:tabs>
                    <w:overflowPunct/>
                    <w:autoSpaceDE/>
                    <w:autoSpaceDN/>
                    <w:adjustRightInd/>
                    <w:spacing w:before="60" w:after="60"/>
                    <w:textAlignment w:val="auto"/>
                    <w:rPr>
                      <w:rFonts w:ascii="Arial" w:hAnsi="Arial" w:cs="Arial"/>
                      <w:sz w:val="16"/>
                      <w:szCs w:val="16"/>
                      <w:lang w:val="en-GB" w:eastAsia="en-US"/>
                    </w:rPr>
                  </w:pPr>
                </w:p>
              </w:tc>
            </w:tr>
          </w:tbl>
          <w:p w:rsidR="007D05A3" w:rsidRDefault="007D05A3" w:rsidP="00340DC6">
            <w:pPr>
              <w:overflowPunct/>
              <w:autoSpaceDE/>
              <w:autoSpaceDN/>
              <w:adjustRightInd/>
              <w:spacing w:after="200" w:line="276" w:lineRule="auto"/>
              <w:textAlignment w:val="auto"/>
              <w:rPr>
                <w:rFonts w:ascii="Arial" w:hAnsi="Arial" w:cs="Arial"/>
                <w:b/>
                <w:sz w:val="16"/>
                <w:szCs w:val="16"/>
                <w:lang w:val="en-US" w:eastAsia="en-US"/>
              </w:rPr>
            </w:pPr>
          </w:p>
        </w:tc>
      </w:tr>
    </w:tbl>
    <w:p w:rsidR="007D05A3" w:rsidRDefault="007D05A3" w:rsidP="007D05A3">
      <w:pPr>
        <w:overflowPunct/>
        <w:autoSpaceDE/>
        <w:autoSpaceDN/>
        <w:adjustRightInd/>
        <w:spacing w:after="200" w:line="276" w:lineRule="auto"/>
        <w:textAlignment w:val="auto"/>
        <w:rPr>
          <w:rFonts w:ascii="Arial" w:hAnsi="Arial" w:cs="Arial"/>
          <w:b/>
          <w:sz w:val="16"/>
          <w:szCs w:val="16"/>
          <w:lang w:val="en-US" w:eastAsia="en-US"/>
        </w:rPr>
        <w:sectPr w:rsidR="007D05A3" w:rsidSect="00340DC6">
          <w:pgSz w:w="16838" w:h="11906" w:orient="landscape"/>
          <w:pgMar w:top="1440" w:right="1440" w:bottom="1440" w:left="1440" w:header="706" w:footer="706" w:gutter="0"/>
          <w:cols w:space="708"/>
          <w:docGrid w:linePitch="360"/>
        </w:sect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1"/>
        <w:gridCol w:w="4622"/>
      </w:tblGrid>
      <w:tr w:rsidR="007D05A3" w:rsidRPr="004C53E7" w:rsidTr="00340DC6">
        <w:tc>
          <w:tcPr>
            <w:tcW w:w="9243" w:type="dxa"/>
            <w:gridSpan w:val="2"/>
            <w:shd w:val="clear" w:color="auto" w:fill="C6D9F1"/>
            <w:vAlign w:val="center"/>
          </w:tcPr>
          <w:p w:rsidR="007D05A3" w:rsidRPr="004C53E7" w:rsidRDefault="007D05A3" w:rsidP="00340DC6">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7D05A3" w:rsidRPr="004C53E7" w:rsidRDefault="007D05A3" w:rsidP="00340DC6">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7D05A3" w:rsidRPr="004C53E7" w:rsidTr="00340DC6">
        <w:tc>
          <w:tcPr>
            <w:tcW w:w="9243" w:type="dxa"/>
            <w:gridSpan w:val="2"/>
            <w:vAlign w:val="center"/>
          </w:tcPr>
          <w:p w:rsidR="007D05A3" w:rsidRDefault="007D05A3" w:rsidP="00340DC6">
            <w:pPr>
              <w:rPr>
                <w:rFonts w:ascii="Calibri" w:hAnsi="Calibri" w:cs="Arial"/>
                <w:lang w:val="en-IE"/>
              </w:rPr>
            </w:pPr>
          </w:p>
          <w:p w:rsidR="007D05A3" w:rsidRDefault="00FB4BF9" w:rsidP="00340DC6">
            <w:pPr>
              <w:rPr>
                <w:rFonts w:ascii="Calibri" w:hAnsi="Calibri" w:cs="Arial"/>
                <w:lang w:val="en-IE"/>
              </w:rPr>
            </w:pPr>
            <w:r>
              <w:rPr>
                <w:rFonts w:ascii="Calibri" w:hAnsi="Calibri" w:cs="Arial"/>
                <w:lang w:val="en-IE"/>
              </w:rPr>
              <w:t>The ex-a</w:t>
            </w:r>
            <w:r w:rsidR="00A80600">
              <w:rPr>
                <w:rFonts w:ascii="Calibri" w:hAnsi="Calibri" w:cs="Arial"/>
                <w:lang w:val="en-IE"/>
              </w:rPr>
              <w:t xml:space="preserve">nte </w:t>
            </w:r>
            <w:r w:rsidR="008B2919">
              <w:rPr>
                <w:rFonts w:ascii="Calibri" w:hAnsi="Calibri" w:cs="Arial"/>
                <w:lang w:val="en-IE"/>
              </w:rPr>
              <w:t xml:space="preserve">value for </w:t>
            </w:r>
            <w:r w:rsidR="00A80600">
              <w:rPr>
                <w:rFonts w:ascii="Calibri" w:hAnsi="Calibri" w:cs="Arial"/>
                <w:lang w:val="en-IE"/>
              </w:rPr>
              <w:t xml:space="preserve">Margin provided by the </w:t>
            </w:r>
            <w:r w:rsidR="00001C50">
              <w:rPr>
                <w:rFonts w:ascii="Calibri" w:hAnsi="Calibri" w:cs="Arial"/>
                <w:lang w:val="en-IE"/>
              </w:rPr>
              <w:t>System Operators</w:t>
            </w:r>
            <w:r w:rsidR="00A80600">
              <w:rPr>
                <w:rFonts w:ascii="Calibri" w:hAnsi="Calibri" w:cs="Arial"/>
                <w:lang w:val="en-IE"/>
              </w:rPr>
              <w:t xml:space="preserve"> is not published</w:t>
            </w:r>
            <w:r w:rsidR="00726155">
              <w:rPr>
                <w:rFonts w:ascii="Calibri" w:hAnsi="Calibri" w:cs="Arial"/>
                <w:lang w:val="en-IE"/>
              </w:rPr>
              <w:t xml:space="preserve"> </w:t>
            </w:r>
            <w:r w:rsidR="00711338">
              <w:rPr>
                <w:rFonts w:ascii="Calibri" w:hAnsi="Calibri" w:cs="Arial"/>
                <w:lang w:val="en-IE"/>
              </w:rPr>
              <w:t>in the Central Market System</w:t>
            </w:r>
            <w:r w:rsidR="00843D8E">
              <w:rPr>
                <w:rFonts w:ascii="Calibri" w:hAnsi="Calibri" w:cs="Arial"/>
                <w:lang w:val="en-IE"/>
              </w:rPr>
              <w:t xml:space="preserve"> and has not been since Market start</w:t>
            </w:r>
            <w:r w:rsidR="00A80600">
              <w:rPr>
                <w:rFonts w:ascii="Calibri" w:hAnsi="Calibri" w:cs="Arial"/>
                <w:lang w:val="en-IE"/>
              </w:rPr>
              <w:t xml:space="preserve">. It would require a </w:t>
            </w:r>
            <w:r w:rsidR="00664B72">
              <w:rPr>
                <w:rFonts w:ascii="Calibri" w:hAnsi="Calibri" w:cs="Arial"/>
                <w:lang w:val="en-IE"/>
              </w:rPr>
              <w:t xml:space="preserve">Central Market System </w:t>
            </w:r>
            <w:r w:rsidR="00A80600">
              <w:rPr>
                <w:rFonts w:ascii="Calibri" w:hAnsi="Calibri" w:cs="Arial"/>
                <w:lang w:val="en-IE"/>
              </w:rPr>
              <w:t xml:space="preserve">change request to facilitate its publication and this would incur a </w:t>
            </w:r>
            <w:r>
              <w:rPr>
                <w:rFonts w:ascii="Calibri" w:hAnsi="Calibri" w:cs="Arial"/>
                <w:lang w:val="en-IE"/>
              </w:rPr>
              <w:t xml:space="preserve">substantial </w:t>
            </w:r>
            <w:r w:rsidR="00A80600">
              <w:rPr>
                <w:rFonts w:ascii="Calibri" w:hAnsi="Calibri" w:cs="Arial"/>
                <w:lang w:val="en-IE"/>
              </w:rPr>
              <w:t xml:space="preserve">cost. </w:t>
            </w:r>
            <w:r w:rsidR="00356104">
              <w:rPr>
                <w:rFonts w:ascii="Calibri" w:hAnsi="Calibri" w:cs="Arial"/>
                <w:lang w:val="en-IE"/>
              </w:rPr>
              <w:t>The associated</w:t>
            </w:r>
            <w:r w:rsidR="00843D8E">
              <w:rPr>
                <w:rFonts w:ascii="Calibri" w:hAnsi="Calibri" w:cs="Arial"/>
                <w:lang w:val="en-IE"/>
              </w:rPr>
              <w:t xml:space="preserve"> ex-ante </w:t>
            </w:r>
            <w:r w:rsidR="00A80600">
              <w:rPr>
                <w:rFonts w:ascii="Calibri" w:hAnsi="Calibri" w:cs="Arial"/>
                <w:lang w:val="en-IE"/>
              </w:rPr>
              <w:t xml:space="preserve">Loss of Load </w:t>
            </w:r>
            <w:r w:rsidR="00843D8E">
              <w:rPr>
                <w:rFonts w:ascii="Calibri" w:hAnsi="Calibri" w:cs="Arial"/>
                <w:lang w:val="en-IE"/>
              </w:rPr>
              <w:t xml:space="preserve">Probability is published. </w:t>
            </w:r>
            <w:r w:rsidR="00726155">
              <w:rPr>
                <w:rFonts w:ascii="Calibri" w:hAnsi="Calibri" w:cs="Arial"/>
                <w:lang w:val="en-IE"/>
              </w:rPr>
              <w:t xml:space="preserve">It is therefore proposed to remove the obligation on the Market Operator to publish </w:t>
            </w:r>
            <w:r w:rsidR="008B2919">
              <w:rPr>
                <w:rFonts w:ascii="Calibri" w:hAnsi="Calibri" w:cs="Arial"/>
                <w:lang w:val="en-IE"/>
              </w:rPr>
              <w:t xml:space="preserve">an </w:t>
            </w:r>
            <w:r w:rsidR="00726155">
              <w:rPr>
                <w:rFonts w:ascii="Calibri" w:hAnsi="Calibri" w:cs="Arial"/>
                <w:lang w:val="en-IE"/>
              </w:rPr>
              <w:t>ex-ante</w:t>
            </w:r>
            <w:r w:rsidR="008B2919">
              <w:rPr>
                <w:rFonts w:ascii="Calibri" w:hAnsi="Calibri" w:cs="Arial"/>
                <w:lang w:val="en-IE"/>
              </w:rPr>
              <w:t xml:space="preserve"> value for </w:t>
            </w:r>
            <w:r w:rsidR="00726155">
              <w:rPr>
                <w:rFonts w:ascii="Calibri" w:hAnsi="Calibri" w:cs="Arial"/>
                <w:lang w:val="en-IE"/>
              </w:rPr>
              <w:t>Margin.</w:t>
            </w:r>
          </w:p>
          <w:p w:rsidR="007D05A3" w:rsidRPr="004C53E7" w:rsidRDefault="007D05A3" w:rsidP="00340DC6">
            <w:pPr>
              <w:rPr>
                <w:rFonts w:ascii="Calibri" w:hAnsi="Calibri" w:cs="Arial"/>
                <w:lang w:val="en-IE"/>
              </w:rPr>
            </w:pPr>
          </w:p>
        </w:tc>
      </w:tr>
      <w:tr w:rsidR="007D05A3" w:rsidRPr="004C53E7" w:rsidTr="00340DC6">
        <w:tc>
          <w:tcPr>
            <w:tcW w:w="9243" w:type="dxa"/>
            <w:gridSpan w:val="2"/>
            <w:shd w:val="clear" w:color="auto" w:fill="C6D9F1"/>
            <w:vAlign w:val="center"/>
          </w:tcPr>
          <w:p w:rsidR="007D05A3" w:rsidRPr="004C53E7" w:rsidRDefault="007D05A3" w:rsidP="00340DC6">
            <w:pPr>
              <w:jc w:val="center"/>
              <w:rPr>
                <w:rFonts w:ascii="Calibri" w:hAnsi="Calibri" w:cs="Arial"/>
                <w:b/>
                <w:bCs/>
                <w:iCs/>
                <w:lang w:val="en-IE"/>
              </w:rPr>
            </w:pPr>
            <w:r w:rsidRPr="004C53E7">
              <w:rPr>
                <w:rFonts w:ascii="Calibri" w:hAnsi="Calibri" w:cs="Arial"/>
                <w:b/>
                <w:bCs/>
                <w:iCs/>
                <w:lang w:val="en-IE"/>
              </w:rPr>
              <w:t>Code Objectives Furthered</w:t>
            </w:r>
          </w:p>
          <w:p w:rsidR="007D05A3" w:rsidRPr="004C53E7" w:rsidRDefault="007D05A3" w:rsidP="00340DC6">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7D05A3" w:rsidRPr="004C53E7" w:rsidTr="00340DC6">
        <w:tc>
          <w:tcPr>
            <w:tcW w:w="9243" w:type="dxa"/>
            <w:gridSpan w:val="2"/>
            <w:vAlign w:val="center"/>
          </w:tcPr>
          <w:p w:rsidR="00011CBC" w:rsidRDefault="007D05A3" w:rsidP="00011CBC">
            <w:pPr>
              <w:spacing w:before="120"/>
              <w:rPr>
                <w:rFonts w:ascii="Calibri" w:hAnsi="Calibri" w:cs="Arial"/>
                <w:lang w:val="en-IE"/>
              </w:rPr>
            </w:pPr>
            <w:r>
              <w:rPr>
                <w:rFonts w:ascii="Calibri" w:hAnsi="Calibri" w:cs="Arial"/>
                <w:lang w:val="en-IE"/>
              </w:rPr>
              <w:t>This modification aims to further Code Objective</w:t>
            </w:r>
            <w:r w:rsidR="00011CBC">
              <w:rPr>
                <w:rFonts w:ascii="Calibri" w:hAnsi="Calibri" w:cs="Arial"/>
                <w:lang w:val="en-IE"/>
              </w:rPr>
              <w:t>:</w:t>
            </w:r>
            <w:r>
              <w:rPr>
                <w:rFonts w:ascii="Calibri" w:hAnsi="Calibri" w:cs="Arial"/>
                <w:lang w:val="en-IE"/>
              </w:rPr>
              <w:t xml:space="preserve"> </w:t>
            </w:r>
          </w:p>
          <w:p w:rsidR="007D05A3" w:rsidRPr="004C53E7" w:rsidRDefault="00011CBC" w:rsidP="00011CBC">
            <w:pPr>
              <w:spacing w:before="120" w:after="120"/>
              <w:rPr>
                <w:rFonts w:ascii="Calibri" w:hAnsi="Calibri" w:cs="Arial"/>
                <w:lang w:val="en-IE"/>
              </w:rPr>
            </w:pPr>
            <w:r w:rsidRPr="00011CBC">
              <w:rPr>
                <w:rFonts w:ascii="Calibri" w:hAnsi="Calibri" w:cs="Arial"/>
                <w:b/>
                <w:lang w:val="en-IE"/>
              </w:rPr>
              <w:t>1.3.5:</w:t>
            </w:r>
            <w:r>
              <w:rPr>
                <w:rFonts w:ascii="Calibri" w:hAnsi="Calibri" w:cs="Arial"/>
                <w:lang w:val="en-IE"/>
              </w:rPr>
              <w:t xml:space="preserve"> </w:t>
            </w:r>
            <w:r w:rsidR="007D05A3" w:rsidRPr="00C97491">
              <w:rPr>
                <w:rFonts w:ascii="Calibri" w:hAnsi="Calibri" w:cs="Arial"/>
                <w:lang w:val="en-IE"/>
              </w:rPr>
              <w:t>to provide transparency</w:t>
            </w:r>
            <w:r>
              <w:rPr>
                <w:rFonts w:ascii="Calibri" w:hAnsi="Calibri" w:cs="Arial"/>
                <w:lang w:val="en-IE"/>
              </w:rPr>
              <w:t xml:space="preserve"> in the operation of the Single </w:t>
            </w:r>
            <w:r w:rsidR="007D05A3" w:rsidRPr="00C97491">
              <w:rPr>
                <w:rFonts w:ascii="Calibri" w:hAnsi="Calibri" w:cs="Arial"/>
                <w:lang w:val="en-IE"/>
              </w:rPr>
              <w:t>Electricity Market</w:t>
            </w:r>
          </w:p>
        </w:tc>
      </w:tr>
      <w:tr w:rsidR="007D05A3" w:rsidRPr="004C53E7" w:rsidTr="00340DC6">
        <w:tc>
          <w:tcPr>
            <w:tcW w:w="9243" w:type="dxa"/>
            <w:gridSpan w:val="2"/>
            <w:shd w:val="clear" w:color="auto" w:fill="C6D9F1"/>
            <w:vAlign w:val="center"/>
          </w:tcPr>
          <w:p w:rsidR="007D05A3" w:rsidRPr="004C53E7" w:rsidRDefault="007D05A3" w:rsidP="00340DC6">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7D05A3" w:rsidRPr="004C53E7" w:rsidRDefault="007D05A3" w:rsidP="00340DC6">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7D05A3" w:rsidRPr="004C53E7" w:rsidTr="00340DC6">
        <w:tc>
          <w:tcPr>
            <w:tcW w:w="9243" w:type="dxa"/>
            <w:gridSpan w:val="2"/>
            <w:vAlign w:val="center"/>
          </w:tcPr>
          <w:p w:rsidR="00A02D50" w:rsidRPr="004C53E7" w:rsidRDefault="00A02D50" w:rsidP="00843D8E">
            <w:pPr>
              <w:spacing w:before="120" w:after="120"/>
              <w:rPr>
                <w:rFonts w:ascii="Calibri" w:hAnsi="Calibri" w:cs="Arial"/>
                <w:lang w:val="en-IE"/>
              </w:rPr>
            </w:pPr>
            <w:r w:rsidRPr="00A02D50">
              <w:rPr>
                <w:rFonts w:ascii="Calibri" w:hAnsi="Calibri" w:cs="Arial"/>
                <w:lang w:val="en-IE"/>
              </w:rPr>
              <w:t xml:space="preserve">Should this modification </w:t>
            </w:r>
            <w:r>
              <w:rPr>
                <w:rFonts w:ascii="Calibri" w:hAnsi="Calibri" w:cs="Arial"/>
                <w:lang w:val="en-IE"/>
              </w:rPr>
              <w:t xml:space="preserve">proposal </w:t>
            </w:r>
            <w:r w:rsidRPr="00A02D50">
              <w:rPr>
                <w:rFonts w:ascii="Calibri" w:hAnsi="Calibri" w:cs="Arial"/>
                <w:lang w:val="en-IE"/>
              </w:rPr>
              <w:t>not be implemented</w:t>
            </w:r>
            <w:r>
              <w:rPr>
                <w:rFonts w:ascii="Calibri" w:hAnsi="Calibri" w:cs="Arial"/>
                <w:lang w:val="en-IE"/>
              </w:rPr>
              <w:t>,</w:t>
            </w:r>
            <w:r w:rsidRPr="00A02D50">
              <w:rPr>
                <w:rFonts w:ascii="Calibri" w:hAnsi="Calibri" w:cs="Arial"/>
                <w:lang w:val="en-IE"/>
              </w:rPr>
              <w:t xml:space="preserve"> </w:t>
            </w:r>
            <w:r>
              <w:rPr>
                <w:rFonts w:ascii="Calibri" w:hAnsi="Calibri" w:cs="Arial"/>
                <w:lang w:val="en-IE"/>
              </w:rPr>
              <w:t xml:space="preserve">the Market Operator will remain in breach of the code </w:t>
            </w:r>
            <w:r w:rsidR="00F853D8">
              <w:rPr>
                <w:rFonts w:ascii="Calibri" w:hAnsi="Calibri" w:cs="Arial"/>
                <w:lang w:val="en-IE"/>
              </w:rPr>
              <w:t>for</w:t>
            </w:r>
            <w:r>
              <w:rPr>
                <w:rFonts w:ascii="Calibri" w:hAnsi="Calibri" w:cs="Arial"/>
                <w:lang w:val="en-IE"/>
              </w:rPr>
              <w:t xml:space="preserve"> not publishing </w:t>
            </w:r>
            <w:r w:rsidR="00843D8E">
              <w:rPr>
                <w:rFonts w:ascii="Calibri" w:hAnsi="Calibri" w:cs="Arial"/>
                <w:lang w:val="en-IE"/>
              </w:rPr>
              <w:t>an</w:t>
            </w:r>
            <w:r>
              <w:rPr>
                <w:rFonts w:ascii="Calibri" w:hAnsi="Calibri" w:cs="Arial"/>
                <w:lang w:val="en-IE"/>
              </w:rPr>
              <w:t xml:space="preserve"> ex-ante</w:t>
            </w:r>
            <w:r w:rsidR="00843D8E">
              <w:rPr>
                <w:rFonts w:ascii="Calibri" w:hAnsi="Calibri" w:cs="Arial"/>
                <w:lang w:val="en-IE"/>
              </w:rPr>
              <w:t xml:space="preserve"> value of</w:t>
            </w:r>
            <w:r>
              <w:rPr>
                <w:rFonts w:ascii="Calibri" w:hAnsi="Calibri" w:cs="Arial"/>
                <w:lang w:val="en-IE"/>
              </w:rPr>
              <w:t xml:space="preserve"> Margin.</w:t>
            </w:r>
          </w:p>
        </w:tc>
      </w:tr>
      <w:tr w:rsidR="007D05A3" w:rsidRPr="004C53E7" w:rsidTr="00340DC6">
        <w:trPr>
          <w:trHeight w:val="507"/>
        </w:trPr>
        <w:tc>
          <w:tcPr>
            <w:tcW w:w="4621" w:type="dxa"/>
            <w:shd w:val="clear" w:color="auto" w:fill="C6D9F1"/>
            <w:vAlign w:val="center"/>
          </w:tcPr>
          <w:p w:rsidR="007D05A3" w:rsidRPr="004C53E7" w:rsidRDefault="007D05A3" w:rsidP="00340DC6">
            <w:pPr>
              <w:jc w:val="center"/>
              <w:rPr>
                <w:rFonts w:ascii="Calibri" w:hAnsi="Calibri" w:cs="Arial"/>
                <w:b/>
                <w:bCs/>
                <w:iCs/>
                <w:lang w:val="en-IE"/>
              </w:rPr>
            </w:pPr>
            <w:r w:rsidRPr="004C53E7">
              <w:rPr>
                <w:rFonts w:ascii="Calibri" w:hAnsi="Calibri" w:cs="Arial"/>
                <w:b/>
                <w:bCs/>
                <w:iCs/>
                <w:lang w:val="en-IE"/>
              </w:rPr>
              <w:t>Working Group</w:t>
            </w:r>
          </w:p>
          <w:p w:rsidR="007D05A3" w:rsidRPr="004C53E7" w:rsidRDefault="007D05A3" w:rsidP="00340DC6">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shd w:val="clear" w:color="auto" w:fill="C6D9F1"/>
            <w:vAlign w:val="center"/>
          </w:tcPr>
          <w:p w:rsidR="007D05A3" w:rsidRPr="004C53E7" w:rsidRDefault="007D05A3" w:rsidP="00340DC6">
            <w:pPr>
              <w:jc w:val="center"/>
              <w:rPr>
                <w:rFonts w:ascii="Calibri" w:hAnsi="Calibri" w:cs="Arial"/>
                <w:b/>
                <w:bCs/>
                <w:iCs/>
                <w:lang w:val="en-IE"/>
              </w:rPr>
            </w:pPr>
            <w:r w:rsidRPr="004C53E7">
              <w:rPr>
                <w:rFonts w:ascii="Calibri" w:hAnsi="Calibri" w:cs="Arial"/>
                <w:b/>
                <w:bCs/>
                <w:iCs/>
                <w:lang w:val="en-IE"/>
              </w:rPr>
              <w:t>Impacts</w:t>
            </w:r>
          </w:p>
          <w:p w:rsidR="007D05A3" w:rsidRPr="004C53E7" w:rsidRDefault="007D05A3" w:rsidP="00340DC6">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7D05A3" w:rsidRPr="004C53E7" w:rsidRDefault="007D05A3" w:rsidP="00340DC6">
            <w:pPr>
              <w:jc w:val="center"/>
              <w:rPr>
                <w:rFonts w:ascii="Calibri" w:hAnsi="Calibri" w:cs="Arial"/>
                <w:b/>
                <w:bCs/>
                <w:iCs/>
                <w:lang w:val="en-IE"/>
              </w:rPr>
            </w:pPr>
          </w:p>
        </w:tc>
      </w:tr>
      <w:tr w:rsidR="007D05A3" w:rsidRPr="004C53E7" w:rsidDel="00404964" w:rsidTr="00340DC6">
        <w:trPr>
          <w:trHeight w:val="507"/>
        </w:trPr>
        <w:tc>
          <w:tcPr>
            <w:tcW w:w="4621" w:type="dxa"/>
            <w:vAlign w:val="center"/>
          </w:tcPr>
          <w:p w:rsidR="007D05A3" w:rsidRPr="004C53E7" w:rsidDel="00404964" w:rsidRDefault="007D05A3" w:rsidP="00340DC6">
            <w:pPr>
              <w:spacing w:line="480" w:lineRule="auto"/>
              <w:rPr>
                <w:rFonts w:ascii="Calibri" w:hAnsi="Calibri" w:cs="Arial"/>
                <w:lang w:val="en-IE"/>
              </w:rPr>
            </w:pPr>
            <w:r>
              <w:rPr>
                <w:rFonts w:ascii="Calibri" w:hAnsi="Calibri" w:cs="Arial"/>
                <w:lang w:val="en-IE"/>
              </w:rPr>
              <w:t>No</w:t>
            </w:r>
          </w:p>
        </w:tc>
        <w:tc>
          <w:tcPr>
            <w:tcW w:w="4622" w:type="dxa"/>
            <w:vAlign w:val="center"/>
          </w:tcPr>
          <w:p w:rsidR="007D05A3" w:rsidRPr="004C53E7" w:rsidDel="00404964" w:rsidRDefault="007D05A3" w:rsidP="00340DC6">
            <w:pPr>
              <w:spacing w:line="480" w:lineRule="auto"/>
              <w:rPr>
                <w:rFonts w:ascii="Calibri" w:hAnsi="Calibri" w:cs="Arial"/>
                <w:lang w:val="en-IE"/>
              </w:rPr>
            </w:pPr>
            <w:r>
              <w:rPr>
                <w:rFonts w:ascii="Calibri" w:hAnsi="Calibri" w:cs="Arial"/>
                <w:lang w:val="en-IE"/>
              </w:rPr>
              <w:t>No</w:t>
            </w:r>
          </w:p>
        </w:tc>
      </w:tr>
      <w:tr w:rsidR="007D05A3" w:rsidRPr="004C53E7" w:rsidTr="00340DC6">
        <w:tc>
          <w:tcPr>
            <w:tcW w:w="9243" w:type="dxa"/>
            <w:gridSpan w:val="2"/>
            <w:vAlign w:val="center"/>
          </w:tcPr>
          <w:p w:rsidR="007D05A3" w:rsidRPr="004C53E7" w:rsidRDefault="007D05A3" w:rsidP="00340DC6">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7D05A3" w:rsidRDefault="007D05A3" w:rsidP="007D05A3">
      <w:pPr>
        <w:overflowPunct/>
        <w:autoSpaceDE/>
        <w:autoSpaceDN/>
        <w:adjustRightInd/>
        <w:spacing w:after="200" w:line="276" w:lineRule="auto"/>
        <w:textAlignment w:val="auto"/>
        <w:rPr>
          <w:rFonts w:ascii="Arial" w:hAnsi="Arial" w:cs="Arial"/>
          <w:b/>
          <w:sz w:val="16"/>
          <w:szCs w:val="16"/>
          <w:lang w:val="en-US" w:eastAsia="en-US"/>
        </w:rPr>
      </w:pPr>
    </w:p>
    <w:p w:rsidR="007D05A3" w:rsidRDefault="007D05A3" w:rsidP="007D05A3">
      <w:pPr>
        <w:overflowPunct/>
        <w:autoSpaceDE/>
        <w:autoSpaceDN/>
        <w:adjustRightInd/>
        <w:spacing w:after="200" w:line="276" w:lineRule="auto"/>
        <w:textAlignment w:val="auto"/>
        <w:rPr>
          <w:rFonts w:ascii="Calibri" w:hAnsi="Calibri" w:cs="Arial"/>
          <w:b/>
        </w:rPr>
      </w:pPr>
      <w:r>
        <w:rPr>
          <w:rFonts w:ascii="Calibri" w:hAnsi="Calibri" w:cs="Arial"/>
          <w:b/>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3AC125F"/>
    <w:multiLevelType w:val="multilevel"/>
    <w:tmpl w:val="AECC6B6C"/>
    <w:lvl w:ilvl="0">
      <w:start w:val="5"/>
      <w:numFmt w:val="upperLetter"/>
      <w:lvlText w:val="APPENDIX %1:"/>
      <w:lvlJc w:val="left"/>
      <w:pPr>
        <w:ind w:left="-858" w:firstLine="1758"/>
      </w:pPr>
      <w:rPr>
        <w:rFonts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49"/>
        </w:tabs>
        <w:ind w:left="-149" w:hanging="709"/>
      </w:pPr>
      <w:rPr>
        <w:rFonts w:ascii="Arial" w:hAnsi="Arial"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38"/>
        </w:tabs>
        <w:ind w:left="-1119" w:firstLine="261"/>
      </w:pPr>
      <w:rPr>
        <w:rFonts w:hint="default"/>
      </w:rPr>
    </w:lvl>
    <w:lvl w:ilvl="3">
      <w:start w:val="1"/>
      <w:numFmt w:val="decimal"/>
      <w:lvlText w:val="%1.%2.%3.%4"/>
      <w:lvlJc w:val="left"/>
      <w:pPr>
        <w:tabs>
          <w:tab w:val="num" w:pos="222"/>
        </w:tabs>
        <w:ind w:left="-975" w:firstLine="117"/>
      </w:pPr>
      <w:rPr>
        <w:rFonts w:hint="default"/>
      </w:rPr>
    </w:lvl>
    <w:lvl w:ilvl="4">
      <w:start w:val="1"/>
      <w:numFmt w:val="decimal"/>
      <w:lvlText w:val="%1.%2.%3.%4.%5"/>
      <w:lvlJc w:val="left"/>
      <w:pPr>
        <w:tabs>
          <w:tab w:val="num" w:pos="582"/>
        </w:tabs>
        <w:ind w:left="-831" w:hanging="27"/>
      </w:pPr>
      <w:rPr>
        <w:rFonts w:hint="default"/>
      </w:rPr>
    </w:lvl>
    <w:lvl w:ilvl="5">
      <w:start w:val="1"/>
      <w:numFmt w:val="decimal"/>
      <w:lvlText w:val="%1.%2.%3.%4.%5.%6"/>
      <w:lvlJc w:val="left"/>
      <w:pPr>
        <w:tabs>
          <w:tab w:val="num" w:pos="582"/>
        </w:tabs>
        <w:ind w:left="-687" w:hanging="171"/>
      </w:pPr>
      <w:rPr>
        <w:rFonts w:hint="default"/>
      </w:rPr>
    </w:lvl>
    <w:lvl w:ilvl="6">
      <w:start w:val="1"/>
      <w:numFmt w:val="decimal"/>
      <w:lvlText w:val="%1.%2.%3.%4.%5.%6.%7"/>
      <w:lvlJc w:val="left"/>
      <w:pPr>
        <w:tabs>
          <w:tab w:val="num" w:pos="942"/>
        </w:tabs>
        <w:ind w:left="-543" w:hanging="315"/>
      </w:pPr>
      <w:rPr>
        <w:rFonts w:hint="default"/>
      </w:rPr>
    </w:lvl>
    <w:lvl w:ilvl="7">
      <w:start w:val="1"/>
      <w:numFmt w:val="decimal"/>
      <w:lvlText w:val="%1.%2.%3.%4.%5.%6.%7.%8"/>
      <w:lvlJc w:val="left"/>
      <w:pPr>
        <w:tabs>
          <w:tab w:val="num" w:pos="942"/>
        </w:tabs>
        <w:ind w:left="-399" w:hanging="459"/>
      </w:pPr>
      <w:rPr>
        <w:rFonts w:hint="default"/>
      </w:rPr>
    </w:lvl>
    <w:lvl w:ilvl="8">
      <w:start w:val="1"/>
      <w:numFmt w:val="decimal"/>
      <w:lvlText w:val="%1.%2.%3.%4.%5.%6.%7.%8.%9"/>
      <w:lvlJc w:val="left"/>
      <w:pPr>
        <w:tabs>
          <w:tab w:val="num" w:pos="1302"/>
        </w:tabs>
        <w:ind w:left="-255" w:hanging="603"/>
      </w:pPr>
      <w:rPr>
        <w:rFonts w:hint="default"/>
      </w:rPr>
    </w:lvl>
  </w:abstractNum>
  <w:abstractNum w:abstractNumId="3">
    <w:nsid w:val="6DDF6336"/>
    <w:multiLevelType w:val="hybridMultilevel"/>
    <w:tmpl w:val="1E723AEE"/>
    <w:lvl w:ilvl="0" w:tplc="999EE6D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4C53E7"/>
    <w:rsid w:val="00001C50"/>
    <w:rsid w:val="00011CBC"/>
    <w:rsid w:val="00025FCD"/>
    <w:rsid w:val="000A0A2E"/>
    <w:rsid w:val="000F3289"/>
    <w:rsid w:val="00157D78"/>
    <w:rsid w:val="0019288A"/>
    <w:rsid w:val="001E0FCC"/>
    <w:rsid w:val="002012B7"/>
    <w:rsid w:val="00203E98"/>
    <w:rsid w:val="002B1E62"/>
    <w:rsid w:val="00307FBE"/>
    <w:rsid w:val="00340DC6"/>
    <w:rsid w:val="00356104"/>
    <w:rsid w:val="00363661"/>
    <w:rsid w:val="003D5C10"/>
    <w:rsid w:val="003F4055"/>
    <w:rsid w:val="004516A8"/>
    <w:rsid w:val="004664A5"/>
    <w:rsid w:val="004A38DC"/>
    <w:rsid w:val="004C53E7"/>
    <w:rsid w:val="00505CA1"/>
    <w:rsid w:val="005075D6"/>
    <w:rsid w:val="00530C9E"/>
    <w:rsid w:val="005C694B"/>
    <w:rsid w:val="005D2570"/>
    <w:rsid w:val="005D345C"/>
    <w:rsid w:val="006131C3"/>
    <w:rsid w:val="006278AA"/>
    <w:rsid w:val="0063249B"/>
    <w:rsid w:val="00664B72"/>
    <w:rsid w:val="00690E9A"/>
    <w:rsid w:val="00693AA7"/>
    <w:rsid w:val="006E02C1"/>
    <w:rsid w:val="00711338"/>
    <w:rsid w:val="00722D50"/>
    <w:rsid w:val="00726155"/>
    <w:rsid w:val="007D05A3"/>
    <w:rsid w:val="007F7E9D"/>
    <w:rsid w:val="0081044D"/>
    <w:rsid w:val="00821CCA"/>
    <w:rsid w:val="00835C30"/>
    <w:rsid w:val="00842A43"/>
    <w:rsid w:val="00843D8E"/>
    <w:rsid w:val="008B2919"/>
    <w:rsid w:val="008E2A79"/>
    <w:rsid w:val="009547FF"/>
    <w:rsid w:val="00987618"/>
    <w:rsid w:val="00996BFC"/>
    <w:rsid w:val="009A1DAC"/>
    <w:rsid w:val="00A02D50"/>
    <w:rsid w:val="00A80600"/>
    <w:rsid w:val="00A87004"/>
    <w:rsid w:val="00BA2514"/>
    <w:rsid w:val="00C150DD"/>
    <w:rsid w:val="00C6689F"/>
    <w:rsid w:val="00C842F7"/>
    <w:rsid w:val="00C97491"/>
    <w:rsid w:val="00CC4C3F"/>
    <w:rsid w:val="00D05DF3"/>
    <w:rsid w:val="00D1310C"/>
    <w:rsid w:val="00D23B1F"/>
    <w:rsid w:val="00EA2EBA"/>
    <w:rsid w:val="00EC45AF"/>
    <w:rsid w:val="00EF2A3A"/>
    <w:rsid w:val="00F80DB2"/>
    <w:rsid w:val="00F853D8"/>
    <w:rsid w:val="00F85EB0"/>
    <w:rsid w:val="00FB4BF9"/>
    <w:rsid w:val="00FB4E54"/>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uiPriority w:val="21"/>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customStyle="1" w:styleId="CERnon-indentChar">
    <w:name w:val="CER non-indent Char"/>
    <w:basedOn w:val="DefaultParagraphFont"/>
    <w:link w:val="CERnon-indent"/>
    <w:locked/>
    <w:rsid w:val="00996BFC"/>
    <w:rPr>
      <w:rFonts w:ascii="Arial" w:hAnsi="Arial" w:cs="Times New Roman"/>
      <w:color w:val="000000"/>
      <w:lang w:val="en-GB"/>
    </w:rPr>
  </w:style>
  <w:style w:type="paragraph" w:customStyle="1" w:styleId="CERnon-indent">
    <w:name w:val="CER non-indent"/>
    <w:basedOn w:val="Normal"/>
    <w:link w:val="CERnon-indentChar"/>
    <w:rsid w:val="00996BFC"/>
    <w:pPr>
      <w:tabs>
        <w:tab w:val="num" w:pos="851"/>
      </w:tabs>
      <w:overflowPunct/>
      <w:autoSpaceDE/>
      <w:autoSpaceDN/>
      <w:adjustRightInd/>
      <w:spacing w:before="120" w:after="120"/>
      <w:jc w:val="both"/>
      <w:textAlignment w:val="auto"/>
    </w:pPr>
    <w:rPr>
      <w:rFonts w:ascii="Arial" w:eastAsiaTheme="minorHAnsi" w:hAnsi="Arial"/>
      <w:color w:val="000000"/>
      <w:sz w:val="22"/>
      <w:szCs w:val="22"/>
      <w:lang w:val="en-GB"/>
    </w:rPr>
  </w:style>
  <w:style w:type="paragraph" w:customStyle="1" w:styleId="CERTableHeader">
    <w:name w:val="CER Table Header"/>
    <w:basedOn w:val="Caption"/>
    <w:rsid w:val="00996BFC"/>
    <w:pPr>
      <w:keepNext/>
      <w:overflowPunct/>
      <w:autoSpaceDE/>
      <w:autoSpaceDN/>
      <w:adjustRightInd/>
      <w:spacing w:before="120" w:after="120"/>
      <w:ind w:left="851"/>
      <w:textAlignment w:val="auto"/>
    </w:pPr>
    <w:rPr>
      <w:rFonts w:ascii="Arial" w:hAnsi="Arial"/>
      <w:color w:val="auto"/>
      <w:sz w:val="20"/>
      <w:szCs w:val="20"/>
      <w:lang w:val="en-IE"/>
    </w:rPr>
  </w:style>
  <w:style w:type="paragraph" w:styleId="Caption">
    <w:name w:val="caption"/>
    <w:basedOn w:val="Normal"/>
    <w:next w:val="Normal"/>
    <w:uiPriority w:val="35"/>
    <w:semiHidden/>
    <w:unhideWhenUsed/>
    <w:qFormat/>
    <w:rsid w:val="00996BFC"/>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96BFC"/>
    <w:rPr>
      <w:rFonts w:ascii="Tahoma" w:hAnsi="Tahoma" w:cs="Tahoma"/>
      <w:sz w:val="16"/>
      <w:szCs w:val="16"/>
    </w:rPr>
  </w:style>
  <w:style w:type="character" w:customStyle="1" w:styleId="BalloonTextChar">
    <w:name w:val="Balloon Text Char"/>
    <w:basedOn w:val="DefaultParagraphFont"/>
    <w:link w:val="BalloonText"/>
    <w:uiPriority w:val="99"/>
    <w:semiHidden/>
    <w:rsid w:val="00996BFC"/>
    <w:rPr>
      <w:rFonts w:ascii="Tahoma" w:eastAsia="Times New Roman" w:hAnsi="Tahoma" w:cs="Tahoma"/>
      <w:sz w:val="16"/>
      <w:szCs w:val="16"/>
      <w:lang w:val="en-AU" w:eastAsia="en-GB"/>
    </w:rPr>
  </w:style>
  <w:style w:type="paragraph" w:customStyle="1" w:styleId="CERGlossaryDefinition">
    <w:name w:val="CER Glossary Definition"/>
    <w:basedOn w:val="CERGlossaryTerm"/>
    <w:rsid w:val="00C97491"/>
    <w:pPr>
      <w:jc w:val="both"/>
    </w:pPr>
    <w:rPr>
      <w:b w:val="0"/>
    </w:rPr>
  </w:style>
  <w:style w:type="paragraph" w:customStyle="1" w:styleId="CERGlossaryTerm">
    <w:name w:val="CER Glossary Term"/>
    <w:basedOn w:val="Normal"/>
    <w:rsid w:val="00C97491"/>
    <w:pPr>
      <w:tabs>
        <w:tab w:val="num" w:pos="851"/>
      </w:tabs>
      <w:overflowPunct/>
      <w:autoSpaceDE/>
      <w:autoSpaceDN/>
      <w:adjustRightInd/>
      <w:spacing w:before="120" w:after="120"/>
      <w:textAlignment w:val="auto"/>
    </w:pPr>
    <w:rPr>
      <w:rFonts w:ascii="Arial" w:hAnsi="Arial"/>
      <w:b/>
      <w:lang w:val="en-GB" w:eastAsia="en-US"/>
    </w:rPr>
  </w:style>
  <w:style w:type="paragraph" w:customStyle="1" w:styleId="CERNORMAL">
    <w:name w:val="CER NORMAL"/>
    <w:rsid w:val="00C97491"/>
    <w:pPr>
      <w:tabs>
        <w:tab w:val="num" w:pos="851"/>
      </w:tabs>
      <w:spacing w:before="120" w:after="120" w:line="240" w:lineRule="auto"/>
      <w:ind w:left="851"/>
    </w:pPr>
    <w:rPr>
      <w:rFonts w:ascii="Arial" w:eastAsia="Times New Roman" w:hAnsi="Arial" w:cs="Times New Roman"/>
      <w:color w:val="000000"/>
      <w:szCs w:val="20"/>
      <w:lang w:val="en-GB"/>
    </w:rPr>
  </w:style>
  <w:style w:type="paragraph" w:customStyle="1" w:styleId="CERHEADING2">
    <w:name w:val="CER HEADING 2"/>
    <w:next w:val="Normal"/>
    <w:rsid w:val="00C97491"/>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styleId="ListParagraph">
    <w:name w:val="List Paragraph"/>
    <w:basedOn w:val="Normal"/>
    <w:uiPriority w:val="34"/>
    <w:qFormat/>
    <w:rsid w:val="00C97491"/>
    <w:pPr>
      <w:ind w:left="720"/>
      <w:contextualSpacing/>
    </w:pPr>
  </w:style>
  <w:style w:type="table" w:styleId="TableGrid">
    <w:name w:val="Table Grid"/>
    <w:basedOn w:val="TableNormal"/>
    <w:uiPriority w:val="59"/>
    <w:rsid w:val="007D05A3"/>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RAPPENDIXBODY">
    <w:name w:val="CER APPENDIX BODY"/>
    <w:rsid w:val="005D2570"/>
    <w:pPr>
      <w:numPr>
        <w:ilvl w:val="1"/>
        <w:numId w:val="4"/>
      </w:numPr>
      <w:tabs>
        <w:tab w:val="left" w:pos="851"/>
      </w:tabs>
      <w:spacing w:before="120" w:after="120" w:line="240" w:lineRule="auto"/>
      <w:jc w:val="both"/>
    </w:pPr>
    <w:rPr>
      <w:rFonts w:ascii="Arial" w:eastAsia="Times New Roman" w:hAnsi="Arial" w:cs="Times New Roman"/>
      <w:color w:val="000000"/>
      <w:szCs w:val="20"/>
      <w:lang w:val="en-GB"/>
    </w:rPr>
  </w:style>
  <w:style w:type="paragraph" w:customStyle="1" w:styleId="CERNUMAPPENDXHD1">
    <w:name w:val="CER NUM APPENDX HD 1"/>
    <w:basedOn w:val="Normal"/>
    <w:rsid w:val="005D2570"/>
    <w:pPr>
      <w:keepNext/>
      <w:pageBreakBefore/>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sz w:val="2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1561</MMTID>
    <ModID xmlns="bd8dd43f-48f8-46ce-9b8d-78f402b7750b">692</Mod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99877AE-C770-407B-B155-4D191A861E63}"/>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261AA31C-45DD-4A7B-8749-203D7C92BDE7}"/>
</file>

<file path=docProps/app.xml><?xml version="1.0" encoding="utf-8"?>
<Properties xmlns="http://schemas.openxmlformats.org/officeDocument/2006/extended-properties" xmlns:vt="http://schemas.openxmlformats.org/officeDocument/2006/docPropsVTypes">
  <Template>Normal</Template>
  <TotalTime>3</TotalTime>
  <Pages>4</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Niamh Delaney</dc:creator>
  <cp:keywords/>
  <dc:description/>
  <cp:lastModifiedBy>sking</cp:lastModifiedBy>
  <cp:revision>4</cp:revision>
  <dcterms:created xsi:type="dcterms:W3CDTF">2014-01-23T11:29:00Z</dcterms:created>
  <dcterms:modified xsi:type="dcterms:W3CDTF">2014-01-24T14:29:00Z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43500</vt:r8>
  </property>
  <property fmtid="{D5CDD505-2E9C-101B-9397-08002B2CF9AE}" pid="4" name="TemplateUrl">
    <vt:lpwstr/>
  </property>
  <property fmtid="{D5CDD505-2E9C-101B-9397-08002B2CF9AE}" pid="5" name="_SourceUrl">
    <vt:lpwstr/>
  </property>
  <property fmtid="{D5CDD505-2E9C-101B-9397-08002B2CF9AE}" pid="6" name="xd_Signature">
    <vt:bool>false</vt:bool>
  </property>
  <property fmtid="{D5CDD505-2E9C-101B-9397-08002B2CF9AE}" pid="7" name="xd_ProgID">
    <vt:lpwstr/>
  </property>
  <property fmtid="{D5CDD505-2E9C-101B-9397-08002B2CF9AE}" pid="8" name="Priority">
    <vt:lpwstr>Medium</vt:lpwstr>
  </property>
  <property fmtid="{D5CDD505-2E9C-101B-9397-08002B2CF9AE}" pid="9" name="Area">
    <vt:lpwstr>Financial &amp; Settlement</vt:lpwstr>
  </property>
  <property fmtid="{D5CDD505-2E9C-101B-9397-08002B2CF9AE}" pid="10" name="Proposer">
    <vt:lpwstr>SEMO</vt:lpwstr>
  </property>
  <property fmtid="{D5CDD505-2E9C-101B-9397-08002B2CF9AE}" pid="11" name="Status">
    <vt:lpwstr>In progress</vt:lpwstr>
  </property>
  <property fmtid="{D5CDD505-2E9C-101B-9397-08002B2CF9AE}" pid="12" name="Meeting">
    <vt:lpwstr>52</vt:lpwstr>
  </property>
  <property fmtid="{D5CDD505-2E9C-101B-9397-08002B2CF9AE}" pid="15" name="Mod ID">
    <vt:lpwstr>1030</vt:lpwstr>
  </property>
  <property fmtid="{D5CDD505-2E9C-101B-9397-08002B2CF9AE}" pid="16" name="Year of Modification Proposal">
    <vt:lpwstr>2014</vt:lpwstr>
  </property>
  <property fmtid="{D5CDD505-2E9C-101B-9397-08002B2CF9AE}" pid="17" name="Document Type">
    <vt:lpwstr>Modification Proposal</vt:lpwstr>
  </property>
  <property fmtid="{D5CDD505-2E9C-101B-9397-08002B2CF9AE}" pid="18" name="Copy to Website">
    <vt:lpwstr>true</vt:lpwstr>
  </property>
  <property fmtid="{D5CDD505-2E9C-101B-9397-08002B2CF9AE}" pid="19" name="_CopySource">
    <vt:lpwstr>Mod_01_14 Ex-Ante Margin.docx</vt:lpwstr>
  </property>
</Properties>
</file>