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9"/>
        <w:gridCol w:w="987"/>
        <w:gridCol w:w="1327"/>
        <w:gridCol w:w="1076"/>
        <w:gridCol w:w="458"/>
        <w:gridCol w:w="896"/>
        <w:gridCol w:w="2992"/>
      </w:tblGrid>
      <w:tr w:rsidR="008C25B7" w:rsidRPr="004268C9">
        <w:tc>
          <w:tcPr>
            <w:tcW w:w="9243" w:type="dxa"/>
            <w:gridSpan w:val="7"/>
            <w:shd w:val="clear" w:color="auto" w:fill="C0C0C0"/>
          </w:tcPr>
          <w:p w:rsidR="008C25B7" w:rsidRPr="007B71B2" w:rsidRDefault="008C25B7" w:rsidP="00CD196B">
            <w:pPr>
              <w:rPr>
                <w:rFonts w:ascii="Arial" w:hAnsi="Arial" w:cs="Arial"/>
                <w:sz w:val="18"/>
                <w:szCs w:val="18"/>
                <w:lang w:val="en-IE"/>
              </w:rPr>
            </w:pPr>
          </w:p>
          <w:p w:rsidR="008C25B7" w:rsidRPr="007B71B2" w:rsidRDefault="008C25B7" w:rsidP="00CD196B">
            <w:pPr>
              <w:rPr>
                <w:rFonts w:ascii="Arial" w:hAnsi="Arial" w:cs="Arial"/>
                <w:sz w:val="28"/>
                <w:szCs w:val="28"/>
                <w:lang w:val="en-IE"/>
              </w:rPr>
            </w:pPr>
          </w:p>
          <w:p w:rsidR="008C25B7" w:rsidRPr="007B71B2" w:rsidRDefault="008C25B7" w:rsidP="007B71B2">
            <w:pPr>
              <w:jc w:val="center"/>
              <w:rPr>
                <w:rFonts w:ascii="Arial" w:hAnsi="Arial" w:cs="Arial"/>
                <w:sz w:val="28"/>
                <w:szCs w:val="28"/>
                <w:lang w:val="en-IE"/>
              </w:rPr>
            </w:pPr>
            <w:r w:rsidRPr="007B71B2">
              <w:rPr>
                <w:rFonts w:ascii="Arial" w:hAnsi="Arial" w:cs="Arial"/>
                <w:b/>
                <w:bCs/>
                <w:sz w:val="28"/>
                <w:szCs w:val="28"/>
              </w:rPr>
              <w:t>MODIFICATION PROPOSAL FORM</w:t>
            </w:r>
          </w:p>
          <w:p w:rsidR="008C25B7" w:rsidRPr="007B71B2" w:rsidRDefault="008C25B7" w:rsidP="00CD196B">
            <w:pPr>
              <w:rPr>
                <w:rFonts w:ascii="Arial" w:hAnsi="Arial" w:cs="Arial"/>
                <w:sz w:val="18"/>
                <w:szCs w:val="18"/>
                <w:lang w:val="en-IE"/>
              </w:rPr>
            </w:pPr>
          </w:p>
          <w:p w:rsidR="008C25B7" w:rsidRPr="007B71B2" w:rsidRDefault="008C25B7" w:rsidP="00CD196B">
            <w:pPr>
              <w:rPr>
                <w:rFonts w:ascii="Arial" w:hAnsi="Arial" w:cs="Arial"/>
                <w:sz w:val="18"/>
                <w:szCs w:val="18"/>
                <w:lang w:val="en-IE"/>
              </w:rPr>
            </w:pPr>
          </w:p>
        </w:tc>
      </w:tr>
      <w:tr w:rsidR="008C25B7" w:rsidRPr="00F91FC2">
        <w:tc>
          <w:tcPr>
            <w:tcW w:w="2088" w:type="dxa"/>
          </w:tcPr>
          <w:p w:rsidR="008C25B7" w:rsidRPr="007B71B2" w:rsidRDefault="008C25B7" w:rsidP="00CD196B">
            <w:pPr>
              <w:rPr>
                <w:rFonts w:ascii="Arial" w:hAnsi="Arial" w:cs="Arial"/>
                <w:sz w:val="18"/>
                <w:szCs w:val="18"/>
                <w:lang w:val="en-IE"/>
              </w:rPr>
            </w:pPr>
            <w:r w:rsidRPr="007B71B2">
              <w:rPr>
                <w:rFonts w:ascii="Arial" w:hAnsi="Arial" w:cs="Arial"/>
                <w:b/>
                <w:bCs/>
                <w:sz w:val="18"/>
                <w:szCs w:val="18"/>
              </w:rPr>
              <w:t>Proposal Submitted by:</w:t>
            </w:r>
          </w:p>
        </w:tc>
        <w:tc>
          <w:tcPr>
            <w:tcW w:w="2533" w:type="dxa"/>
            <w:gridSpan w:val="2"/>
          </w:tcPr>
          <w:p w:rsidR="008C25B7" w:rsidRPr="003F0CA9" w:rsidRDefault="008C25B7" w:rsidP="00CD196B">
            <w:pPr>
              <w:rPr>
                <w:rFonts w:ascii="Arial" w:hAnsi="Arial" w:cs="Arial"/>
                <w:b/>
                <w:bCs/>
                <w:sz w:val="18"/>
                <w:szCs w:val="18"/>
              </w:rPr>
            </w:pPr>
            <w:r w:rsidRPr="007B71B2">
              <w:rPr>
                <w:rFonts w:ascii="Arial" w:hAnsi="Arial" w:cs="Arial"/>
                <w:b/>
                <w:bCs/>
                <w:sz w:val="18"/>
                <w:szCs w:val="18"/>
              </w:rPr>
              <w:t>Date Proposal received by Secretariat:</w:t>
            </w:r>
          </w:p>
        </w:tc>
        <w:tc>
          <w:tcPr>
            <w:tcW w:w="2311" w:type="dxa"/>
            <w:gridSpan w:val="3"/>
          </w:tcPr>
          <w:p w:rsidR="008C25B7" w:rsidRPr="007B71B2" w:rsidRDefault="008C25B7" w:rsidP="00CD196B">
            <w:pPr>
              <w:rPr>
                <w:rFonts w:ascii="Arial" w:hAnsi="Arial" w:cs="Arial"/>
                <w:b/>
                <w:bCs/>
                <w:sz w:val="18"/>
                <w:szCs w:val="18"/>
              </w:rPr>
            </w:pPr>
            <w:r w:rsidRPr="007B71B2">
              <w:rPr>
                <w:rFonts w:ascii="Arial" w:hAnsi="Arial" w:cs="Arial"/>
                <w:b/>
                <w:bCs/>
                <w:sz w:val="18"/>
                <w:szCs w:val="18"/>
              </w:rPr>
              <w:t>Type of Proposal</w:t>
            </w:r>
          </w:p>
          <w:p w:rsidR="008C25B7" w:rsidRPr="007B71B2" w:rsidRDefault="008C25B7" w:rsidP="00CD196B">
            <w:pPr>
              <w:rPr>
                <w:rFonts w:ascii="Arial" w:hAnsi="Arial" w:cs="Arial"/>
                <w:sz w:val="18"/>
                <w:szCs w:val="18"/>
                <w:lang w:val="en-IE"/>
              </w:rPr>
            </w:pPr>
          </w:p>
        </w:tc>
        <w:tc>
          <w:tcPr>
            <w:tcW w:w="2311" w:type="dxa"/>
          </w:tcPr>
          <w:p w:rsidR="008C25B7" w:rsidRPr="007B71B2" w:rsidRDefault="008C25B7" w:rsidP="00CD196B">
            <w:pPr>
              <w:rPr>
                <w:rFonts w:ascii="Arial" w:hAnsi="Arial" w:cs="Arial"/>
                <w:color w:val="0000FF"/>
                <w:sz w:val="18"/>
                <w:szCs w:val="18"/>
              </w:rPr>
            </w:pPr>
            <w:r w:rsidRPr="007B71B2">
              <w:rPr>
                <w:rFonts w:ascii="Arial" w:hAnsi="Arial" w:cs="Arial"/>
                <w:b/>
                <w:bCs/>
                <w:color w:val="0000FF"/>
                <w:sz w:val="18"/>
                <w:szCs w:val="18"/>
              </w:rPr>
              <w:t>Number:</w:t>
            </w:r>
          </w:p>
          <w:p w:rsidR="008C25B7" w:rsidRPr="007B71B2" w:rsidRDefault="008C25B7" w:rsidP="00CD196B">
            <w:pPr>
              <w:rPr>
                <w:rFonts w:ascii="Arial" w:hAnsi="Arial" w:cs="Arial"/>
                <w:sz w:val="18"/>
                <w:szCs w:val="18"/>
                <w:lang w:val="en-IE"/>
              </w:rPr>
            </w:pPr>
          </w:p>
        </w:tc>
      </w:tr>
      <w:tr w:rsidR="008C25B7" w:rsidRPr="004268C9">
        <w:tc>
          <w:tcPr>
            <w:tcW w:w="2088" w:type="dxa"/>
          </w:tcPr>
          <w:p w:rsidR="008C25B7" w:rsidRPr="007B71B2" w:rsidRDefault="008C25B7" w:rsidP="00CD196B">
            <w:pPr>
              <w:rPr>
                <w:rFonts w:ascii="Arial" w:hAnsi="Arial" w:cs="Arial"/>
                <w:sz w:val="18"/>
                <w:szCs w:val="18"/>
                <w:lang w:val="en-IE"/>
              </w:rPr>
            </w:pPr>
            <w:r w:rsidRPr="007B71B2">
              <w:rPr>
                <w:rFonts w:ascii="Arial" w:hAnsi="Arial" w:cs="Arial"/>
                <w:sz w:val="18"/>
                <w:szCs w:val="18"/>
                <w:lang w:val="en-IE"/>
              </w:rPr>
              <w:t>Airtricity</w:t>
            </w:r>
          </w:p>
        </w:tc>
        <w:tc>
          <w:tcPr>
            <w:tcW w:w="2533" w:type="dxa"/>
            <w:gridSpan w:val="2"/>
          </w:tcPr>
          <w:p w:rsidR="008C25B7" w:rsidRPr="007B71B2" w:rsidRDefault="008C25B7" w:rsidP="00CD196B">
            <w:pPr>
              <w:rPr>
                <w:rFonts w:ascii="Arial" w:hAnsi="Arial" w:cs="Arial"/>
                <w:sz w:val="18"/>
                <w:szCs w:val="18"/>
                <w:lang w:val="en-IE"/>
              </w:rPr>
            </w:pPr>
            <w:r>
              <w:rPr>
                <w:rFonts w:ascii="Arial" w:hAnsi="Arial" w:cs="Arial"/>
                <w:sz w:val="18"/>
                <w:szCs w:val="18"/>
                <w:lang w:val="en-IE"/>
              </w:rPr>
              <w:t>18 January 2011</w:t>
            </w:r>
          </w:p>
        </w:tc>
        <w:tc>
          <w:tcPr>
            <w:tcW w:w="2311" w:type="dxa"/>
            <w:gridSpan w:val="3"/>
            <w:vAlign w:val="bottom"/>
          </w:tcPr>
          <w:p w:rsidR="008C25B7" w:rsidRPr="003F0CA9" w:rsidRDefault="008C25B7" w:rsidP="00CD196B">
            <w:pPr>
              <w:rPr>
                <w:rFonts w:ascii="Arial" w:hAnsi="Arial" w:cs="Arial"/>
                <w:sz w:val="18"/>
                <w:szCs w:val="18"/>
                <w:lang w:val="en-IE"/>
              </w:rPr>
            </w:pPr>
            <w:r w:rsidRPr="003F0CA9">
              <w:rPr>
                <w:rFonts w:ascii="Arial" w:hAnsi="Arial" w:cs="Arial"/>
                <w:sz w:val="18"/>
                <w:szCs w:val="18"/>
              </w:rPr>
              <w:t>Standard</w:t>
            </w:r>
          </w:p>
        </w:tc>
        <w:tc>
          <w:tcPr>
            <w:tcW w:w="2311" w:type="dxa"/>
          </w:tcPr>
          <w:p w:rsidR="008C25B7" w:rsidRPr="007B71B2" w:rsidRDefault="008C25B7" w:rsidP="00CD196B">
            <w:pPr>
              <w:rPr>
                <w:rFonts w:ascii="Arial" w:hAnsi="Arial" w:cs="Arial"/>
                <w:sz w:val="18"/>
                <w:szCs w:val="18"/>
                <w:lang w:val="en-IE"/>
              </w:rPr>
            </w:pPr>
            <w:r>
              <w:rPr>
                <w:rFonts w:ascii="Arial" w:hAnsi="Arial" w:cs="Arial"/>
                <w:sz w:val="18"/>
                <w:szCs w:val="18"/>
                <w:lang w:val="en-IE"/>
              </w:rPr>
              <w:t>Mod_06_11</w:t>
            </w:r>
          </w:p>
        </w:tc>
      </w:tr>
      <w:tr w:rsidR="008C25B7" w:rsidRPr="004268C9">
        <w:tc>
          <w:tcPr>
            <w:tcW w:w="9243" w:type="dxa"/>
            <w:gridSpan w:val="7"/>
          </w:tcPr>
          <w:p w:rsidR="008C25B7" w:rsidRPr="007B71B2" w:rsidRDefault="008C25B7" w:rsidP="00CD196B">
            <w:pPr>
              <w:rPr>
                <w:rFonts w:ascii="Arial" w:hAnsi="Arial" w:cs="Arial"/>
                <w:sz w:val="18"/>
                <w:szCs w:val="18"/>
                <w:lang w:val="en-IE"/>
              </w:rPr>
            </w:pPr>
          </w:p>
          <w:p w:rsidR="008C25B7" w:rsidRPr="007B71B2" w:rsidRDefault="008C25B7" w:rsidP="007B71B2">
            <w:pPr>
              <w:jc w:val="center"/>
              <w:rPr>
                <w:rFonts w:ascii="Arial" w:hAnsi="Arial" w:cs="Arial"/>
                <w:sz w:val="18"/>
                <w:szCs w:val="18"/>
                <w:lang w:val="en-IE"/>
              </w:rPr>
            </w:pPr>
            <w:r w:rsidRPr="007B71B2">
              <w:rPr>
                <w:rFonts w:ascii="Arial" w:hAnsi="Arial" w:cs="Arial"/>
                <w:b/>
                <w:bCs/>
                <w:sz w:val="18"/>
                <w:szCs w:val="18"/>
              </w:rPr>
              <w:t>Contact Details for Modification Proposal Originator</w:t>
            </w:r>
          </w:p>
          <w:p w:rsidR="008C25B7" w:rsidRPr="007B71B2" w:rsidRDefault="008C25B7" w:rsidP="00CD196B">
            <w:pPr>
              <w:rPr>
                <w:rFonts w:ascii="Arial" w:hAnsi="Arial" w:cs="Arial"/>
                <w:sz w:val="18"/>
                <w:szCs w:val="18"/>
                <w:lang w:val="en-IE"/>
              </w:rPr>
            </w:pPr>
          </w:p>
        </w:tc>
      </w:tr>
      <w:tr w:rsidR="008C25B7" w:rsidRPr="004268C9">
        <w:tc>
          <w:tcPr>
            <w:tcW w:w="3168" w:type="dxa"/>
            <w:gridSpan w:val="2"/>
          </w:tcPr>
          <w:p w:rsidR="008C25B7" w:rsidRPr="007B71B2" w:rsidRDefault="008C25B7" w:rsidP="00CD196B">
            <w:pPr>
              <w:rPr>
                <w:rFonts w:ascii="Arial" w:hAnsi="Arial" w:cs="Arial"/>
                <w:b/>
                <w:bCs/>
                <w:sz w:val="18"/>
                <w:szCs w:val="18"/>
              </w:rPr>
            </w:pPr>
            <w:r w:rsidRPr="007B71B2">
              <w:rPr>
                <w:rFonts w:ascii="Arial" w:hAnsi="Arial" w:cs="Arial"/>
                <w:b/>
                <w:bCs/>
                <w:sz w:val="18"/>
                <w:szCs w:val="18"/>
              </w:rPr>
              <w:t>Name:</w:t>
            </w:r>
          </w:p>
          <w:p w:rsidR="008C25B7" w:rsidRPr="007B71B2" w:rsidRDefault="008C25B7" w:rsidP="00CD196B">
            <w:pPr>
              <w:rPr>
                <w:rFonts w:ascii="Arial" w:hAnsi="Arial" w:cs="Arial"/>
                <w:b/>
                <w:bCs/>
                <w:sz w:val="18"/>
                <w:szCs w:val="18"/>
              </w:rPr>
            </w:pPr>
          </w:p>
          <w:p w:rsidR="008C25B7" w:rsidRPr="007B71B2" w:rsidRDefault="008C25B7" w:rsidP="00CD196B">
            <w:pPr>
              <w:rPr>
                <w:rFonts w:ascii="Arial" w:hAnsi="Arial" w:cs="Arial"/>
                <w:sz w:val="18"/>
                <w:szCs w:val="18"/>
                <w:lang w:val="en-IE"/>
              </w:rPr>
            </w:pPr>
            <w:r w:rsidRPr="007B71B2">
              <w:rPr>
                <w:rFonts w:ascii="Arial" w:hAnsi="Arial" w:cs="Arial"/>
                <w:sz w:val="18"/>
                <w:szCs w:val="18"/>
                <w:lang w:val="en-IE"/>
              </w:rPr>
              <w:t>Emeka Chukwureh</w:t>
            </w:r>
          </w:p>
        </w:tc>
        <w:tc>
          <w:tcPr>
            <w:tcW w:w="2700" w:type="dxa"/>
            <w:gridSpan w:val="2"/>
          </w:tcPr>
          <w:p w:rsidR="008C25B7" w:rsidRPr="007B71B2" w:rsidRDefault="008C25B7" w:rsidP="00CD196B">
            <w:pPr>
              <w:rPr>
                <w:rFonts w:ascii="Arial" w:hAnsi="Arial" w:cs="Arial"/>
                <w:b/>
                <w:bCs/>
                <w:sz w:val="18"/>
                <w:szCs w:val="18"/>
              </w:rPr>
            </w:pPr>
            <w:r w:rsidRPr="007B71B2">
              <w:rPr>
                <w:rFonts w:ascii="Arial" w:hAnsi="Arial" w:cs="Arial"/>
                <w:b/>
                <w:bCs/>
                <w:sz w:val="18"/>
                <w:szCs w:val="18"/>
              </w:rPr>
              <w:t>Telephone number:</w:t>
            </w:r>
          </w:p>
          <w:p w:rsidR="008C25B7" w:rsidRPr="007B71B2" w:rsidRDefault="008C25B7" w:rsidP="00CD196B">
            <w:pPr>
              <w:rPr>
                <w:rFonts w:ascii="Arial" w:hAnsi="Arial" w:cs="Arial"/>
                <w:sz w:val="18"/>
                <w:szCs w:val="18"/>
                <w:lang w:val="en-IE"/>
              </w:rPr>
            </w:pPr>
          </w:p>
          <w:p w:rsidR="008C25B7" w:rsidRPr="007B71B2" w:rsidRDefault="008C25B7" w:rsidP="00CD196B">
            <w:pPr>
              <w:rPr>
                <w:rFonts w:ascii="Arial" w:hAnsi="Arial" w:cs="Arial"/>
                <w:sz w:val="18"/>
                <w:szCs w:val="18"/>
                <w:lang w:val="en-IE"/>
              </w:rPr>
            </w:pPr>
            <w:r w:rsidRPr="007B71B2">
              <w:rPr>
                <w:rFonts w:ascii="Arial" w:hAnsi="Arial" w:cs="Arial"/>
                <w:sz w:val="18"/>
                <w:szCs w:val="18"/>
                <w:lang w:val="en-IE"/>
              </w:rPr>
              <w:t>+353-1-655-6589</w:t>
            </w:r>
          </w:p>
        </w:tc>
        <w:tc>
          <w:tcPr>
            <w:tcW w:w="3375" w:type="dxa"/>
            <w:gridSpan w:val="3"/>
          </w:tcPr>
          <w:p w:rsidR="008C25B7" w:rsidRPr="007B71B2" w:rsidRDefault="008C25B7" w:rsidP="00CD196B">
            <w:pPr>
              <w:rPr>
                <w:rFonts w:ascii="Arial" w:hAnsi="Arial" w:cs="Arial"/>
                <w:b/>
                <w:bCs/>
                <w:sz w:val="18"/>
                <w:szCs w:val="18"/>
              </w:rPr>
            </w:pPr>
            <w:r w:rsidRPr="007B71B2">
              <w:rPr>
                <w:rFonts w:ascii="Arial" w:hAnsi="Arial" w:cs="Arial"/>
                <w:b/>
                <w:bCs/>
                <w:sz w:val="18"/>
                <w:szCs w:val="18"/>
              </w:rPr>
              <w:t>e-mail address:</w:t>
            </w:r>
          </w:p>
          <w:p w:rsidR="008C25B7" w:rsidRPr="007B71B2" w:rsidRDefault="008C25B7" w:rsidP="00CD196B">
            <w:pPr>
              <w:rPr>
                <w:rFonts w:ascii="Arial" w:hAnsi="Arial" w:cs="Arial"/>
                <w:sz w:val="18"/>
                <w:szCs w:val="18"/>
                <w:lang w:val="en-IE"/>
              </w:rPr>
            </w:pPr>
          </w:p>
          <w:p w:rsidR="008C25B7" w:rsidRPr="007B71B2" w:rsidRDefault="008C25B7" w:rsidP="00AB24B3">
            <w:pPr>
              <w:rPr>
                <w:rFonts w:ascii="Arial" w:hAnsi="Arial" w:cs="Arial"/>
                <w:sz w:val="18"/>
                <w:szCs w:val="18"/>
                <w:lang w:val="en-IE"/>
              </w:rPr>
            </w:pPr>
            <w:hyperlink r:id="rId5" w:history="1">
              <w:r w:rsidRPr="007B71B2">
                <w:rPr>
                  <w:rStyle w:val="Hyperlink"/>
                  <w:rFonts w:ascii="Arial" w:hAnsi="Arial" w:cs="Arial"/>
                  <w:sz w:val="18"/>
                  <w:szCs w:val="18"/>
                  <w:lang w:val="en-IE"/>
                </w:rPr>
                <w:t>emeka.chukwureh@airtricity.com</w:t>
              </w:r>
            </w:hyperlink>
          </w:p>
        </w:tc>
      </w:tr>
      <w:tr w:rsidR="008C25B7" w:rsidRPr="004268C9">
        <w:tc>
          <w:tcPr>
            <w:tcW w:w="9243" w:type="dxa"/>
            <w:gridSpan w:val="7"/>
          </w:tcPr>
          <w:p w:rsidR="008C25B7" w:rsidRPr="007B71B2" w:rsidRDefault="008C25B7" w:rsidP="00CD196B">
            <w:pPr>
              <w:rPr>
                <w:rFonts w:ascii="Arial" w:hAnsi="Arial" w:cs="Arial"/>
                <w:b/>
                <w:bCs/>
                <w:color w:val="0000FF"/>
                <w:sz w:val="18"/>
                <w:szCs w:val="18"/>
              </w:rPr>
            </w:pPr>
            <w:r w:rsidRPr="007B71B2">
              <w:rPr>
                <w:rFonts w:ascii="Arial" w:hAnsi="Arial" w:cs="Arial"/>
                <w:b/>
                <w:bCs/>
                <w:color w:val="0000FF"/>
                <w:sz w:val="18"/>
                <w:szCs w:val="18"/>
              </w:rPr>
              <w:t>Modification Proposal Title:</w:t>
            </w:r>
          </w:p>
          <w:p w:rsidR="008C25B7" w:rsidRPr="007B71B2" w:rsidRDefault="008C25B7" w:rsidP="00997895">
            <w:pPr>
              <w:rPr>
                <w:rFonts w:ascii="Arial" w:hAnsi="Arial" w:cs="Arial"/>
                <w:sz w:val="18"/>
                <w:szCs w:val="18"/>
                <w:lang w:val="en-IE"/>
              </w:rPr>
            </w:pPr>
            <w:r w:rsidRPr="007B71B2">
              <w:rPr>
                <w:rFonts w:ascii="Arial" w:hAnsi="Arial" w:cs="Arial"/>
                <w:sz w:val="18"/>
                <w:szCs w:val="18"/>
                <w:lang w:val="en-IE"/>
              </w:rPr>
              <w:t xml:space="preserve">Increasing Maximum Daily Submission Number and Automating Cancellation of Settlement Reallocation Agreements </w:t>
            </w:r>
          </w:p>
        </w:tc>
      </w:tr>
      <w:tr w:rsidR="008C25B7" w:rsidRPr="004268C9">
        <w:tc>
          <w:tcPr>
            <w:tcW w:w="6228" w:type="dxa"/>
            <w:gridSpan w:val="5"/>
            <w:vAlign w:val="center"/>
          </w:tcPr>
          <w:p w:rsidR="008C25B7" w:rsidRPr="007B71B2" w:rsidRDefault="008C25B7" w:rsidP="00CD196B">
            <w:pPr>
              <w:rPr>
                <w:rFonts w:ascii="Arial" w:hAnsi="Arial" w:cs="Arial"/>
                <w:b/>
                <w:bCs/>
                <w:sz w:val="18"/>
                <w:szCs w:val="18"/>
              </w:rPr>
            </w:pPr>
          </w:p>
          <w:p w:rsidR="008C25B7" w:rsidRPr="007B71B2" w:rsidRDefault="008C25B7" w:rsidP="00CD196B">
            <w:pPr>
              <w:rPr>
                <w:rFonts w:ascii="Arial" w:hAnsi="Arial" w:cs="Arial"/>
                <w:i/>
                <w:iCs/>
                <w:sz w:val="18"/>
                <w:szCs w:val="18"/>
              </w:rPr>
            </w:pPr>
            <w:r w:rsidRPr="007B71B2">
              <w:rPr>
                <w:rFonts w:ascii="Arial" w:hAnsi="Arial" w:cs="Arial"/>
                <w:b/>
                <w:bCs/>
                <w:sz w:val="18"/>
                <w:szCs w:val="18"/>
              </w:rPr>
              <w:t xml:space="preserve">Trading and Settlement Code and/or Agreed Procedure change? </w:t>
            </w:r>
          </w:p>
          <w:p w:rsidR="008C25B7" w:rsidRPr="007B71B2" w:rsidRDefault="008C25B7" w:rsidP="00CD196B">
            <w:pPr>
              <w:rPr>
                <w:rFonts w:ascii="Arial" w:hAnsi="Arial" w:cs="Arial"/>
                <w:b/>
                <w:bCs/>
                <w:sz w:val="18"/>
                <w:szCs w:val="18"/>
              </w:rPr>
            </w:pPr>
          </w:p>
        </w:tc>
        <w:tc>
          <w:tcPr>
            <w:tcW w:w="3015" w:type="dxa"/>
            <w:gridSpan w:val="2"/>
            <w:vAlign w:val="center"/>
          </w:tcPr>
          <w:p w:rsidR="008C25B7" w:rsidRPr="007B71B2" w:rsidRDefault="008C25B7" w:rsidP="00CD196B">
            <w:pPr>
              <w:rPr>
                <w:rFonts w:ascii="Arial" w:hAnsi="Arial" w:cs="Arial"/>
                <w:sz w:val="18"/>
                <w:szCs w:val="18"/>
                <w:lang w:val="en-IE"/>
              </w:rPr>
            </w:pPr>
            <w:r w:rsidRPr="007B71B2">
              <w:rPr>
                <w:rFonts w:ascii="Arial" w:hAnsi="Arial" w:cs="Arial"/>
                <w:sz w:val="18"/>
                <w:szCs w:val="18"/>
                <w:lang w:val="en-IE"/>
              </w:rPr>
              <w:t>AP10</w:t>
            </w:r>
          </w:p>
        </w:tc>
      </w:tr>
      <w:tr w:rsidR="008C25B7" w:rsidRPr="004268C9">
        <w:tc>
          <w:tcPr>
            <w:tcW w:w="6228" w:type="dxa"/>
            <w:gridSpan w:val="5"/>
            <w:vAlign w:val="center"/>
          </w:tcPr>
          <w:p w:rsidR="008C25B7" w:rsidRPr="007B71B2" w:rsidRDefault="008C25B7" w:rsidP="00CD196B">
            <w:pPr>
              <w:rPr>
                <w:rFonts w:ascii="Arial" w:hAnsi="Arial" w:cs="Arial"/>
                <w:b/>
                <w:bCs/>
                <w:sz w:val="18"/>
                <w:szCs w:val="18"/>
              </w:rPr>
            </w:pPr>
          </w:p>
          <w:p w:rsidR="008C25B7" w:rsidRPr="007B71B2" w:rsidRDefault="008C25B7" w:rsidP="00CD196B">
            <w:pPr>
              <w:rPr>
                <w:rFonts w:ascii="Arial" w:hAnsi="Arial" w:cs="Arial"/>
                <w:b/>
                <w:bCs/>
                <w:sz w:val="18"/>
                <w:szCs w:val="18"/>
              </w:rPr>
            </w:pPr>
            <w:r w:rsidRPr="007B71B2">
              <w:rPr>
                <w:rFonts w:ascii="Arial" w:hAnsi="Arial" w:cs="Arial"/>
                <w:b/>
                <w:bCs/>
                <w:sz w:val="18"/>
                <w:szCs w:val="18"/>
              </w:rPr>
              <w:t>Section(s) affected by Modification Proposal:</w:t>
            </w:r>
          </w:p>
          <w:p w:rsidR="008C25B7" w:rsidRPr="007B71B2" w:rsidRDefault="008C25B7" w:rsidP="00CD196B">
            <w:pPr>
              <w:rPr>
                <w:rFonts w:ascii="Arial" w:hAnsi="Arial" w:cs="Arial"/>
                <w:b/>
                <w:bCs/>
                <w:sz w:val="18"/>
                <w:szCs w:val="18"/>
              </w:rPr>
            </w:pPr>
          </w:p>
        </w:tc>
        <w:tc>
          <w:tcPr>
            <w:tcW w:w="3015" w:type="dxa"/>
            <w:gridSpan w:val="2"/>
            <w:vAlign w:val="center"/>
          </w:tcPr>
          <w:p w:rsidR="008C25B7" w:rsidRPr="007B71B2" w:rsidRDefault="008C25B7" w:rsidP="00CD196B">
            <w:pPr>
              <w:rPr>
                <w:rFonts w:ascii="Arial" w:hAnsi="Arial" w:cs="Arial"/>
                <w:sz w:val="18"/>
                <w:szCs w:val="18"/>
                <w:lang w:val="en-IE"/>
              </w:rPr>
            </w:pPr>
            <w:r w:rsidRPr="007B71B2">
              <w:rPr>
                <w:rFonts w:ascii="Arial" w:hAnsi="Arial" w:cs="Arial"/>
                <w:sz w:val="18"/>
                <w:szCs w:val="18"/>
                <w:lang w:val="en-IE"/>
              </w:rPr>
              <w:t>2.1; 3.1.2; 3.3.3; 3.3.4; 3.3.5</w:t>
            </w:r>
          </w:p>
          <w:p w:rsidR="008C25B7" w:rsidRPr="007B71B2" w:rsidRDefault="008C25B7" w:rsidP="00CD196B">
            <w:pPr>
              <w:rPr>
                <w:rFonts w:ascii="Arial" w:hAnsi="Arial" w:cs="Arial"/>
                <w:sz w:val="18"/>
                <w:szCs w:val="18"/>
                <w:lang w:val="en-IE"/>
              </w:rPr>
            </w:pPr>
          </w:p>
        </w:tc>
      </w:tr>
      <w:tr w:rsidR="008C25B7" w:rsidRPr="004268C9">
        <w:tc>
          <w:tcPr>
            <w:tcW w:w="6228" w:type="dxa"/>
            <w:gridSpan w:val="5"/>
            <w:vAlign w:val="center"/>
          </w:tcPr>
          <w:p w:rsidR="008C25B7" w:rsidRPr="007B71B2" w:rsidRDefault="008C25B7" w:rsidP="00CD196B">
            <w:pPr>
              <w:rPr>
                <w:rFonts w:ascii="Arial" w:hAnsi="Arial" w:cs="Arial"/>
                <w:b/>
                <w:bCs/>
                <w:sz w:val="18"/>
                <w:szCs w:val="18"/>
                <w:lang w:val="en-IE"/>
              </w:rPr>
            </w:pPr>
          </w:p>
          <w:p w:rsidR="008C25B7" w:rsidRPr="007B71B2" w:rsidRDefault="008C25B7" w:rsidP="00CD196B">
            <w:pPr>
              <w:rPr>
                <w:rFonts w:ascii="Arial" w:hAnsi="Arial" w:cs="Arial"/>
                <w:b/>
                <w:bCs/>
                <w:sz w:val="18"/>
                <w:szCs w:val="18"/>
                <w:lang w:val="en-IE"/>
              </w:rPr>
            </w:pPr>
            <w:r w:rsidRPr="007B71B2">
              <w:rPr>
                <w:rFonts w:ascii="Arial" w:hAnsi="Arial" w:cs="Arial"/>
                <w:b/>
                <w:bCs/>
                <w:sz w:val="18"/>
                <w:szCs w:val="18"/>
                <w:lang w:val="en-IE"/>
              </w:rPr>
              <w:t xml:space="preserve">Version Number of the Code/Agreed Procedure used in Modification drafting:   </w:t>
            </w:r>
          </w:p>
          <w:p w:rsidR="008C25B7" w:rsidRPr="007B71B2" w:rsidRDefault="008C25B7" w:rsidP="00CD196B">
            <w:pPr>
              <w:rPr>
                <w:rFonts w:ascii="Arial" w:hAnsi="Arial" w:cs="Arial"/>
                <w:b/>
                <w:bCs/>
                <w:sz w:val="18"/>
                <w:szCs w:val="18"/>
                <w:lang w:val="en-IE"/>
              </w:rPr>
            </w:pPr>
          </w:p>
        </w:tc>
        <w:tc>
          <w:tcPr>
            <w:tcW w:w="3015" w:type="dxa"/>
            <w:gridSpan w:val="2"/>
            <w:vAlign w:val="center"/>
          </w:tcPr>
          <w:p w:rsidR="008C25B7" w:rsidRPr="007B71B2" w:rsidRDefault="008C25B7" w:rsidP="00CD196B">
            <w:pPr>
              <w:rPr>
                <w:rFonts w:ascii="Arial" w:hAnsi="Arial" w:cs="Arial"/>
                <w:sz w:val="18"/>
                <w:szCs w:val="18"/>
                <w:lang w:val="en-IE"/>
              </w:rPr>
            </w:pPr>
            <w:r w:rsidRPr="007B71B2">
              <w:rPr>
                <w:rFonts w:ascii="Arial" w:hAnsi="Arial" w:cs="Arial"/>
                <w:sz w:val="18"/>
                <w:szCs w:val="18"/>
                <w:lang w:val="en-IE"/>
              </w:rPr>
              <w:t>8.0</w:t>
            </w:r>
          </w:p>
        </w:tc>
      </w:tr>
      <w:tr w:rsidR="008C25B7" w:rsidRPr="004268C9">
        <w:tc>
          <w:tcPr>
            <w:tcW w:w="9243" w:type="dxa"/>
            <w:gridSpan w:val="7"/>
          </w:tcPr>
          <w:p w:rsidR="008C25B7" w:rsidRPr="007B71B2" w:rsidRDefault="008C25B7" w:rsidP="007B71B2">
            <w:pPr>
              <w:jc w:val="center"/>
              <w:rPr>
                <w:rFonts w:ascii="Arial" w:hAnsi="Arial" w:cs="Arial"/>
                <w:sz w:val="18"/>
                <w:szCs w:val="18"/>
              </w:rPr>
            </w:pPr>
            <w:r w:rsidRPr="007B71B2">
              <w:rPr>
                <w:rFonts w:ascii="Arial" w:hAnsi="Arial" w:cs="Arial"/>
                <w:b/>
                <w:bCs/>
                <w:sz w:val="18"/>
                <w:szCs w:val="18"/>
              </w:rPr>
              <w:t>Modification Proposal Description</w:t>
            </w:r>
          </w:p>
          <w:p w:rsidR="008C25B7" w:rsidRPr="007B71B2" w:rsidRDefault="008C25B7" w:rsidP="007B71B2">
            <w:pPr>
              <w:jc w:val="center"/>
              <w:rPr>
                <w:rFonts w:ascii="Arial" w:hAnsi="Arial" w:cs="Arial"/>
                <w:sz w:val="18"/>
                <w:szCs w:val="18"/>
                <w:lang w:val="en-IE"/>
              </w:rPr>
            </w:pPr>
            <w:r w:rsidRPr="007B71B2">
              <w:rPr>
                <w:rFonts w:ascii="Arial" w:hAnsi="Arial" w:cs="Arial"/>
                <w:i/>
                <w:iCs/>
                <w:sz w:val="18"/>
                <w:szCs w:val="18"/>
              </w:rPr>
              <w:t xml:space="preserve">(Clearly show proposed code change using </w:t>
            </w:r>
            <w:r w:rsidRPr="007B71B2">
              <w:rPr>
                <w:rFonts w:ascii="Arial" w:hAnsi="Arial" w:cs="Arial"/>
                <w:b/>
                <w:bCs/>
                <w:i/>
                <w:iCs/>
                <w:sz w:val="18"/>
                <w:szCs w:val="18"/>
              </w:rPr>
              <w:t>tracked changes</w:t>
            </w:r>
            <w:r w:rsidRPr="007B71B2">
              <w:rPr>
                <w:rFonts w:ascii="Arial" w:hAnsi="Arial" w:cs="Arial"/>
                <w:i/>
                <w:iCs/>
                <w:sz w:val="18"/>
                <w:szCs w:val="18"/>
              </w:rPr>
              <w:t xml:space="preserve"> &amp; include any necessary explanatory information) </w:t>
            </w:r>
          </w:p>
        </w:tc>
      </w:tr>
      <w:tr w:rsidR="008C25B7" w:rsidRPr="004268C9">
        <w:tc>
          <w:tcPr>
            <w:tcW w:w="9243" w:type="dxa"/>
            <w:gridSpan w:val="7"/>
          </w:tcPr>
          <w:p w:rsidR="008C25B7" w:rsidRPr="007B71B2" w:rsidRDefault="008C25B7" w:rsidP="007B71B2">
            <w:pPr>
              <w:pStyle w:val="CERNONINDENTBULLET"/>
              <w:numPr>
                <w:ilvl w:val="0"/>
                <w:numId w:val="0"/>
              </w:numPr>
              <w:ind w:left="425" w:hanging="425"/>
              <w:rPr>
                <w:b/>
                <w:bCs/>
                <w:sz w:val="24"/>
                <w:szCs w:val="24"/>
              </w:rPr>
            </w:pPr>
            <w:r w:rsidRPr="007B71B2">
              <w:rPr>
                <w:b/>
                <w:bCs/>
                <w:sz w:val="24"/>
                <w:szCs w:val="24"/>
              </w:rPr>
              <w:t>2.1</w:t>
            </w:r>
          </w:p>
          <w:p w:rsidR="008C25B7" w:rsidRPr="00AB17DE" w:rsidRDefault="008C25B7" w:rsidP="00941647">
            <w:pPr>
              <w:pStyle w:val="CERNONINDENTBULLET"/>
            </w:pPr>
            <w:r>
              <w:t xml:space="preserve">a maximum of </w:t>
            </w:r>
            <w:r w:rsidRPr="007B71B2">
              <w:rPr>
                <w:strike/>
                <w:color w:val="FF0000"/>
              </w:rPr>
              <w:t>6</w:t>
            </w:r>
            <w:r w:rsidRPr="007B71B2">
              <w:rPr>
                <w:color w:val="FF0000"/>
              </w:rPr>
              <w:t>10</w:t>
            </w:r>
            <w:r>
              <w:t xml:space="preserve"> Settlement Reallocation Agreements can be lodged per Participant Account ID per Trading Day in a Billing or Capacity Period. </w:t>
            </w:r>
          </w:p>
          <w:p w:rsidR="008C25B7" w:rsidRPr="007B71B2" w:rsidRDefault="008C25B7" w:rsidP="00CD196B">
            <w:pPr>
              <w:rPr>
                <w:rFonts w:ascii="Arial" w:hAnsi="Arial" w:cs="Arial"/>
                <w:sz w:val="22"/>
                <w:szCs w:val="22"/>
                <w:lang w:val="en-IE"/>
              </w:rPr>
            </w:pPr>
          </w:p>
          <w:p w:rsidR="008C25B7" w:rsidRPr="007B71B2" w:rsidRDefault="008C25B7" w:rsidP="00CD196B">
            <w:pPr>
              <w:rPr>
                <w:rFonts w:ascii="Arial" w:hAnsi="Arial" w:cs="Arial"/>
                <w:b/>
                <w:bCs/>
                <w:sz w:val="24"/>
                <w:szCs w:val="24"/>
                <w:lang w:val="en-IE"/>
              </w:rPr>
            </w:pPr>
            <w:r w:rsidRPr="007B71B2">
              <w:rPr>
                <w:rFonts w:ascii="Arial" w:hAnsi="Arial" w:cs="Arial"/>
                <w:b/>
                <w:bCs/>
                <w:sz w:val="24"/>
                <w:szCs w:val="24"/>
                <w:lang w:val="en-IE"/>
              </w:rPr>
              <w:t>3.1.2</w:t>
            </w:r>
          </w:p>
          <w:p w:rsidR="008C25B7" w:rsidRPr="007B71B2" w:rsidRDefault="008C25B7" w:rsidP="00AF204D">
            <w:pPr>
              <w:pStyle w:val="CERNONINDENTBULLET"/>
              <w:rPr>
                <w:lang w:val="en-IE"/>
              </w:rPr>
            </w:pPr>
            <w:r w:rsidRPr="007B71B2">
              <w:rPr>
                <w:lang w:val="en-IE"/>
              </w:rPr>
              <w:t xml:space="preserve">No more than </w:t>
            </w:r>
            <w:r w:rsidRPr="007B71B2">
              <w:rPr>
                <w:strike/>
                <w:color w:val="FF0000"/>
              </w:rPr>
              <w:t>6</w:t>
            </w:r>
            <w:r w:rsidRPr="007B71B2">
              <w:rPr>
                <w:color w:val="FF0000"/>
              </w:rPr>
              <w:t>10</w:t>
            </w:r>
            <w:r w:rsidRPr="007B71B2">
              <w:rPr>
                <w:lang w:val="en-IE"/>
              </w:rPr>
              <w:t xml:space="preserve"> Settlement Reallocation Agreements have been lodged for this Trading Day in this Billing or Capacity Period by this Debited Participant Account ID.</w:t>
            </w:r>
          </w:p>
          <w:p w:rsidR="008C25B7" w:rsidRPr="007B71B2" w:rsidRDefault="008C25B7" w:rsidP="007B71B2">
            <w:pPr>
              <w:pStyle w:val="ListParagraph"/>
              <w:rPr>
                <w:lang w:val="en-IE"/>
              </w:rPr>
            </w:pPr>
          </w:p>
          <w:p w:rsidR="008C25B7" w:rsidRPr="007B71B2" w:rsidRDefault="008C25B7" w:rsidP="007B71B2">
            <w:pPr>
              <w:pStyle w:val="APNUMHEAD3"/>
              <w:numPr>
                <w:ilvl w:val="2"/>
                <w:numId w:val="7"/>
              </w:numPr>
              <w:rPr>
                <w:lang w:val="en-IE"/>
              </w:rPr>
            </w:pPr>
            <w:r w:rsidRPr="007B71B2">
              <w:rPr>
                <w:lang w:val="en-IE"/>
              </w:rPr>
              <w:t xml:space="preserve"> Cancellation Request by the Participants </w:t>
            </w:r>
          </w:p>
          <w:p w:rsidR="008C25B7" w:rsidRPr="007B71B2" w:rsidRDefault="008C25B7" w:rsidP="00AF204D">
            <w:pPr>
              <w:pStyle w:val="CERnon-indent"/>
              <w:rPr>
                <w:lang w:val="en-IE"/>
              </w:rPr>
            </w:pPr>
            <w:r w:rsidRPr="007B71B2">
              <w:rPr>
                <w:lang w:val="en-IE"/>
              </w:rPr>
              <w:t xml:space="preserve">If Participants wish to cancel a Settlement Reallocation Agreement, </w:t>
            </w:r>
          </w:p>
          <w:p w:rsidR="008C25B7" w:rsidRPr="007B71B2" w:rsidRDefault="008C25B7" w:rsidP="00AF204D">
            <w:pPr>
              <w:pStyle w:val="CERNONINDENTBULLET"/>
              <w:rPr>
                <w:lang w:val="en-IE"/>
              </w:rPr>
            </w:pPr>
            <w:r w:rsidRPr="007B71B2">
              <w:rPr>
                <w:strike/>
                <w:color w:val="FF0000"/>
                <w:lang w:val="en-IE"/>
              </w:rPr>
              <w:t>Both Participants must lodge a request to cancel the Settlement Reallocation Agreement with the MO by fax and post.</w:t>
            </w:r>
            <w:r w:rsidRPr="007B71B2">
              <w:rPr>
                <w:lang w:val="en-IE"/>
              </w:rPr>
              <w:t xml:space="preserve"> On receipt of the request from both Participants the Market Operator shall send an acknowledgement.  The Market Operator shall not start the cancellation process until submission of this acknowledgement.</w:t>
            </w:r>
          </w:p>
          <w:p w:rsidR="008C25B7" w:rsidRPr="007B71B2" w:rsidRDefault="008C25B7" w:rsidP="007B71B2">
            <w:pPr>
              <w:pStyle w:val="CERNONINDENTBULLET"/>
              <w:numPr>
                <w:ilvl w:val="0"/>
                <w:numId w:val="0"/>
              </w:numPr>
              <w:ind w:left="425" w:hanging="425"/>
              <w:rPr>
                <w:lang w:val="en-IE"/>
              </w:rPr>
            </w:pPr>
          </w:p>
          <w:p w:rsidR="008C25B7" w:rsidRPr="007B71B2" w:rsidRDefault="008C25B7" w:rsidP="007B71B2">
            <w:pPr>
              <w:pStyle w:val="CERNONINDENTBULLET"/>
              <w:numPr>
                <w:ilvl w:val="0"/>
                <w:numId w:val="0"/>
              </w:numPr>
              <w:ind w:left="425" w:hanging="425"/>
              <w:rPr>
                <w:b/>
                <w:bCs/>
                <w:lang w:val="en-IE"/>
              </w:rPr>
            </w:pPr>
            <w:r w:rsidRPr="007B71B2">
              <w:rPr>
                <w:b/>
                <w:bCs/>
                <w:lang w:val="en-IE"/>
              </w:rPr>
              <w:t>3.3.4     Procedural Steps</w:t>
            </w:r>
          </w:p>
          <w:tbl>
            <w:tblPr>
              <w:tblW w:w="0" w:type="auto"/>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950"/>
              <w:gridCol w:w="2418"/>
              <w:gridCol w:w="1378"/>
              <w:gridCol w:w="1036"/>
              <w:gridCol w:w="1366"/>
              <w:gridCol w:w="1317"/>
              <w:gridCol w:w="1048"/>
            </w:tblGrid>
            <w:tr w:rsidR="008C25B7" w:rsidRPr="001218D6">
              <w:trPr>
                <w:cantSplit/>
                <w:tblHeader/>
              </w:trPr>
              <w:tc>
                <w:tcPr>
                  <w:tcW w:w="950"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b/>
                      <w:bCs/>
                      <w:lang w:val="en-IE"/>
                    </w:rPr>
                  </w:pPr>
                  <w:r w:rsidRPr="001218D6">
                    <w:rPr>
                      <w:b/>
                      <w:bCs/>
                      <w:lang w:val="en-IE"/>
                    </w:rPr>
                    <w:t>#</w:t>
                  </w:r>
                </w:p>
              </w:tc>
              <w:tc>
                <w:tcPr>
                  <w:tcW w:w="1895"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b/>
                      <w:bCs/>
                      <w:lang w:val="en-IE"/>
                    </w:rPr>
                  </w:pPr>
                  <w:r w:rsidRPr="001218D6">
                    <w:rPr>
                      <w:b/>
                      <w:bCs/>
                      <w:lang w:val="en-IE"/>
                    </w:rPr>
                    <w:t>Procedural Step</w:t>
                  </w:r>
                </w:p>
              </w:tc>
              <w:tc>
                <w:tcPr>
                  <w:tcW w:w="1386"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b/>
                      <w:bCs/>
                      <w:lang w:val="en-IE"/>
                    </w:rPr>
                  </w:pPr>
                  <w:r w:rsidRPr="001218D6">
                    <w:rPr>
                      <w:b/>
                      <w:bCs/>
                      <w:lang w:val="en-IE"/>
                    </w:rPr>
                    <w:t>Timing</w:t>
                  </w:r>
                </w:p>
              </w:tc>
              <w:tc>
                <w:tcPr>
                  <w:tcW w:w="1042"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b/>
                      <w:bCs/>
                      <w:lang w:val="en-IE"/>
                    </w:rPr>
                  </w:pPr>
                  <w:r>
                    <w:rPr>
                      <w:b/>
                      <w:bCs/>
                      <w:lang w:val="en-IE"/>
                    </w:rPr>
                    <w:t>Method</w:t>
                  </w:r>
                </w:p>
              </w:tc>
              <w:tc>
                <w:tcPr>
                  <w:tcW w:w="1368"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b/>
                      <w:bCs/>
                      <w:lang w:val="en-IE"/>
                    </w:rPr>
                  </w:pPr>
                  <w:r>
                    <w:rPr>
                      <w:b/>
                      <w:bCs/>
                      <w:lang w:val="en-IE"/>
                    </w:rPr>
                    <w:t>By/From</w:t>
                  </w:r>
                </w:p>
              </w:tc>
              <w:tc>
                <w:tcPr>
                  <w:tcW w:w="1322"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b/>
                      <w:bCs/>
                      <w:lang w:val="en-IE"/>
                    </w:rPr>
                  </w:pPr>
                  <w:r>
                    <w:rPr>
                      <w:b/>
                      <w:bCs/>
                      <w:lang w:val="en-IE"/>
                    </w:rPr>
                    <w:t>To</w:t>
                  </w:r>
                </w:p>
              </w:tc>
              <w:tc>
                <w:tcPr>
                  <w:tcW w:w="1048"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b/>
                      <w:bCs/>
                      <w:lang w:val="en-IE"/>
                    </w:rPr>
                  </w:pPr>
                  <w:r w:rsidRPr="001218D6">
                    <w:rPr>
                      <w:b/>
                      <w:bCs/>
                      <w:lang w:val="en-IE"/>
                    </w:rPr>
                    <w:t>Linkage</w:t>
                  </w:r>
                </w:p>
              </w:tc>
            </w:tr>
            <w:tr w:rsidR="008C25B7" w:rsidRPr="001218D6">
              <w:trPr>
                <w:cantSplit/>
              </w:trPr>
              <w:tc>
                <w:tcPr>
                  <w:tcW w:w="950"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lang w:val="en-IE"/>
                    </w:rPr>
                  </w:pPr>
                  <w:r>
                    <w:rPr>
                      <w:lang w:val="en-IE"/>
                    </w:rPr>
                    <w:t>SR3.1</w:t>
                  </w:r>
                </w:p>
              </w:tc>
              <w:tc>
                <w:tcPr>
                  <w:tcW w:w="1895"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lang w:val="en-IE"/>
                    </w:rPr>
                  </w:pPr>
                  <w:r>
                    <w:rPr>
                      <w:lang w:val="en-IE"/>
                    </w:rPr>
                    <w:t>Request the cancellation of Settlement Reallocation Agreement</w:t>
                  </w:r>
                  <w:r w:rsidRPr="00AF204D">
                    <w:rPr>
                      <w:color w:val="FF0000"/>
                      <w:u w:val="single"/>
                      <w:lang w:val="en-IE"/>
                    </w:rPr>
                    <w:t>.</w:t>
                  </w:r>
                  <w:r w:rsidRPr="00997895">
                    <w:rPr>
                      <w:strike/>
                      <w:color w:val="FF0000"/>
                      <w:lang w:val="en-IE"/>
                    </w:rPr>
                    <w:t>completing</w:t>
                  </w:r>
                  <w:r>
                    <w:rPr>
                      <w:lang w:val="en-IE"/>
                    </w:rPr>
                    <w:t xml:space="preserve"> Part A of the Settlement Reallocation cancellation form </w:t>
                  </w:r>
                  <w:r w:rsidRPr="00997895">
                    <w:rPr>
                      <w:color w:val="FF0000"/>
                      <w:u w:val="single"/>
                      <w:lang w:val="en-IE"/>
                    </w:rPr>
                    <w:t>may be used for this request.</w:t>
                  </w:r>
                </w:p>
              </w:tc>
              <w:tc>
                <w:tcPr>
                  <w:tcW w:w="1386"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lang w:val="en-IE"/>
                    </w:rPr>
                  </w:pPr>
                  <w:r>
                    <w:rPr>
                      <w:lang w:val="en-IE"/>
                    </w:rPr>
                    <w:t>Before 2 WDs after the completion of the Settlement Period.</w:t>
                  </w:r>
                </w:p>
              </w:tc>
              <w:tc>
                <w:tcPr>
                  <w:tcW w:w="1042" w:type="dxa"/>
                  <w:tcBorders>
                    <w:top w:val="single" w:sz="6" w:space="0" w:color="auto"/>
                    <w:left w:val="single" w:sz="6" w:space="0" w:color="auto"/>
                    <w:bottom w:val="single" w:sz="6" w:space="0" w:color="auto"/>
                    <w:right w:val="single" w:sz="6" w:space="0" w:color="auto"/>
                  </w:tcBorders>
                </w:tcPr>
                <w:p w:rsidR="008C25B7" w:rsidRDefault="008C25B7" w:rsidP="00F81A2F">
                  <w:pPr>
                    <w:pStyle w:val="CERnon-indent"/>
                    <w:rPr>
                      <w:lang w:val="en-IE"/>
                    </w:rPr>
                  </w:pPr>
                  <w:r>
                    <w:rPr>
                      <w:lang w:val="en-IE"/>
                    </w:rPr>
                    <w:t>Type 1 Channel</w:t>
                  </w:r>
                </w:p>
                <w:p w:rsidR="008C25B7" w:rsidRPr="00997895" w:rsidRDefault="008C25B7" w:rsidP="00F81A2F">
                  <w:pPr>
                    <w:pStyle w:val="CERnon-indent"/>
                    <w:rPr>
                      <w:color w:val="FF0000"/>
                      <w:u w:val="single"/>
                      <w:lang w:val="en-IE"/>
                    </w:rPr>
                  </w:pPr>
                  <w:r w:rsidRPr="00997895">
                    <w:rPr>
                      <w:color w:val="FF0000"/>
                      <w:u w:val="single"/>
                      <w:lang w:val="en-IE"/>
                    </w:rPr>
                    <w:t>/Type 2 Channel</w:t>
                  </w:r>
                </w:p>
                <w:p w:rsidR="008C25B7" w:rsidRPr="001218D6" w:rsidRDefault="008C25B7" w:rsidP="00F81A2F">
                  <w:pPr>
                    <w:pStyle w:val="CERnon-indent"/>
                    <w:rPr>
                      <w:lang w:val="en-IE"/>
                    </w:rPr>
                  </w:pPr>
                  <w:r w:rsidRPr="00997895">
                    <w:rPr>
                      <w:color w:val="FF0000"/>
                      <w:u w:val="single"/>
                      <w:lang w:val="en-IE"/>
                    </w:rPr>
                    <w:t>/Type 3 Channel</w:t>
                  </w:r>
                </w:p>
              </w:tc>
              <w:tc>
                <w:tcPr>
                  <w:tcW w:w="1368"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lang w:val="en-IE"/>
                    </w:rPr>
                  </w:pPr>
                  <w:r>
                    <w:rPr>
                      <w:lang w:val="en-IE"/>
                    </w:rPr>
                    <w:t>Both Participants</w:t>
                  </w:r>
                </w:p>
              </w:tc>
              <w:tc>
                <w:tcPr>
                  <w:tcW w:w="1322"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lang w:val="en-IE"/>
                    </w:rPr>
                  </w:pPr>
                  <w:r>
                    <w:rPr>
                      <w:lang w:val="en-IE"/>
                    </w:rPr>
                    <w:t>Market Operator</w:t>
                  </w:r>
                </w:p>
              </w:tc>
              <w:tc>
                <w:tcPr>
                  <w:tcW w:w="1048"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lang w:val="en-IE"/>
                    </w:rPr>
                  </w:pPr>
                </w:p>
              </w:tc>
            </w:tr>
            <w:tr w:rsidR="008C25B7" w:rsidRPr="001218D6">
              <w:trPr>
                <w:cantSplit/>
              </w:trPr>
              <w:tc>
                <w:tcPr>
                  <w:tcW w:w="950"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lang w:val="en-IE"/>
                    </w:rPr>
                  </w:pPr>
                  <w:r w:rsidRPr="007A3624">
                    <w:rPr>
                      <w:lang w:val="en-IE"/>
                    </w:rPr>
                    <w:t>SR3.</w:t>
                  </w:r>
                  <w:r>
                    <w:rPr>
                      <w:lang w:val="en-IE"/>
                    </w:rPr>
                    <w:t>2</w:t>
                  </w:r>
                </w:p>
              </w:tc>
              <w:tc>
                <w:tcPr>
                  <w:tcW w:w="1895" w:type="dxa"/>
                  <w:tcBorders>
                    <w:top w:val="single" w:sz="6" w:space="0" w:color="auto"/>
                    <w:left w:val="single" w:sz="6" w:space="0" w:color="auto"/>
                    <w:bottom w:val="single" w:sz="6" w:space="0" w:color="auto"/>
                    <w:right w:val="single" w:sz="6" w:space="0" w:color="auto"/>
                  </w:tcBorders>
                </w:tcPr>
                <w:p w:rsidR="008C25B7" w:rsidRDefault="008C25B7" w:rsidP="00F81A2F">
                  <w:pPr>
                    <w:pStyle w:val="CERnon-indent"/>
                    <w:rPr>
                      <w:lang w:val="en-IE"/>
                    </w:rPr>
                  </w:pPr>
                  <w:r>
                    <w:rPr>
                      <w:lang w:val="en-IE"/>
                    </w:rPr>
                    <w:t>Assess the request to cancel the Settlement Reallocation Agreement.</w:t>
                  </w:r>
                </w:p>
                <w:p w:rsidR="008C25B7" w:rsidRPr="001218D6" w:rsidRDefault="008C25B7" w:rsidP="00F81A2F">
                  <w:pPr>
                    <w:pStyle w:val="CERnon-indent"/>
                    <w:rPr>
                      <w:lang w:val="en-IE"/>
                    </w:rPr>
                  </w:pPr>
                  <w:r>
                    <w:rPr>
                      <w:lang w:val="en-IE"/>
                    </w:rPr>
                    <w:t>If request to cancel is approved go to SR3.2a otherwise go to SR3.5</w:t>
                  </w:r>
                </w:p>
              </w:tc>
              <w:tc>
                <w:tcPr>
                  <w:tcW w:w="1386"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lang w:val="en-IE"/>
                    </w:rPr>
                  </w:pPr>
                  <w:r>
                    <w:rPr>
                      <w:lang w:val="en-IE"/>
                    </w:rPr>
                    <w:t>On submission</w:t>
                  </w:r>
                </w:p>
              </w:tc>
              <w:tc>
                <w:tcPr>
                  <w:tcW w:w="1042"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lang w:val="en-IE"/>
                    </w:rPr>
                  </w:pPr>
                  <w:r>
                    <w:rPr>
                      <w:lang w:val="en-IE"/>
                    </w:rPr>
                    <w:t>-</w:t>
                  </w:r>
                </w:p>
              </w:tc>
              <w:tc>
                <w:tcPr>
                  <w:tcW w:w="1368"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lang w:val="en-IE"/>
                    </w:rPr>
                  </w:pPr>
                  <w:r>
                    <w:rPr>
                      <w:lang w:val="en-IE"/>
                    </w:rPr>
                    <w:t>Market Operator</w:t>
                  </w:r>
                </w:p>
              </w:tc>
              <w:tc>
                <w:tcPr>
                  <w:tcW w:w="1322"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lang w:val="en-IE"/>
                    </w:rPr>
                  </w:pPr>
                </w:p>
              </w:tc>
              <w:tc>
                <w:tcPr>
                  <w:tcW w:w="1048"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lang w:val="en-IE"/>
                    </w:rPr>
                  </w:pPr>
                </w:p>
              </w:tc>
            </w:tr>
            <w:tr w:rsidR="008C25B7" w:rsidRPr="001218D6">
              <w:trPr>
                <w:cantSplit/>
              </w:trPr>
              <w:tc>
                <w:tcPr>
                  <w:tcW w:w="950" w:type="dxa"/>
                  <w:tcBorders>
                    <w:top w:val="single" w:sz="6" w:space="0" w:color="auto"/>
                    <w:left w:val="single" w:sz="6" w:space="0" w:color="auto"/>
                    <w:bottom w:val="single" w:sz="6" w:space="0" w:color="auto"/>
                    <w:right w:val="single" w:sz="6" w:space="0" w:color="auto"/>
                  </w:tcBorders>
                </w:tcPr>
                <w:p w:rsidR="008C25B7" w:rsidRPr="007A3624" w:rsidRDefault="008C25B7" w:rsidP="00F81A2F">
                  <w:pPr>
                    <w:pStyle w:val="CERnon-indent"/>
                    <w:rPr>
                      <w:lang w:val="en-IE"/>
                    </w:rPr>
                  </w:pPr>
                  <w:r>
                    <w:rPr>
                      <w:lang w:val="en-IE"/>
                    </w:rPr>
                    <w:t>SR3.2a</w:t>
                  </w:r>
                </w:p>
              </w:tc>
              <w:tc>
                <w:tcPr>
                  <w:tcW w:w="1895" w:type="dxa"/>
                  <w:tcBorders>
                    <w:top w:val="single" w:sz="6" w:space="0" w:color="auto"/>
                    <w:left w:val="single" w:sz="6" w:space="0" w:color="auto"/>
                    <w:bottom w:val="single" w:sz="6" w:space="0" w:color="auto"/>
                    <w:right w:val="single" w:sz="6" w:space="0" w:color="auto"/>
                  </w:tcBorders>
                </w:tcPr>
                <w:p w:rsidR="008C25B7" w:rsidRDefault="008C25B7" w:rsidP="00F81A2F">
                  <w:pPr>
                    <w:pStyle w:val="CERnon-indent"/>
                    <w:rPr>
                      <w:lang w:val="en-IE"/>
                    </w:rPr>
                  </w:pPr>
                  <w:r>
                    <w:rPr>
                      <w:lang w:val="en-IE"/>
                    </w:rPr>
                    <w:t xml:space="preserve">Acknowledge receipt of cancellation request. </w:t>
                  </w:r>
                  <w:r w:rsidRPr="00997895">
                    <w:rPr>
                      <w:color w:val="FF0000"/>
                      <w:u w:val="single"/>
                      <w:lang w:val="en-IE"/>
                    </w:rPr>
                    <w:t>If request was received by fax or post, this acknowledgment will be accomplished by</w:t>
                  </w:r>
                  <w:r>
                    <w:rPr>
                      <w:lang w:val="en-IE"/>
                    </w:rPr>
                    <w:t xml:space="preserve"> completing Part B of the Settlement Reallocation cancellation form</w:t>
                  </w:r>
                </w:p>
              </w:tc>
              <w:tc>
                <w:tcPr>
                  <w:tcW w:w="1386" w:type="dxa"/>
                  <w:tcBorders>
                    <w:top w:val="single" w:sz="6" w:space="0" w:color="auto"/>
                    <w:left w:val="single" w:sz="6" w:space="0" w:color="auto"/>
                    <w:bottom w:val="single" w:sz="6" w:space="0" w:color="auto"/>
                    <w:right w:val="single" w:sz="6" w:space="0" w:color="auto"/>
                  </w:tcBorders>
                </w:tcPr>
                <w:p w:rsidR="008C25B7" w:rsidRDefault="008C25B7" w:rsidP="00F81A2F">
                  <w:pPr>
                    <w:pStyle w:val="CERnon-indent"/>
                    <w:rPr>
                      <w:lang w:val="en-IE"/>
                    </w:rPr>
                  </w:pPr>
                  <w:r>
                    <w:rPr>
                      <w:lang w:val="en-IE"/>
                    </w:rPr>
                    <w:t xml:space="preserve">On receipt of both cancellation requests </w:t>
                  </w:r>
                </w:p>
              </w:tc>
              <w:tc>
                <w:tcPr>
                  <w:tcW w:w="1042" w:type="dxa"/>
                  <w:tcBorders>
                    <w:top w:val="single" w:sz="6" w:space="0" w:color="auto"/>
                    <w:left w:val="single" w:sz="6" w:space="0" w:color="auto"/>
                    <w:bottom w:val="single" w:sz="6" w:space="0" w:color="auto"/>
                    <w:right w:val="single" w:sz="6" w:space="0" w:color="auto"/>
                  </w:tcBorders>
                </w:tcPr>
                <w:p w:rsidR="008C25B7" w:rsidRDefault="008C25B7" w:rsidP="00F81A2F">
                  <w:pPr>
                    <w:pStyle w:val="CERnon-indent"/>
                    <w:rPr>
                      <w:lang w:val="en-IE"/>
                    </w:rPr>
                  </w:pPr>
                  <w:r>
                    <w:rPr>
                      <w:lang w:val="en-IE"/>
                    </w:rPr>
                    <w:t>Type 1 Channel</w:t>
                  </w:r>
                </w:p>
                <w:p w:rsidR="008C25B7" w:rsidRPr="00997895" w:rsidRDefault="008C25B7" w:rsidP="00F81A2F">
                  <w:pPr>
                    <w:pStyle w:val="CERnon-indent"/>
                    <w:rPr>
                      <w:color w:val="FF0000"/>
                      <w:u w:val="single"/>
                      <w:lang w:val="en-IE"/>
                    </w:rPr>
                  </w:pPr>
                  <w:r w:rsidRPr="00997895">
                    <w:rPr>
                      <w:color w:val="FF0000"/>
                      <w:u w:val="single"/>
                      <w:lang w:val="en-IE"/>
                    </w:rPr>
                    <w:t>/Type 2 Channel</w:t>
                  </w:r>
                </w:p>
                <w:p w:rsidR="008C25B7" w:rsidDel="009C5736" w:rsidRDefault="008C25B7" w:rsidP="00F81A2F">
                  <w:pPr>
                    <w:pStyle w:val="CERnon-indent"/>
                    <w:rPr>
                      <w:lang w:val="en-IE"/>
                    </w:rPr>
                  </w:pPr>
                  <w:r w:rsidRPr="00997895">
                    <w:rPr>
                      <w:color w:val="FF0000"/>
                      <w:u w:val="single"/>
                      <w:lang w:val="en-IE"/>
                    </w:rPr>
                    <w:t>/Type 3 Channel</w:t>
                  </w:r>
                </w:p>
              </w:tc>
              <w:tc>
                <w:tcPr>
                  <w:tcW w:w="1368" w:type="dxa"/>
                  <w:tcBorders>
                    <w:top w:val="single" w:sz="6" w:space="0" w:color="auto"/>
                    <w:left w:val="single" w:sz="6" w:space="0" w:color="auto"/>
                    <w:bottom w:val="single" w:sz="6" w:space="0" w:color="auto"/>
                    <w:right w:val="single" w:sz="6" w:space="0" w:color="auto"/>
                  </w:tcBorders>
                </w:tcPr>
                <w:p w:rsidR="008C25B7" w:rsidRDefault="008C25B7" w:rsidP="00F81A2F">
                  <w:pPr>
                    <w:pStyle w:val="CERnon-indent"/>
                    <w:rPr>
                      <w:lang w:val="en-IE"/>
                    </w:rPr>
                  </w:pPr>
                  <w:r>
                    <w:rPr>
                      <w:lang w:val="en-IE"/>
                    </w:rPr>
                    <w:t>Market Operator</w:t>
                  </w:r>
                </w:p>
              </w:tc>
              <w:tc>
                <w:tcPr>
                  <w:tcW w:w="1322"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lang w:val="en-IE"/>
                    </w:rPr>
                  </w:pPr>
                  <w:r>
                    <w:rPr>
                      <w:lang w:val="en-IE"/>
                    </w:rPr>
                    <w:t>Debited Participant, Credited Participant</w:t>
                  </w:r>
                </w:p>
              </w:tc>
              <w:tc>
                <w:tcPr>
                  <w:tcW w:w="1048"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lang w:val="en-IE"/>
                    </w:rPr>
                  </w:pPr>
                </w:p>
              </w:tc>
            </w:tr>
            <w:tr w:rsidR="008C25B7" w:rsidRPr="001218D6">
              <w:trPr>
                <w:cantSplit/>
              </w:trPr>
              <w:tc>
                <w:tcPr>
                  <w:tcW w:w="950"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lang w:val="en-IE"/>
                    </w:rPr>
                  </w:pPr>
                  <w:r w:rsidRPr="007A3624">
                    <w:rPr>
                      <w:lang w:val="en-IE"/>
                    </w:rPr>
                    <w:t>SR3.</w:t>
                  </w:r>
                  <w:r>
                    <w:rPr>
                      <w:lang w:val="en-IE"/>
                    </w:rPr>
                    <w:t>3</w:t>
                  </w:r>
                </w:p>
              </w:tc>
              <w:tc>
                <w:tcPr>
                  <w:tcW w:w="1895" w:type="dxa"/>
                  <w:tcBorders>
                    <w:top w:val="single" w:sz="6" w:space="0" w:color="auto"/>
                    <w:left w:val="single" w:sz="6" w:space="0" w:color="auto"/>
                    <w:bottom w:val="single" w:sz="6" w:space="0" w:color="auto"/>
                    <w:right w:val="single" w:sz="6" w:space="0" w:color="auto"/>
                  </w:tcBorders>
                </w:tcPr>
                <w:p w:rsidR="008C25B7" w:rsidRDefault="008C25B7" w:rsidP="00F81A2F">
                  <w:pPr>
                    <w:pStyle w:val="CERnon-indent"/>
                    <w:rPr>
                      <w:lang w:val="en-IE"/>
                    </w:rPr>
                  </w:pPr>
                  <w:r>
                    <w:rPr>
                      <w:lang w:val="en-IE"/>
                    </w:rPr>
                    <w:t>Execute the cancellation of the Settlement Reallocation Agreement</w:t>
                  </w:r>
                  <w:r>
                    <w:rPr>
                      <w:strike/>
                      <w:color w:val="FF0000"/>
                      <w:lang w:val="en-IE"/>
                    </w:rPr>
                    <w:t xml:space="preserve"> and</w:t>
                  </w:r>
                  <w:r w:rsidRPr="00997895">
                    <w:rPr>
                      <w:color w:val="FF0000"/>
                      <w:u w:val="single"/>
                      <w:lang w:val="en-IE"/>
                    </w:rPr>
                    <w:t xml:space="preserve">. If request was received by fax or post, </w:t>
                  </w:r>
                  <w:r>
                    <w:rPr>
                      <w:lang w:val="en-IE"/>
                    </w:rPr>
                    <w:t>notify Participants that Settlement Reallocation Agreement has been cancelled completing Part C of the Settlement Reallocation cancellation form.</w:t>
                  </w:r>
                </w:p>
              </w:tc>
              <w:tc>
                <w:tcPr>
                  <w:tcW w:w="1386"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lang w:val="en-IE"/>
                    </w:rPr>
                  </w:pPr>
                  <w:r>
                    <w:rPr>
                      <w:lang w:val="en-IE"/>
                    </w:rPr>
                    <w:t>Within 1 WD of submission</w:t>
                  </w:r>
                </w:p>
              </w:tc>
              <w:tc>
                <w:tcPr>
                  <w:tcW w:w="1042" w:type="dxa"/>
                  <w:tcBorders>
                    <w:top w:val="single" w:sz="6" w:space="0" w:color="auto"/>
                    <w:left w:val="single" w:sz="6" w:space="0" w:color="auto"/>
                    <w:bottom w:val="single" w:sz="6" w:space="0" w:color="auto"/>
                    <w:right w:val="single" w:sz="6" w:space="0" w:color="auto"/>
                  </w:tcBorders>
                </w:tcPr>
                <w:p w:rsidR="008C25B7" w:rsidRDefault="008C25B7" w:rsidP="00F81A2F">
                  <w:pPr>
                    <w:pStyle w:val="CERnon-indent"/>
                    <w:rPr>
                      <w:lang w:val="en-IE"/>
                    </w:rPr>
                  </w:pPr>
                  <w:r>
                    <w:rPr>
                      <w:lang w:val="en-IE"/>
                    </w:rPr>
                    <w:t>Type 1 Channel</w:t>
                  </w:r>
                </w:p>
                <w:p w:rsidR="008C25B7" w:rsidRPr="00997895" w:rsidRDefault="008C25B7" w:rsidP="00F81A2F">
                  <w:pPr>
                    <w:pStyle w:val="CERnon-indent"/>
                    <w:rPr>
                      <w:color w:val="FF0000"/>
                      <w:u w:val="single"/>
                      <w:lang w:val="en-IE"/>
                    </w:rPr>
                  </w:pPr>
                  <w:r w:rsidRPr="00997895">
                    <w:rPr>
                      <w:color w:val="FF0000"/>
                      <w:u w:val="single"/>
                      <w:lang w:val="en-IE"/>
                    </w:rPr>
                    <w:t>/Type 2 Channel</w:t>
                  </w:r>
                </w:p>
                <w:p w:rsidR="008C25B7" w:rsidRPr="001218D6" w:rsidRDefault="008C25B7" w:rsidP="00F81A2F">
                  <w:pPr>
                    <w:pStyle w:val="CERnon-indent"/>
                    <w:rPr>
                      <w:lang w:val="en-IE"/>
                    </w:rPr>
                  </w:pPr>
                  <w:r w:rsidRPr="00997895">
                    <w:rPr>
                      <w:color w:val="FF0000"/>
                      <w:u w:val="single"/>
                      <w:lang w:val="en-IE"/>
                    </w:rPr>
                    <w:t>/Type 3 Channel</w:t>
                  </w:r>
                </w:p>
              </w:tc>
              <w:tc>
                <w:tcPr>
                  <w:tcW w:w="1368"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lang w:val="en-IE"/>
                    </w:rPr>
                  </w:pPr>
                  <w:r>
                    <w:rPr>
                      <w:lang w:val="en-IE"/>
                    </w:rPr>
                    <w:t>Market Operator</w:t>
                  </w:r>
                </w:p>
              </w:tc>
              <w:tc>
                <w:tcPr>
                  <w:tcW w:w="1322"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lang w:val="en-IE"/>
                    </w:rPr>
                  </w:pPr>
                  <w:r>
                    <w:rPr>
                      <w:lang w:val="en-IE"/>
                    </w:rPr>
                    <w:t>Debited Participant, Credited Participant</w:t>
                  </w:r>
                </w:p>
              </w:tc>
              <w:tc>
                <w:tcPr>
                  <w:tcW w:w="1048" w:type="dxa"/>
                  <w:tcBorders>
                    <w:top w:val="single" w:sz="6" w:space="0" w:color="auto"/>
                    <w:left w:val="single" w:sz="6" w:space="0" w:color="auto"/>
                    <w:bottom w:val="single" w:sz="6" w:space="0" w:color="auto"/>
                    <w:right w:val="single" w:sz="6" w:space="0" w:color="auto"/>
                  </w:tcBorders>
                </w:tcPr>
                <w:p w:rsidR="008C25B7" w:rsidRPr="001218D6" w:rsidRDefault="008C25B7" w:rsidP="00F81A2F">
                  <w:pPr>
                    <w:pStyle w:val="CERnon-indent"/>
                    <w:rPr>
                      <w:lang w:val="en-IE"/>
                    </w:rPr>
                  </w:pPr>
                </w:p>
              </w:tc>
            </w:tr>
          </w:tbl>
          <w:p w:rsidR="008C25B7" w:rsidRPr="007B71B2" w:rsidRDefault="008C25B7" w:rsidP="00CD196B">
            <w:pPr>
              <w:rPr>
                <w:rFonts w:ascii="Arial" w:hAnsi="Arial" w:cs="Arial"/>
                <w:sz w:val="22"/>
                <w:szCs w:val="22"/>
                <w:lang w:val="en-IE"/>
              </w:rPr>
            </w:pPr>
          </w:p>
          <w:p w:rsidR="008C25B7" w:rsidRPr="007B71B2" w:rsidRDefault="008C25B7" w:rsidP="007B71B2">
            <w:pPr>
              <w:pStyle w:val="CERNONINDENTBULLET"/>
              <w:numPr>
                <w:ilvl w:val="0"/>
                <w:numId w:val="0"/>
              </w:numPr>
              <w:ind w:left="425" w:hanging="425"/>
              <w:rPr>
                <w:lang w:val="en-IE"/>
              </w:rPr>
            </w:pPr>
            <w:r w:rsidRPr="007B71B2">
              <w:rPr>
                <w:b/>
                <w:bCs/>
                <w:lang w:val="en-IE"/>
              </w:rPr>
              <w:t>3.3.5     Process Flow (‘Swim-Lane’) Diagram</w:t>
            </w:r>
          </w:p>
          <w:p w:rsidR="008C25B7" w:rsidRPr="007B71B2" w:rsidRDefault="008C25B7" w:rsidP="007B71B2">
            <w:pPr>
              <w:pStyle w:val="CERNONINDENTBULLET"/>
              <w:numPr>
                <w:ilvl w:val="0"/>
                <w:numId w:val="0"/>
              </w:numPr>
              <w:ind w:left="425" w:hanging="425"/>
              <w:rPr>
                <w:lang w:val="en-IE"/>
              </w:rPr>
            </w:pPr>
            <w:r w:rsidRPr="007B71B2">
              <w:rPr>
                <w:lang w:val="en-IE"/>
              </w:rPr>
              <w:t>[The process flow diagram will need to be updated to reflect the changes above].</w:t>
            </w:r>
          </w:p>
          <w:p w:rsidR="008C25B7" w:rsidRPr="007B71B2" w:rsidRDefault="008C25B7" w:rsidP="00CD196B">
            <w:pPr>
              <w:rPr>
                <w:rFonts w:ascii="Arial" w:hAnsi="Arial" w:cs="Arial"/>
                <w:sz w:val="18"/>
                <w:szCs w:val="18"/>
                <w:lang w:val="en-IE"/>
              </w:rPr>
            </w:pPr>
          </w:p>
        </w:tc>
      </w:tr>
      <w:tr w:rsidR="008C25B7" w:rsidRPr="004268C9">
        <w:tc>
          <w:tcPr>
            <w:tcW w:w="9243" w:type="dxa"/>
            <w:gridSpan w:val="7"/>
          </w:tcPr>
          <w:p w:rsidR="008C25B7" w:rsidRPr="007B71B2" w:rsidRDefault="008C25B7" w:rsidP="007B71B2">
            <w:pPr>
              <w:jc w:val="center"/>
              <w:rPr>
                <w:rFonts w:ascii="Arial" w:hAnsi="Arial" w:cs="Arial"/>
                <w:sz w:val="18"/>
                <w:szCs w:val="18"/>
              </w:rPr>
            </w:pPr>
            <w:r w:rsidRPr="007B71B2">
              <w:rPr>
                <w:rFonts w:ascii="Arial" w:hAnsi="Arial" w:cs="Arial"/>
                <w:b/>
                <w:bCs/>
                <w:sz w:val="18"/>
                <w:szCs w:val="18"/>
              </w:rPr>
              <w:t>Modification Proposal Justification</w:t>
            </w:r>
          </w:p>
          <w:p w:rsidR="008C25B7" w:rsidRPr="007B71B2" w:rsidRDefault="008C25B7" w:rsidP="007B71B2">
            <w:pPr>
              <w:jc w:val="center"/>
              <w:rPr>
                <w:rFonts w:ascii="Arial" w:hAnsi="Arial" w:cs="Arial"/>
                <w:sz w:val="18"/>
                <w:szCs w:val="18"/>
                <w:lang w:val="en-IE"/>
              </w:rPr>
            </w:pPr>
            <w:r w:rsidRPr="007B71B2">
              <w:rPr>
                <w:rFonts w:ascii="Arial" w:hAnsi="Arial" w:cs="Arial"/>
                <w:i/>
                <w:iCs/>
                <w:sz w:val="18"/>
                <w:szCs w:val="18"/>
              </w:rPr>
              <w:t xml:space="preserve">(Clearly state the reason for the Modification &amp; </w:t>
            </w:r>
            <w:r w:rsidRPr="007B71B2">
              <w:rPr>
                <w:rFonts w:ascii="Arial" w:hAnsi="Arial" w:cs="Arial"/>
                <w:i/>
                <w:iCs/>
                <w:sz w:val="18"/>
                <w:szCs w:val="18"/>
                <w:lang w:val="en-US" w:eastAsia="en-US"/>
              </w:rPr>
              <w:t xml:space="preserve">how it furthers the Code Objectives) </w:t>
            </w:r>
          </w:p>
        </w:tc>
      </w:tr>
      <w:tr w:rsidR="008C25B7" w:rsidRPr="004268C9">
        <w:tc>
          <w:tcPr>
            <w:tcW w:w="9243" w:type="dxa"/>
            <w:gridSpan w:val="7"/>
          </w:tcPr>
          <w:p w:rsidR="008C25B7" w:rsidRPr="007B71B2" w:rsidRDefault="008C25B7" w:rsidP="00CD196B">
            <w:pPr>
              <w:rPr>
                <w:rFonts w:ascii="Arial" w:hAnsi="Arial" w:cs="Arial"/>
                <w:sz w:val="22"/>
                <w:szCs w:val="22"/>
                <w:u w:val="single"/>
                <w:lang w:val="en-IE"/>
              </w:rPr>
            </w:pPr>
            <w:r w:rsidRPr="007B71B2">
              <w:rPr>
                <w:rFonts w:ascii="Arial" w:hAnsi="Arial" w:cs="Arial"/>
                <w:sz w:val="22"/>
                <w:szCs w:val="22"/>
                <w:u w:val="single"/>
                <w:lang w:val="en-IE"/>
              </w:rPr>
              <w:t>Increase on Daily Maximum Number of SRAs:</w:t>
            </w:r>
          </w:p>
          <w:p w:rsidR="008C25B7" w:rsidRPr="007B71B2" w:rsidRDefault="008C25B7" w:rsidP="00CD196B">
            <w:pPr>
              <w:rPr>
                <w:rFonts w:ascii="Arial" w:hAnsi="Arial" w:cs="Arial"/>
                <w:sz w:val="22"/>
                <w:szCs w:val="22"/>
                <w:lang w:val="en-IE"/>
              </w:rPr>
            </w:pPr>
            <w:r w:rsidRPr="007B71B2">
              <w:rPr>
                <w:rFonts w:ascii="Arial" w:hAnsi="Arial" w:cs="Arial"/>
                <w:sz w:val="22"/>
                <w:szCs w:val="22"/>
                <w:lang w:val="en-IE"/>
              </w:rPr>
              <w:t>The coming online of the EWIC in 2012 will see either the registration of new units or an increase in the volume being registered by Interconnector units (depending on final implementation). Either way, the management of Credit Cover positions (as well as cash flows) using SRAs will necessitate an increase in the number of SRAs allowed to be lodged daily by Participants. SEMO IT has confirmed that this is configurable in the CMS, hence should imply no [significant] system costs.</w:t>
            </w:r>
          </w:p>
          <w:p w:rsidR="008C25B7" w:rsidRPr="007B71B2" w:rsidRDefault="008C25B7" w:rsidP="00CD196B">
            <w:pPr>
              <w:rPr>
                <w:rFonts w:ascii="Arial" w:hAnsi="Arial" w:cs="Arial"/>
                <w:sz w:val="22"/>
                <w:szCs w:val="22"/>
                <w:lang w:val="en-IE"/>
              </w:rPr>
            </w:pPr>
          </w:p>
          <w:p w:rsidR="008C25B7" w:rsidRPr="007B71B2" w:rsidRDefault="008C25B7" w:rsidP="00CD196B">
            <w:pPr>
              <w:rPr>
                <w:rFonts w:ascii="Arial" w:hAnsi="Arial" w:cs="Arial"/>
                <w:sz w:val="22"/>
                <w:szCs w:val="22"/>
                <w:u w:val="single"/>
                <w:lang w:val="en-IE"/>
              </w:rPr>
            </w:pPr>
            <w:r w:rsidRPr="007B71B2">
              <w:rPr>
                <w:rFonts w:ascii="Arial" w:hAnsi="Arial" w:cs="Arial"/>
                <w:sz w:val="22"/>
                <w:szCs w:val="22"/>
                <w:u w:val="single"/>
                <w:lang w:val="en-IE"/>
              </w:rPr>
              <w:t>Automating Cancellation of SRAs:</w:t>
            </w:r>
          </w:p>
          <w:p w:rsidR="008C25B7" w:rsidRPr="007B71B2" w:rsidRDefault="008C25B7" w:rsidP="00CD196B">
            <w:pPr>
              <w:rPr>
                <w:rFonts w:ascii="Arial" w:hAnsi="Arial" w:cs="Arial"/>
                <w:sz w:val="22"/>
                <w:szCs w:val="22"/>
                <w:lang w:val="en-IE"/>
              </w:rPr>
            </w:pPr>
            <w:r w:rsidRPr="007B71B2">
              <w:rPr>
                <w:rFonts w:ascii="Arial" w:hAnsi="Arial" w:cs="Arial"/>
                <w:sz w:val="22"/>
                <w:szCs w:val="22"/>
                <w:lang w:val="en-IE"/>
              </w:rPr>
              <w:t>The proposed design of Intra-Day Trading arrangements requires a more ‘aggressive’ treatment of Credit Cover requirements for Interconnector units. Given this development, in order not to frustrate potential trades, it will be necessary to improve the management of SRAs. Automating cancellation of SRAs allows Participants be more responsive under the proposed Credit Cover arrangements. Besides, it mirrors the arrangements on the submission side whereby, Participants submit these Agreements via Types 2 &amp; 3 channels.</w:t>
            </w:r>
          </w:p>
          <w:p w:rsidR="008C25B7" w:rsidRPr="007B71B2" w:rsidRDefault="008C25B7" w:rsidP="00CD196B">
            <w:pPr>
              <w:rPr>
                <w:rFonts w:ascii="Arial" w:hAnsi="Arial" w:cs="Arial"/>
                <w:sz w:val="22"/>
                <w:szCs w:val="22"/>
                <w:lang w:val="en-IE"/>
              </w:rPr>
            </w:pPr>
          </w:p>
          <w:p w:rsidR="008C25B7" w:rsidRPr="007B71B2" w:rsidRDefault="008C25B7" w:rsidP="006F5976">
            <w:pPr>
              <w:rPr>
                <w:rFonts w:ascii="Arial" w:hAnsi="Arial" w:cs="Arial"/>
                <w:sz w:val="22"/>
                <w:szCs w:val="22"/>
                <w:lang w:val="en-IE"/>
              </w:rPr>
            </w:pPr>
            <w:r w:rsidRPr="007B71B2">
              <w:rPr>
                <w:rFonts w:ascii="Arial" w:hAnsi="Arial" w:cs="Arial"/>
                <w:sz w:val="22"/>
                <w:szCs w:val="22"/>
                <w:lang w:val="en-IE"/>
              </w:rPr>
              <w:t>This modification proposal furthers the Code objectives outlined in T&amp;SC section1.3, subsections 2 &amp; 3. To wit:</w:t>
            </w:r>
          </w:p>
          <w:p w:rsidR="008C25B7" w:rsidRPr="007B71B2" w:rsidRDefault="008C25B7" w:rsidP="006F5976">
            <w:pPr>
              <w:rPr>
                <w:rFonts w:ascii="Arial" w:hAnsi="Arial" w:cs="Arial"/>
                <w:sz w:val="22"/>
                <w:szCs w:val="22"/>
                <w:lang w:val="en-IE"/>
              </w:rPr>
            </w:pPr>
          </w:p>
          <w:p w:rsidR="008C25B7" w:rsidRPr="004F2CC1" w:rsidRDefault="008C25B7" w:rsidP="006F5976">
            <w:pPr>
              <w:pStyle w:val="CERNUMBERBULLET"/>
            </w:pPr>
            <w:r w:rsidRPr="007B71B2">
              <w:rPr>
                <w:i/>
                <w:iCs/>
              </w:rPr>
              <w:t>to facilitate the efficient, economic and coordinated operation, administration and development of the Single Electricity Market</w:t>
            </w:r>
            <w:r w:rsidRPr="004F2CC1">
              <w:t xml:space="preserve"> in a financially secure manner;</w:t>
            </w:r>
          </w:p>
          <w:p w:rsidR="008C25B7" w:rsidRPr="004F2CC1" w:rsidRDefault="008C25B7" w:rsidP="006F5976">
            <w:pPr>
              <w:pStyle w:val="CERNUMBERBULLET"/>
            </w:pPr>
            <w:r w:rsidRPr="007B71B2">
              <w:rPr>
                <w:i/>
                <w:iCs/>
              </w:rPr>
              <w:t>to facilitate the participation of electricity undertakings</w:t>
            </w:r>
            <w:r w:rsidRPr="004F2CC1">
              <w:t xml:space="preserve"> engaged in the generation, supply or sale of electricity in the trading arrangements under the Single Electricity Market;</w:t>
            </w:r>
          </w:p>
          <w:p w:rsidR="008C25B7" w:rsidRPr="007B71B2" w:rsidRDefault="008C25B7" w:rsidP="006F5976">
            <w:pPr>
              <w:rPr>
                <w:rFonts w:ascii="Arial" w:hAnsi="Arial" w:cs="Arial"/>
                <w:sz w:val="22"/>
                <w:szCs w:val="22"/>
                <w:lang w:val="en-IE"/>
              </w:rPr>
            </w:pPr>
            <w:r w:rsidRPr="007B71B2">
              <w:rPr>
                <w:rFonts w:ascii="Arial" w:hAnsi="Arial" w:cs="Arial"/>
                <w:sz w:val="22"/>
                <w:szCs w:val="22"/>
                <w:lang w:val="en-IE"/>
              </w:rPr>
              <w:t>(italics supplied).</w:t>
            </w:r>
          </w:p>
          <w:p w:rsidR="008C25B7" w:rsidRPr="007B71B2" w:rsidRDefault="008C25B7" w:rsidP="00CD196B">
            <w:pPr>
              <w:rPr>
                <w:rFonts w:ascii="Arial" w:hAnsi="Arial" w:cs="Arial"/>
                <w:sz w:val="22"/>
                <w:szCs w:val="22"/>
                <w:lang w:val="en-IE"/>
              </w:rPr>
            </w:pPr>
          </w:p>
          <w:p w:rsidR="008C25B7" w:rsidRPr="007B71B2" w:rsidRDefault="008C25B7" w:rsidP="00CD196B">
            <w:pPr>
              <w:rPr>
                <w:rFonts w:ascii="Arial" w:hAnsi="Arial" w:cs="Arial"/>
                <w:sz w:val="18"/>
                <w:szCs w:val="18"/>
                <w:lang w:val="en-IE"/>
              </w:rPr>
            </w:pPr>
          </w:p>
        </w:tc>
      </w:tr>
      <w:tr w:rsidR="008C25B7" w:rsidRPr="004268C9">
        <w:tc>
          <w:tcPr>
            <w:tcW w:w="9243" w:type="dxa"/>
            <w:gridSpan w:val="7"/>
          </w:tcPr>
          <w:p w:rsidR="008C25B7" w:rsidRPr="007B71B2" w:rsidRDefault="008C25B7" w:rsidP="007B71B2">
            <w:pPr>
              <w:jc w:val="center"/>
              <w:rPr>
                <w:rFonts w:ascii="Arial" w:hAnsi="Arial" w:cs="Arial"/>
                <w:b/>
                <w:bCs/>
                <w:sz w:val="18"/>
                <w:szCs w:val="18"/>
              </w:rPr>
            </w:pPr>
            <w:r w:rsidRPr="007B71B2">
              <w:rPr>
                <w:rFonts w:ascii="Arial" w:hAnsi="Arial" w:cs="Arial"/>
                <w:b/>
                <w:bCs/>
                <w:sz w:val="18"/>
                <w:szCs w:val="18"/>
              </w:rPr>
              <w:t>Implication of not implementing the Modification</w:t>
            </w:r>
          </w:p>
          <w:p w:rsidR="008C25B7" w:rsidRPr="007B71B2" w:rsidRDefault="008C25B7" w:rsidP="007B71B2">
            <w:pPr>
              <w:jc w:val="center"/>
              <w:rPr>
                <w:rFonts w:ascii="Arial" w:hAnsi="Arial" w:cs="Arial"/>
                <w:b/>
                <w:bCs/>
                <w:sz w:val="18"/>
                <w:szCs w:val="18"/>
              </w:rPr>
            </w:pPr>
            <w:r w:rsidRPr="007B71B2">
              <w:rPr>
                <w:rFonts w:ascii="Arial" w:hAnsi="Arial" w:cs="Arial"/>
                <w:i/>
                <w:iCs/>
                <w:sz w:val="18"/>
                <w:szCs w:val="18"/>
              </w:rPr>
              <w:t xml:space="preserve">(Clearly state the possible outcomes should the Modification not be made , or how </w:t>
            </w:r>
            <w:r w:rsidRPr="007B71B2">
              <w:rPr>
                <w:rFonts w:ascii="Arial" w:hAnsi="Arial" w:cs="Arial"/>
                <w:i/>
                <w:iCs/>
                <w:sz w:val="18"/>
                <w:szCs w:val="18"/>
                <w:lang w:val="en-US" w:eastAsia="en-US"/>
              </w:rPr>
              <w:t>the Code Objectives would not be met)</w:t>
            </w:r>
          </w:p>
        </w:tc>
      </w:tr>
      <w:tr w:rsidR="008C25B7" w:rsidRPr="004268C9">
        <w:tc>
          <w:tcPr>
            <w:tcW w:w="9243" w:type="dxa"/>
            <w:gridSpan w:val="7"/>
          </w:tcPr>
          <w:p w:rsidR="008C25B7" w:rsidRPr="007B71B2" w:rsidRDefault="008C25B7" w:rsidP="00CD196B">
            <w:pPr>
              <w:rPr>
                <w:rFonts w:ascii="Arial" w:hAnsi="Arial" w:cs="Arial"/>
                <w:sz w:val="18"/>
                <w:szCs w:val="18"/>
                <w:lang w:val="en-IE"/>
              </w:rPr>
            </w:pPr>
          </w:p>
          <w:p w:rsidR="008C25B7" w:rsidRPr="007B71B2" w:rsidRDefault="008C25B7" w:rsidP="00CD196B">
            <w:pPr>
              <w:rPr>
                <w:rFonts w:ascii="Arial" w:hAnsi="Arial" w:cs="Arial"/>
                <w:sz w:val="22"/>
                <w:szCs w:val="22"/>
                <w:lang w:val="en-IE"/>
              </w:rPr>
            </w:pPr>
            <w:r w:rsidRPr="007B71B2">
              <w:rPr>
                <w:rFonts w:ascii="Arial" w:hAnsi="Arial" w:cs="Arial"/>
                <w:sz w:val="22"/>
                <w:szCs w:val="22"/>
                <w:lang w:val="en-IE"/>
              </w:rPr>
              <w:t>Not implementing these proposals will result in non-optimal use of SRAs to manage Credit Cover positions, and indeed cash flows, giving the pending changes arising from the Intra-Day design.</w:t>
            </w:r>
          </w:p>
          <w:p w:rsidR="008C25B7" w:rsidRPr="007B71B2" w:rsidRDefault="008C25B7" w:rsidP="00CD196B">
            <w:pPr>
              <w:rPr>
                <w:rFonts w:ascii="Arial" w:hAnsi="Arial" w:cs="Arial"/>
                <w:sz w:val="22"/>
                <w:szCs w:val="22"/>
                <w:lang w:val="en-IE"/>
              </w:rPr>
            </w:pPr>
          </w:p>
          <w:p w:rsidR="008C25B7" w:rsidRPr="007B71B2" w:rsidRDefault="008C25B7" w:rsidP="007B71B2">
            <w:pPr>
              <w:rPr>
                <w:rFonts w:ascii="Arial" w:hAnsi="Arial" w:cs="Arial"/>
                <w:sz w:val="22"/>
                <w:szCs w:val="22"/>
                <w:lang w:val="en-IE"/>
              </w:rPr>
            </w:pPr>
            <w:r w:rsidRPr="007B71B2">
              <w:rPr>
                <w:rFonts w:ascii="Arial" w:hAnsi="Arial" w:cs="Arial"/>
                <w:sz w:val="22"/>
                <w:szCs w:val="22"/>
                <w:lang w:val="en-IE"/>
              </w:rPr>
              <w:t xml:space="preserve">Hence if not implemented, the objectives of facilitating </w:t>
            </w:r>
            <w:r w:rsidRPr="007B71B2">
              <w:rPr>
                <w:rFonts w:ascii="Arial" w:hAnsi="Arial" w:cs="Arial"/>
                <w:sz w:val="22"/>
                <w:szCs w:val="22"/>
              </w:rPr>
              <w:t>the efficient, economic and coordinated operation, administration and development of the Single Electricity Market, as well as facilitating the participation of electricity undertakings engaged in the generation, supply or sale of electricity in the trading arrangements under the Single Electricity Market will be frustrated.</w:t>
            </w:r>
          </w:p>
          <w:p w:rsidR="008C25B7" w:rsidRPr="007B71B2" w:rsidRDefault="008C25B7" w:rsidP="00CD196B">
            <w:pPr>
              <w:rPr>
                <w:rFonts w:ascii="Arial" w:hAnsi="Arial" w:cs="Arial"/>
                <w:sz w:val="18"/>
                <w:szCs w:val="18"/>
                <w:lang w:val="en-IE"/>
              </w:rPr>
            </w:pPr>
          </w:p>
        </w:tc>
      </w:tr>
      <w:tr w:rsidR="008C25B7" w:rsidRPr="004268C9">
        <w:tc>
          <w:tcPr>
            <w:tcW w:w="9243" w:type="dxa"/>
            <w:gridSpan w:val="7"/>
          </w:tcPr>
          <w:p w:rsidR="008C25B7" w:rsidRPr="007B71B2" w:rsidRDefault="008C25B7" w:rsidP="007B71B2">
            <w:pPr>
              <w:jc w:val="center"/>
              <w:rPr>
                <w:rFonts w:ascii="Arial" w:hAnsi="Arial" w:cs="Arial"/>
                <w:b/>
                <w:bCs/>
                <w:i/>
                <w:iCs/>
              </w:rPr>
            </w:pPr>
            <w:r w:rsidRPr="007B71B2">
              <w:rPr>
                <w:rFonts w:ascii="Arial" w:hAnsi="Arial" w:cs="Arial"/>
                <w:b/>
                <w:bCs/>
                <w:i/>
                <w:iCs/>
              </w:rPr>
              <w:t xml:space="preserve">Please return this form to Secretariat by e-mail to </w:t>
            </w:r>
            <w:hyperlink r:id="rId6" w:history="1">
              <w:r w:rsidRPr="007B71B2">
                <w:rPr>
                  <w:rStyle w:val="Hyperlink"/>
                  <w:rFonts w:ascii="Arial" w:hAnsi="Arial" w:cs="Arial"/>
                  <w:b/>
                  <w:bCs/>
                  <w:i/>
                  <w:iCs/>
                </w:rPr>
                <w:t>modifications@sem-o.com</w:t>
              </w:r>
            </w:hyperlink>
          </w:p>
        </w:tc>
      </w:tr>
    </w:tbl>
    <w:p w:rsidR="008C25B7" w:rsidRDefault="008C25B7"/>
    <w:p w:rsidR="008C25B7" w:rsidRPr="00F91FC2" w:rsidRDefault="008C25B7" w:rsidP="00CD196B">
      <w:pPr>
        <w:pStyle w:val="Body1"/>
        <w:jc w:val="both"/>
        <w:rPr>
          <w:rFonts w:ascii="Arial" w:hAnsi="Arial" w:cs="Arial"/>
          <w:b/>
          <w:bCs/>
          <w:sz w:val="16"/>
          <w:szCs w:val="16"/>
          <w:lang w:val="en-US" w:eastAsia="en-US"/>
        </w:rPr>
      </w:pPr>
      <w:r w:rsidRPr="00F91FC2">
        <w:rPr>
          <w:rFonts w:ascii="Arial" w:hAnsi="Arial" w:cs="Arial"/>
          <w:b/>
          <w:bCs/>
          <w:sz w:val="16"/>
          <w:szCs w:val="16"/>
          <w:lang w:val="en-US" w:eastAsia="en-US"/>
        </w:rPr>
        <w:t>Notes on completing Modification Proposal Form:</w:t>
      </w:r>
    </w:p>
    <w:p w:rsidR="008C25B7" w:rsidRPr="00F91FC2" w:rsidRDefault="008C25B7" w:rsidP="00CD196B">
      <w:pPr>
        <w:pStyle w:val="Body1"/>
        <w:numPr>
          <w:ilvl w:val="0"/>
          <w:numId w:val="3"/>
        </w:numPr>
        <w:jc w:val="both"/>
        <w:textAlignment w:val="auto"/>
        <w:rPr>
          <w:rFonts w:ascii="Arial" w:hAnsi="Arial" w:cs="Arial"/>
          <w:b/>
          <w:bCs/>
          <w:sz w:val="16"/>
          <w:szCs w:val="16"/>
          <w:lang w:val="en-US" w:eastAsia="en-US"/>
        </w:rPr>
      </w:pPr>
      <w:r w:rsidRPr="00F91FC2">
        <w:rPr>
          <w:rFonts w:ascii="Arial" w:hAnsi="Arial" w:cs="Arial"/>
          <w:b/>
          <w:bCs/>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8C25B7" w:rsidRPr="00F91FC2" w:rsidRDefault="008C25B7" w:rsidP="00CD196B">
      <w:pPr>
        <w:pStyle w:val="Body1"/>
        <w:numPr>
          <w:ilvl w:val="0"/>
          <w:numId w:val="3"/>
        </w:numPr>
        <w:jc w:val="both"/>
        <w:textAlignment w:val="auto"/>
        <w:rPr>
          <w:rFonts w:ascii="Arial" w:hAnsi="Arial" w:cs="Arial"/>
          <w:b/>
          <w:bCs/>
          <w:sz w:val="16"/>
          <w:szCs w:val="16"/>
          <w:lang w:val="en-IE"/>
        </w:rPr>
      </w:pPr>
      <w:r w:rsidRPr="00F91FC2">
        <w:rPr>
          <w:rFonts w:ascii="Arial" w:hAnsi="Arial" w:cs="Arial"/>
          <w:b/>
          <w:bCs/>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8C25B7" w:rsidRPr="00F91FC2" w:rsidRDefault="008C25B7" w:rsidP="00CD196B">
      <w:pPr>
        <w:pStyle w:val="Body1"/>
        <w:numPr>
          <w:ilvl w:val="0"/>
          <w:numId w:val="3"/>
        </w:numPr>
        <w:jc w:val="both"/>
        <w:textAlignment w:val="auto"/>
        <w:rPr>
          <w:rFonts w:ascii="Arial" w:hAnsi="Arial" w:cs="Arial"/>
          <w:b/>
          <w:bCs/>
          <w:sz w:val="16"/>
          <w:szCs w:val="16"/>
          <w:lang w:val="en-IE"/>
        </w:rPr>
      </w:pPr>
      <w:r w:rsidRPr="00F91FC2">
        <w:rPr>
          <w:rFonts w:ascii="Arial" w:hAnsi="Arial" w:cs="Arial"/>
          <w:b/>
          <w:bCs/>
          <w:sz w:val="16"/>
          <w:szCs w:val="16"/>
          <w:lang w:val="en-US" w:eastAsia="en-US"/>
        </w:rPr>
        <w:t>Each Modification Proposal will include a draft text of the proposed Modification to the Code.</w:t>
      </w:r>
    </w:p>
    <w:p w:rsidR="008C25B7" w:rsidRPr="00F91FC2" w:rsidRDefault="008C25B7" w:rsidP="00CD196B">
      <w:pPr>
        <w:pStyle w:val="Body1"/>
        <w:numPr>
          <w:ilvl w:val="0"/>
          <w:numId w:val="3"/>
        </w:numPr>
        <w:jc w:val="both"/>
        <w:textAlignment w:val="auto"/>
        <w:rPr>
          <w:rFonts w:ascii="Arial" w:hAnsi="Arial" w:cs="Arial"/>
          <w:b/>
          <w:bCs/>
          <w:sz w:val="16"/>
          <w:szCs w:val="16"/>
          <w:lang w:val="en-IE"/>
        </w:rPr>
      </w:pPr>
      <w:r w:rsidRPr="00F91FC2">
        <w:rPr>
          <w:rFonts w:ascii="Arial" w:hAnsi="Arial" w:cs="Arial"/>
          <w:b/>
          <w:bCs/>
          <w:sz w:val="16"/>
          <w:szCs w:val="16"/>
          <w:lang w:val="en-IE"/>
        </w:rPr>
        <w:t xml:space="preserve">For the purposes of this </w:t>
      </w:r>
      <w:r w:rsidRPr="00F91FC2">
        <w:rPr>
          <w:rFonts w:ascii="Arial" w:hAnsi="Arial" w:cs="Arial"/>
          <w:b/>
          <w:bCs/>
          <w:sz w:val="16"/>
          <w:szCs w:val="16"/>
          <w:lang w:val="en-US" w:eastAsia="en-US"/>
        </w:rPr>
        <w:t>Modification Proposal Form</w:t>
      </w:r>
      <w:r w:rsidRPr="00F91FC2">
        <w:rPr>
          <w:rFonts w:ascii="Arial" w:hAnsi="Arial" w:cs="Arial"/>
          <w:b/>
          <w:bCs/>
          <w:sz w:val="16"/>
          <w:szCs w:val="16"/>
          <w:lang w:val="en-IE"/>
        </w:rPr>
        <w:t>, the following terms shall have the following meanings:</w:t>
      </w:r>
    </w:p>
    <w:p w:rsidR="008C25B7" w:rsidRPr="00F91FC2" w:rsidRDefault="008C25B7" w:rsidP="00CD196B">
      <w:pPr>
        <w:jc w:val="both"/>
        <w:rPr>
          <w:rFonts w:ascii="Arial" w:hAnsi="Arial" w:cs="Arial"/>
          <w:b/>
          <w:bCs/>
          <w:sz w:val="16"/>
          <w:szCs w:val="16"/>
          <w:lang w:val="en-IE"/>
        </w:rPr>
      </w:pPr>
    </w:p>
    <w:p w:rsidR="008C25B7" w:rsidRPr="00F91FC2" w:rsidRDefault="008C25B7" w:rsidP="00CD196B">
      <w:pPr>
        <w:ind w:left="2880" w:hanging="2160"/>
        <w:jc w:val="both"/>
        <w:rPr>
          <w:rFonts w:ascii="Arial" w:hAnsi="Arial" w:cs="Arial"/>
          <w:b/>
          <w:bCs/>
          <w:sz w:val="16"/>
          <w:szCs w:val="16"/>
          <w:lang w:val="en-IE"/>
        </w:rPr>
      </w:pPr>
      <w:r w:rsidRPr="00F91FC2">
        <w:rPr>
          <w:rFonts w:ascii="Arial" w:hAnsi="Arial" w:cs="Arial"/>
          <w:b/>
          <w:bCs/>
          <w:sz w:val="16"/>
          <w:szCs w:val="16"/>
          <w:lang w:val="en-IE"/>
        </w:rPr>
        <w:t>Code:</w:t>
      </w:r>
      <w:r w:rsidRPr="00F91FC2">
        <w:rPr>
          <w:rFonts w:ascii="Arial" w:hAnsi="Arial" w:cs="Arial"/>
          <w:b/>
          <w:bCs/>
          <w:sz w:val="16"/>
          <w:szCs w:val="16"/>
          <w:lang w:val="en-IE"/>
        </w:rPr>
        <w:tab/>
        <w:t>means the Trading and Settlement Code for the Single Electricity Market</w:t>
      </w:r>
    </w:p>
    <w:p w:rsidR="008C25B7" w:rsidRPr="00F91FC2" w:rsidRDefault="008C25B7" w:rsidP="00CD196B">
      <w:pPr>
        <w:ind w:left="2880" w:hanging="2166"/>
        <w:jc w:val="both"/>
        <w:rPr>
          <w:rFonts w:ascii="Arial" w:hAnsi="Arial" w:cs="Arial"/>
          <w:b/>
          <w:bCs/>
          <w:sz w:val="16"/>
          <w:szCs w:val="16"/>
          <w:lang w:val="en-IE"/>
        </w:rPr>
      </w:pPr>
      <w:r w:rsidRPr="00F91FC2">
        <w:rPr>
          <w:rFonts w:ascii="Arial" w:hAnsi="Arial" w:cs="Arial"/>
          <w:b/>
          <w:bCs/>
          <w:sz w:val="16"/>
          <w:szCs w:val="16"/>
          <w:lang w:val="en-IE"/>
        </w:rPr>
        <w:t>Modification Proposal:</w:t>
      </w:r>
      <w:r w:rsidRPr="00F91FC2">
        <w:rPr>
          <w:rFonts w:ascii="Arial" w:hAnsi="Arial" w:cs="Arial"/>
          <w:b/>
          <w:bCs/>
          <w:sz w:val="16"/>
          <w:szCs w:val="16"/>
          <w:lang w:val="en-IE"/>
        </w:rPr>
        <w:tab/>
        <w:t>means the proposal to modify the Code as set out in the attached form</w:t>
      </w:r>
    </w:p>
    <w:p w:rsidR="008C25B7" w:rsidRPr="00F91FC2" w:rsidRDefault="008C25B7" w:rsidP="00CD196B">
      <w:pPr>
        <w:ind w:left="2880" w:hanging="2166"/>
        <w:jc w:val="both"/>
        <w:rPr>
          <w:rFonts w:ascii="Arial" w:hAnsi="Arial" w:cs="Arial"/>
          <w:b/>
          <w:bCs/>
          <w:sz w:val="16"/>
          <w:szCs w:val="16"/>
          <w:lang w:val="en-IE"/>
        </w:rPr>
      </w:pPr>
      <w:r w:rsidRPr="00F91FC2">
        <w:rPr>
          <w:rFonts w:ascii="Arial" w:hAnsi="Arial" w:cs="Arial"/>
          <w:b/>
          <w:bCs/>
          <w:sz w:val="16"/>
          <w:szCs w:val="16"/>
          <w:lang w:val="en-IE"/>
        </w:rPr>
        <w:t>Derivative Work:</w:t>
      </w:r>
      <w:r w:rsidRPr="00F91FC2">
        <w:rPr>
          <w:rFonts w:ascii="Arial" w:hAnsi="Arial" w:cs="Arial"/>
          <w:b/>
          <w:bCs/>
          <w:sz w:val="16"/>
          <w:szCs w:val="16"/>
          <w:lang w:val="en-IE"/>
        </w:rPr>
        <w:tab/>
        <w:t xml:space="preserve">means any text or work which incorporates </w:t>
      </w:r>
      <w:r w:rsidRPr="00F91FC2">
        <w:rPr>
          <w:rFonts w:ascii="Arial" w:hAnsi="Arial" w:cs="Arial"/>
          <w:b/>
          <w:bCs/>
          <w:sz w:val="16"/>
          <w:szCs w:val="16"/>
        </w:rPr>
        <w:t>or contains all or part of the Modification Proposal or any adaptation, abridgement, expansion or other modification</w:t>
      </w:r>
      <w:r w:rsidRPr="00F91FC2">
        <w:rPr>
          <w:rFonts w:ascii="Arial" w:hAnsi="Arial" w:cs="Arial"/>
          <w:b/>
          <w:bCs/>
          <w:sz w:val="16"/>
          <w:szCs w:val="16"/>
          <w:lang w:val="en-IE"/>
        </w:rPr>
        <w:t xml:space="preserve"> of the Modification Proposal</w:t>
      </w:r>
    </w:p>
    <w:p w:rsidR="008C25B7" w:rsidRPr="00F91FC2" w:rsidRDefault="008C25B7" w:rsidP="00CD196B">
      <w:pPr>
        <w:jc w:val="both"/>
        <w:rPr>
          <w:rFonts w:ascii="Arial" w:hAnsi="Arial" w:cs="Arial"/>
          <w:b/>
          <w:bCs/>
          <w:sz w:val="16"/>
          <w:szCs w:val="16"/>
          <w:lang w:val="en-IE"/>
        </w:rPr>
      </w:pPr>
    </w:p>
    <w:p w:rsidR="008C25B7" w:rsidRPr="00F91FC2" w:rsidRDefault="008C25B7" w:rsidP="00CD196B">
      <w:pPr>
        <w:tabs>
          <w:tab w:val="left" w:pos="360"/>
        </w:tabs>
        <w:ind w:left="720"/>
        <w:jc w:val="both"/>
        <w:rPr>
          <w:rFonts w:ascii="Arial" w:hAnsi="Arial" w:cs="Arial"/>
          <w:b/>
          <w:bCs/>
          <w:sz w:val="16"/>
          <w:szCs w:val="16"/>
          <w:lang w:val="en-IE"/>
        </w:rPr>
      </w:pPr>
      <w:r w:rsidRPr="00F91FC2">
        <w:rPr>
          <w:rFonts w:ascii="Arial" w:hAnsi="Arial" w:cs="Arial"/>
          <w:b/>
          <w:bCs/>
          <w:sz w:val="16"/>
          <w:szCs w:val="16"/>
          <w:lang w:val="en-IE"/>
        </w:rPr>
        <w:t xml:space="preserve">The terms “Market Operator”, “Modifications Committee” and “Regulatory Authorities” shall have the meanings assigned to those terms in the Code.  </w:t>
      </w:r>
    </w:p>
    <w:p w:rsidR="008C25B7" w:rsidRPr="00F91FC2" w:rsidRDefault="008C25B7" w:rsidP="00CD196B">
      <w:pPr>
        <w:tabs>
          <w:tab w:val="left" w:pos="360"/>
        </w:tabs>
        <w:ind w:left="720"/>
        <w:jc w:val="both"/>
        <w:rPr>
          <w:rFonts w:ascii="Arial" w:hAnsi="Arial" w:cs="Arial"/>
          <w:b/>
          <w:bCs/>
          <w:sz w:val="16"/>
          <w:szCs w:val="16"/>
          <w:lang w:val="en-IE"/>
        </w:rPr>
      </w:pPr>
    </w:p>
    <w:p w:rsidR="008C25B7" w:rsidRPr="00F91FC2" w:rsidRDefault="008C25B7" w:rsidP="00CD196B">
      <w:pPr>
        <w:tabs>
          <w:tab w:val="left" w:pos="360"/>
        </w:tabs>
        <w:ind w:left="720"/>
        <w:jc w:val="both"/>
        <w:rPr>
          <w:rFonts w:ascii="Arial" w:hAnsi="Arial" w:cs="Arial"/>
          <w:b/>
          <w:bCs/>
          <w:sz w:val="16"/>
          <w:szCs w:val="16"/>
          <w:lang w:val="en-IE"/>
        </w:rPr>
      </w:pPr>
      <w:r w:rsidRPr="00F91FC2">
        <w:rPr>
          <w:rFonts w:ascii="Arial" w:hAnsi="Arial" w:cs="Arial"/>
          <w:b/>
          <w:bCs/>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8C25B7" w:rsidRPr="00F91FC2" w:rsidRDefault="008C25B7" w:rsidP="00CD196B">
      <w:pPr>
        <w:tabs>
          <w:tab w:val="left" w:pos="360"/>
        </w:tabs>
        <w:ind w:left="720" w:hanging="360"/>
        <w:jc w:val="both"/>
        <w:rPr>
          <w:rFonts w:ascii="Arial" w:hAnsi="Arial" w:cs="Arial"/>
          <w:b/>
          <w:bCs/>
          <w:sz w:val="16"/>
          <w:szCs w:val="16"/>
          <w:lang w:val="en-IE"/>
        </w:rPr>
      </w:pPr>
    </w:p>
    <w:p w:rsidR="008C25B7" w:rsidRPr="00F91FC2" w:rsidRDefault="008C25B7" w:rsidP="00CD196B">
      <w:pPr>
        <w:tabs>
          <w:tab w:val="left" w:pos="360"/>
        </w:tabs>
        <w:ind w:left="1080" w:hanging="360"/>
        <w:jc w:val="both"/>
        <w:rPr>
          <w:rFonts w:ascii="Arial" w:hAnsi="Arial" w:cs="Arial"/>
          <w:b/>
          <w:bCs/>
          <w:sz w:val="16"/>
          <w:szCs w:val="16"/>
          <w:lang w:val="en-IE"/>
        </w:rPr>
      </w:pPr>
      <w:r w:rsidRPr="00F91FC2">
        <w:rPr>
          <w:rFonts w:ascii="Arial" w:hAnsi="Arial" w:cs="Arial"/>
          <w:b/>
          <w:bCs/>
          <w:sz w:val="16"/>
          <w:szCs w:val="16"/>
          <w:lang w:val="en-IE"/>
        </w:rPr>
        <w:t>1.</w:t>
      </w:r>
      <w:r w:rsidRPr="00F91FC2">
        <w:rPr>
          <w:rFonts w:ascii="Arial" w:hAnsi="Arial" w:cs="Arial"/>
          <w:b/>
          <w:bCs/>
          <w:sz w:val="16"/>
          <w:szCs w:val="16"/>
          <w:lang w:val="en-IE"/>
        </w:rPr>
        <w:tab/>
        <w:t>I hereby grant a worldwide, perpetual, royalty-free, non-exclusive licence:</w:t>
      </w:r>
    </w:p>
    <w:p w:rsidR="008C25B7" w:rsidRPr="00F91FC2" w:rsidRDefault="008C25B7" w:rsidP="00CD196B">
      <w:pPr>
        <w:tabs>
          <w:tab w:val="left" w:pos="360"/>
        </w:tabs>
        <w:ind w:left="1080" w:hanging="360"/>
        <w:jc w:val="both"/>
        <w:rPr>
          <w:rFonts w:ascii="Arial" w:hAnsi="Arial" w:cs="Arial"/>
          <w:b/>
          <w:bCs/>
          <w:sz w:val="16"/>
          <w:szCs w:val="16"/>
          <w:lang w:val="en-IE"/>
        </w:rPr>
      </w:pPr>
    </w:p>
    <w:p w:rsidR="008C25B7" w:rsidRPr="00F91FC2" w:rsidRDefault="008C25B7" w:rsidP="00CD196B">
      <w:pPr>
        <w:numPr>
          <w:ilvl w:val="1"/>
          <w:numId w:val="4"/>
        </w:numPr>
        <w:tabs>
          <w:tab w:val="left" w:pos="360"/>
        </w:tabs>
        <w:overflowPunct/>
        <w:autoSpaceDE/>
        <w:adjustRightInd/>
        <w:ind w:left="1440"/>
        <w:jc w:val="both"/>
        <w:textAlignment w:val="auto"/>
        <w:rPr>
          <w:rFonts w:ascii="Arial" w:hAnsi="Arial" w:cs="Arial"/>
          <w:b/>
          <w:bCs/>
          <w:sz w:val="16"/>
          <w:szCs w:val="16"/>
          <w:lang w:val="en-IE"/>
        </w:rPr>
      </w:pPr>
      <w:r w:rsidRPr="00F91FC2">
        <w:rPr>
          <w:rFonts w:ascii="Arial" w:hAnsi="Arial" w:cs="Arial"/>
          <w:b/>
          <w:bCs/>
          <w:sz w:val="16"/>
          <w:szCs w:val="16"/>
          <w:lang w:val="en-IE"/>
        </w:rPr>
        <w:t>to the Market Operator and the Regulatory Authorities to publish and/or distribute the Modification Proposal for free and unrestricted access;</w:t>
      </w:r>
    </w:p>
    <w:p w:rsidR="008C25B7" w:rsidRPr="00F91FC2" w:rsidRDefault="008C25B7" w:rsidP="00CD196B">
      <w:pPr>
        <w:tabs>
          <w:tab w:val="left" w:pos="360"/>
        </w:tabs>
        <w:ind w:left="1440" w:hanging="360"/>
        <w:jc w:val="both"/>
        <w:rPr>
          <w:rFonts w:ascii="Arial" w:hAnsi="Arial" w:cs="Arial"/>
          <w:b/>
          <w:bCs/>
          <w:sz w:val="16"/>
          <w:szCs w:val="16"/>
          <w:lang w:val="en-IE"/>
        </w:rPr>
      </w:pPr>
    </w:p>
    <w:p w:rsidR="008C25B7" w:rsidRPr="00F91FC2" w:rsidRDefault="008C25B7" w:rsidP="00CD196B">
      <w:pPr>
        <w:numPr>
          <w:ilvl w:val="1"/>
          <w:numId w:val="4"/>
        </w:numPr>
        <w:tabs>
          <w:tab w:val="left" w:pos="360"/>
        </w:tabs>
        <w:overflowPunct/>
        <w:autoSpaceDE/>
        <w:adjustRightInd/>
        <w:ind w:left="1440"/>
        <w:jc w:val="both"/>
        <w:textAlignment w:val="auto"/>
        <w:rPr>
          <w:rFonts w:ascii="Arial" w:hAnsi="Arial" w:cs="Arial"/>
          <w:b/>
          <w:bCs/>
          <w:sz w:val="16"/>
          <w:szCs w:val="16"/>
          <w:lang w:val="en-IE"/>
        </w:rPr>
      </w:pPr>
      <w:r w:rsidRPr="00F91FC2">
        <w:rPr>
          <w:rFonts w:ascii="Arial" w:hAnsi="Arial" w:cs="Arial"/>
          <w:b/>
          <w:bCs/>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8C25B7" w:rsidRPr="00F91FC2" w:rsidRDefault="008C25B7" w:rsidP="00CD196B">
      <w:pPr>
        <w:tabs>
          <w:tab w:val="left" w:pos="360"/>
        </w:tabs>
        <w:ind w:left="1440" w:hanging="360"/>
        <w:jc w:val="both"/>
        <w:rPr>
          <w:rFonts w:ascii="Arial" w:hAnsi="Arial" w:cs="Arial"/>
          <w:b/>
          <w:bCs/>
          <w:sz w:val="16"/>
          <w:szCs w:val="16"/>
          <w:lang w:val="en-IE"/>
        </w:rPr>
      </w:pPr>
    </w:p>
    <w:p w:rsidR="008C25B7" w:rsidRPr="00F91FC2" w:rsidRDefault="008C25B7" w:rsidP="00CD196B">
      <w:pPr>
        <w:numPr>
          <w:ilvl w:val="1"/>
          <w:numId w:val="4"/>
        </w:numPr>
        <w:tabs>
          <w:tab w:val="left" w:pos="360"/>
        </w:tabs>
        <w:overflowPunct/>
        <w:autoSpaceDE/>
        <w:adjustRightInd/>
        <w:ind w:left="1440"/>
        <w:jc w:val="both"/>
        <w:textAlignment w:val="auto"/>
        <w:rPr>
          <w:rFonts w:ascii="Arial" w:hAnsi="Arial" w:cs="Arial"/>
          <w:b/>
          <w:bCs/>
          <w:sz w:val="16"/>
          <w:szCs w:val="16"/>
          <w:lang w:val="en-IE"/>
        </w:rPr>
      </w:pPr>
      <w:r w:rsidRPr="00F91FC2">
        <w:rPr>
          <w:rFonts w:ascii="Arial" w:hAnsi="Arial" w:cs="Arial"/>
          <w:b/>
          <w:bCs/>
          <w:sz w:val="16"/>
          <w:szCs w:val="16"/>
          <w:lang w:val="en-IE"/>
        </w:rPr>
        <w:t>to the Market Operator and the Regulatory Authorities to incorporate the Modification Proposal into the Code;</w:t>
      </w:r>
    </w:p>
    <w:p w:rsidR="008C25B7" w:rsidRPr="00F91FC2" w:rsidRDefault="008C25B7" w:rsidP="00CD196B">
      <w:pPr>
        <w:tabs>
          <w:tab w:val="left" w:pos="360"/>
        </w:tabs>
        <w:ind w:left="1440" w:hanging="360"/>
        <w:jc w:val="both"/>
        <w:rPr>
          <w:rFonts w:ascii="Arial" w:hAnsi="Arial" w:cs="Arial"/>
          <w:b/>
          <w:bCs/>
          <w:sz w:val="16"/>
          <w:szCs w:val="16"/>
          <w:lang w:val="en-IE"/>
        </w:rPr>
      </w:pPr>
    </w:p>
    <w:p w:rsidR="008C25B7" w:rsidRPr="00F91FC2" w:rsidRDefault="008C25B7" w:rsidP="00CD196B">
      <w:pPr>
        <w:tabs>
          <w:tab w:val="left" w:pos="360"/>
        </w:tabs>
        <w:ind w:left="1440" w:hanging="360"/>
        <w:jc w:val="both"/>
        <w:rPr>
          <w:rFonts w:ascii="Arial" w:hAnsi="Arial" w:cs="Arial"/>
          <w:b/>
          <w:bCs/>
          <w:sz w:val="16"/>
          <w:szCs w:val="16"/>
          <w:lang w:val="en-IE"/>
        </w:rPr>
      </w:pPr>
      <w:r w:rsidRPr="00F91FC2">
        <w:rPr>
          <w:rFonts w:ascii="Arial" w:hAnsi="Arial" w:cs="Arial"/>
          <w:b/>
          <w:bCs/>
          <w:sz w:val="16"/>
          <w:szCs w:val="16"/>
          <w:lang w:val="en-IE"/>
        </w:rPr>
        <w:t>1.4</w:t>
      </w:r>
      <w:r w:rsidRPr="00F91FC2">
        <w:rPr>
          <w:rFonts w:ascii="Arial" w:hAnsi="Arial" w:cs="Arial"/>
          <w:b/>
          <w:bCs/>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8C25B7" w:rsidRPr="00F91FC2" w:rsidRDefault="008C25B7" w:rsidP="00CD196B">
      <w:pPr>
        <w:tabs>
          <w:tab w:val="left" w:pos="360"/>
        </w:tabs>
        <w:ind w:left="1440" w:hanging="360"/>
        <w:jc w:val="both"/>
        <w:rPr>
          <w:rFonts w:ascii="Arial" w:hAnsi="Arial" w:cs="Arial"/>
          <w:b/>
          <w:bCs/>
          <w:sz w:val="16"/>
          <w:szCs w:val="16"/>
          <w:lang w:val="en-IE"/>
        </w:rPr>
      </w:pPr>
    </w:p>
    <w:p w:rsidR="008C25B7" w:rsidRPr="00F91FC2" w:rsidRDefault="008C25B7" w:rsidP="00CD196B">
      <w:pPr>
        <w:tabs>
          <w:tab w:val="left" w:pos="360"/>
        </w:tabs>
        <w:ind w:left="1080" w:hanging="360"/>
        <w:jc w:val="both"/>
        <w:rPr>
          <w:rFonts w:ascii="Arial" w:hAnsi="Arial" w:cs="Arial"/>
          <w:b/>
          <w:bCs/>
          <w:sz w:val="16"/>
          <w:szCs w:val="16"/>
          <w:lang w:val="en-IE"/>
        </w:rPr>
      </w:pPr>
      <w:r w:rsidRPr="00F91FC2">
        <w:rPr>
          <w:rFonts w:ascii="Arial" w:hAnsi="Arial" w:cs="Arial"/>
          <w:b/>
          <w:bCs/>
          <w:sz w:val="16"/>
          <w:szCs w:val="16"/>
          <w:lang w:val="en-IE"/>
        </w:rPr>
        <w:t>2.</w:t>
      </w:r>
      <w:r w:rsidRPr="00F91FC2">
        <w:rPr>
          <w:rFonts w:ascii="Arial" w:hAnsi="Arial" w:cs="Arial"/>
          <w:b/>
          <w:bCs/>
          <w:sz w:val="16"/>
          <w:szCs w:val="16"/>
          <w:lang w:val="en-IE"/>
        </w:rPr>
        <w:tab/>
        <w:t>The licences set out in clause 1 shall equally apply to any Derivative Works.</w:t>
      </w:r>
    </w:p>
    <w:p w:rsidR="008C25B7" w:rsidRPr="00F91FC2" w:rsidRDefault="008C25B7" w:rsidP="00CD196B">
      <w:pPr>
        <w:tabs>
          <w:tab w:val="left" w:pos="360"/>
        </w:tabs>
        <w:ind w:left="1080" w:hanging="360"/>
        <w:jc w:val="both"/>
        <w:rPr>
          <w:rFonts w:ascii="Arial" w:hAnsi="Arial" w:cs="Arial"/>
          <w:b/>
          <w:bCs/>
          <w:sz w:val="16"/>
          <w:szCs w:val="16"/>
          <w:lang w:val="en-IE"/>
        </w:rPr>
      </w:pPr>
    </w:p>
    <w:p w:rsidR="008C25B7" w:rsidRPr="00F91FC2" w:rsidRDefault="008C25B7" w:rsidP="00CD196B">
      <w:pPr>
        <w:tabs>
          <w:tab w:val="left" w:pos="360"/>
        </w:tabs>
        <w:ind w:left="1080" w:hanging="360"/>
        <w:jc w:val="both"/>
        <w:rPr>
          <w:rFonts w:ascii="Arial" w:hAnsi="Arial" w:cs="Arial"/>
          <w:b/>
          <w:bCs/>
          <w:sz w:val="16"/>
          <w:szCs w:val="16"/>
          <w:lang w:val="en-IE"/>
        </w:rPr>
      </w:pPr>
      <w:r w:rsidRPr="00F91FC2">
        <w:rPr>
          <w:rFonts w:ascii="Arial" w:hAnsi="Arial" w:cs="Arial"/>
          <w:b/>
          <w:bCs/>
          <w:sz w:val="16"/>
          <w:szCs w:val="16"/>
          <w:lang w:val="en-IE"/>
        </w:rPr>
        <w:t>3.</w:t>
      </w:r>
      <w:r w:rsidRPr="00F91FC2">
        <w:rPr>
          <w:rFonts w:ascii="Arial" w:hAnsi="Arial" w:cs="Arial"/>
          <w:b/>
          <w:bCs/>
          <w:sz w:val="16"/>
          <w:szCs w:val="16"/>
          <w:lang w:val="en-IE"/>
        </w:rPr>
        <w:tab/>
        <w:t>I hereby waive in favour of the Parties to the Code and the Regulatory Authorities any and all moral rights I may have arising out of or in connection with the Modification Proposal or any Derivative Works.</w:t>
      </w:r>
    </w:p>
    <w:p w:rsidR="008C25B7" w:rsidRPr="00F91FC2" w:rsidRDefault="008C25B7" w:rsidP="00CD196B">
      <w:pPr>
        <w:tabs>
          <w:tab w:val="left" w:pos="360"/>
        </w:tabs>
        <w:ind w:left="1080" w:hanging="360"/>
        <w:jc w:val="both"/>
        <w:rPr>
          <w:rFonts w:ascii="Arial" w:hAnsi="Arial" w:cs="Arial"/>
          <w:b/>
          <w:bCs/>
          <w:sz w:val="16"/>
          <w:szCs w:val="16"/>
          <w:lang w:val="en-IE"/>
        </w:rPr>
      </w:pPr>
    </w:p>
    <w:p w:rsidR="008C25B7" w:rsidRPr="00F91FC2" w:rsidRDefault="008C25B7" w:rsidP="00CD196B">
      <w:pPr>
        <w:tabs>
          <w:tab w:val="left" w:pos="360"/>
        </w:tabs>
        <w:ind w:left="1080" w:hanging="360"/>
        <w:jc w:val="both"/>
        <w:rPr>
          <w:rFonts w:ascii="Arial" w:hAnsi="Arial" w:cs="Arial"/>
          <w:b/>
          <w:bCs/>
          <w:sz w:val="16"/>
          <w:szCs w:val="16"/>
          <w:lang w:val="en-IE"/>
        </w:rPr>
      </w:pPr>
      <w:r w:rsidRPr="00F91FC2">
        <w:rPr>
          <w:rFonts w:ascii="Arial" w:hAnsi="Arial" w:cs="Arial"/>
          <w:b/>
          <w:bCs/>
          <w:sz w:val="16"/>
          <w:szCs w:val="16"/>
          <w:lang w:val="en-IE"/>
        </w:rPr>
        <w:t>4.</w:t>
      </w:r>
      <w:r w:rsidRPr="00F91FC2">
        <w:rPr>
          <w:rFonts w:ascii="Arial" w:hAnsi="Arial" w:cs="Arial"/>
          <w:b/>
          <w:bCs/>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8C25B7" w:rsidRPr="00F91FC2" w:rsidRDefault="008C25B7" w:rsidP="00CD196B">
      <w:pPr>
        <w:tabs>
          <w:tab w:val="left" w:pos="360"/>
        </w:tabs>
        <w:ind w:left="1080" w:hanging="360"/>
        <w:jc w:val="both"/>
        <w:rPr>
          <w:rFonts w:ascii="Arial" w:hAnsi="Arial" w:cs="Arial"/>
          <w:b/>
          <w:bCs/>
          <w:sz w:val="16"/>
          <w:szCs w:val="16"/>
          <w:lang w:val="en-IE"/>
        </w:rPr>
      </w:pPr>
    </w:p>
    <w:p w:rsidR="008C25B7" w:rsidRPr="00F91FC2" w:rsidRDefault="008C25B7" w:rsidP="00CD196B">
      <w:pPr>
        <w:tabs>
          <w:tab w:val="left" w:pos="360"/>
        </w:tabs>
        <w:ind w:left="1080" w:hanging="360"/>
        <w:jc w:val="both"/>
        <w:rPr>
          <w:rFonts w:ascii="Arial" w:hAnsi="Arial" w:cs="Arial"/>
          <w:b/>
          <w:bCs/>
          <w:sz w:val="16"/>
          <w:szCs w:val="16"/>
          <w:lang w:val="en-IE"/>
        </w:rPr>
      </w:pPr>
      <w:r w:rsidRPr="00F91FC2">
        <w:rPr>
          <w:rFonts w:ascii="Arial" w:hAnsi="Arial" w:cs="Arial"/>
          <w:b/>
          <w:bCs/>
          <w:sz w:val="16"/>
          <w:szCs w:val="16"/>
          <w:lang w:val="en-IE"/>
        </w:rPr>
        <w:t>5.</w:t>
      </w:r>
      <w:r w:rsidRPr="00F91FC2">
        <w:rPr>
          <w:rFonts w:ascii="Arial" w:hAnsi="Arial" w:cs="Arial"/>
          <w:b/>
          <w:bCs/>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8C25B7" w:rsidRPr="004268C9" w:rsidRDefault="008C25B7" w:rsidP="00CD196B">
      <w:pPr>
        <w:pStyle w:val="Body1"/>
        <w:tabs>
          <w:tab w:val="left" w:pos="360"/>
        </w:tabs>
        <w:ind w:left="720"/>
        <w:jc w:val="both"/>
        <w:rPr>
          <w:rFonts w:ascii="Arial" w:hAnsi="Arial" w:cs="Arial"/>
          <w:sz w:val="16"/>
          <w:szCs w:val="16"/>
          <w:lang w:val="en-IE"/>
        </w:rPr>
      </w:pPr>
    </w:p>
    <w:p w:rsidR="008C25B7" w:rsidRPr="004268C9" w:rsidRDefault="008C25B7" w:rsidP="00CD196B">
      <w:pPr>
        <w:pStyle w:val="Body1"/>
        <w:tabs>
          <w:tab w:val="left" w:pos="360"/>
        </w:tabs>
        <w:ind w:left="720"/>
        <w:jc w:val="both"/>
        <w:rPr>
          <w:rFonts w:ascii="Arial" w:hAnsi="Arial" w:cs="Arial"/>
          <w:sz w:val="16"/>
          <w:szCs w:val="16"/>
          <w:lang w:val="en-IE"/>
        </w:rPr>
      </w:pPr>
    </w:p>
    <w:p w:rsidR="008C25B7" w:rsidRDefault="008C25B7"/>
    <w:sectPr w:rsidR="008C25B7" w:rsidSect="00376C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AED02E"/>
    <w:lvl w:ilvl="0">
      <w:start w:val="1"/>
      <w:numFmt w:val="bullet"/>
      <w:lvlText w:val=""/>
      <w:lvlJc w:val="left"/>
      <w:pPr>
        <w:tabs>
          <w:tab w:val="num" w:pos="360"/>
        </w:tabs>
        <w:ind w:left="360" w:hanging="360"/>
      </w:pPr>
      <w:rPr>
        <w:rFonts w:ascii="Symbol" w:hAnsi="Symbol" w:cs="Symbol" w:hint="default"/>
      </w:rPr>
    </w:lvl>
  </w:abstractNum>
  <w:abstractNum w:abstractNumId="1">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72B038D"/>
    <w:multiLevelType w:val="multilevel"/>
    <w:tmpl w:val="B9D6CDAA"/>
    <w:lvl w:ilvl="0">
      <w:start w:val="1"/>
      <w:numFmt w:val="decimal"/>
      <w:pStyle w:val="APNUMHEAD1"/>
      <w:lvlText w:val="%1."/>
      <w:lvlJc w:val="left"/>
      <w:pPr>
        <w:tabs>
          <w:tab w:val="num" w:pos="851"/>
        </w:tabs>
        <w:ind w:left="851" w:hanging="851"/>
      </w:pPr>
      <w:rPr>
        <w:rFonts w:ascii="Arial" w:hAnsi="Arial" w:cs="Arial" w:hint="default"/>
        <w:b/>
        <w:bCs/>
        <w:i w:val="0"/>
        <w:iCs w:val="0"/>
        <w:sz w:val="28"/>
        <w:szCs w:val="28"/>
      </w:rPr>
    </w:lvl>
    <w:lvl w:ilvl="1">
      <w:start w:val="1"/>
      <w:numFmt w:val="decimal"/>
      <w:pStyle w:val="APNUMHEAD2"/>
      <w:lvlText w:val="%1.%2"/>
      <w:lvlJc w:val="left"/>
      <w:pPr>
        <w:tabs>
          <w:tab w:val="num" w:pos="851"/>
        </w:tabs>
        <w:ind w:left="851" w:hanging="851"/>
      </w:pPr>
      <w:rPr>
        <w:rFonts w:ascii="Arial" w:hAnsi="Arial" w:cs="Arial" w:hint="default"/>
        <w:b/>
        <w:bCs/>
        <w:i w:val="0"/>
        <w:iCs w:val="0"/>
        <w:sz w:val="24"/>
        <w:szCs w:val="24"/>
      </w:rPr>
    </w:lvl>
    <w:lvl w:ilvl="2">
      <w:start w:val="1"/>
      <w:numFmt w:val="decimal"/>
      <w:pStyle w:val="APNUMHEAD3"/>
      <w:lvlText w:val="%1.%2.%3"/>
      <w:lvlJc w:val="left"/>
      <w:pPr>
        <w:tabs>
          <w:tab w:val="num" w:pos="851"/>
        </w:tabs>
        <w:ind w:left="851" w:hanging="851"/>
      </w:pPr>
      <w:rPr>
        <w:rFonts w:ascii="Arial" w:hAnsi="Arial" w:cs="Arial" w:hint="default"/>
        <w:b/>
        <w:bCs/>
        <w:i w:val="0"/>
        <w:iCs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Arial Bold" w:hint="default"/>
        <w:b/>
        <w:bCs/>
        <w:i w:val="0"/>
        <w:iCs w:val="0"/>
        <w:color w:val="000000"/>
        <w:sz w:val="24"/>
        <w:szCs w:val="24"/>
      </w:rPr>
    </w:lvl>
    <w:lvl w:ilvl="4">
      <w:start w:val="1"/>
      <w:numFmt w:val="decimal"/>
      <w:lvlText w:val="%1.%2.%3.%4.%5."/>
      <w:lvlJc w:val="left"/>
      <w:pPr>
        <w:tabs>
          <w:tab w:val="num" w:pos="3063"/>
        </w:tabs>
        <w:ind w:left="2775" w:hanging="792"/>
      </w:pPr>
      <w:rPr>
        <w:rFonts w:hint="default"/>
      </w:rPr>
    </w:lvl>
    <w:lvl w:ilvl="5">
      <w:start w:val="1"/>
      <w:numFmt w:val="decimal"/>
      <w:lvlText w:val="%1.%2.%3.%4.%5.%6."/>
      <w:lvlJc w:val="left"/>
      <w:pPr>
        <w:tabs>
          <w:tab w:val="num" w:pos="3783"/>
        </w:tabs>
        <w:ind w:left="3279" w:hanging="936"/>
      </w:pPr>
      <w:rPr>
        <w:rFonts w:hint="default"/>
      </w:rPr>
    </w:lvl>
    <w:lvl w:ilvl="6">
      <w:start w:val="1"/>
      <w:numFmt w:val="decimal"/>
      <w:lvlText w:val="%1.%2.%3.%4.%5.%6.%7."/>
      <w:lvlJc w:val="left"/>
      <w:pPr>
        <w:tabs>
          <w:tab w:val="num" w:pos="4143"/>
        </w:tabs>
        <w:ind w:left="3783" w:hanging="1080"/>
      </w:pPr>
      <w:rPr>
        <w:rFonts w:hint="default"/>
      </w:rPr>
    </w:lvl>
    <w:lvl w:ilvl="7">
      <w:start w:val="1"/>
      <w:numFmt w:val="decimal"/>
      <w:lvlText w:val="%1.%2.%3.%4.%5.%6.%7.%8."/>
      <w:lvlJc w:val="left"/>
      <w:pPr>
        <w:tabs>
          <w:tab w:val="num" w:pos="4863"/>
        </w:tabs>
        <w:ind w:left="4287" w:hanging="1224"/>
      </w:pPr>
      <w:rPr>
        <w:rFonts w:hint="default"/>
      </w:rPr>
    </w:lvl>
    <w:lvl w:ilvl="8">
      <w:start w:val="1"/>
      <w:numFmt w:val="decimal"/>
      <w:lvlText w:val="%1.%2.%3.%4.%5.%6.%7.%8.%9."/>
      <w:lvlJc w:val="left"/>
      <w:pPr>
        <w:tabs>
          <w:tab w:val="num" w:pos="5223"/>
        </w:tabs>
        <w:ind w:left="4863" w:hanging="1440"/>
      </w:pPr>
      <w:rPr>
        <w:rFonts w:hint="default"/>
      </w:rPr>
    </w:lvl>
  </w:abstractNum>
  <w:abstractNum w:abstractNumId="3">
    <w:nsid w:val="2B7C5F3E"/>
    <w:multiLevelType w:val="multilevel"/>
    <w:tmpl w:val="2102C512"/>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3C41662"/>
    <w:multiLevelType w:val="hybridMultilevel"/>
    <w:tmpl w:val="E92E0BBE"/>
    <w:lvl w:ilvl="0" w:tplc="A1A81AA0">
      <w:start w:val="2"/>
      <w:numFmt w:val="decimal"/>
      <w:pStyle w:val="CERNUMBERBULLET"/>
      <w:lvlText w:val="%1."/>
      <w:lvlJc w:val="left"/>
      <w:pPr>
        <w:tabs>
          <w:tab w:val="num" w:pos="540"/>
        </w:tabs>
        <w:ind w:left="1107" w:hanging="567"/>
      </w:pPr>
      <w:rPr>
        <w:rFonts w:hint="default"/>
      </w:rPr>
    </w:lvl>
    <w:lvl w:ilvl="1" w:tplc="0809000F">
      <w:start w:val="1"/>
      <w:numFmt w:val="lowerLetter"/>
      <w:lvlText w:val="%2."/>
      <w:lvlJc w:val="left"/>
      <w:pPr>
        <w:tabs>
          <w:tab w:val="num" w:pos="1080"/>
        </w:tabs>
        <w:ind w:left="1080" w:hanging="360"/>
      </w:pPr>
    </w:lvl>
    <w:lvl w:ilvl="2" w:tplc="0809000F">
      <w:start w:val="1"/>
      <w:numFmt w:val="decimal"/>
      <w:lvlText w:val="%3."/>
      <w:lvlJc w:val="left"/>
      <w:pPr>
        <w:tabs>
          <w:tab w:val="num" w:pos="1980"/>
        </w:tabs>
        <w:ind w:left="1980" w:hanging="360"/>
      </w:pPr>
      <w:rPr>
        <w:rFonts w:hint="default"/>
      </w:rPr>
    </w:lvl>
    <w:lvl w:ilvl="3" w:tplc="15A23498">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nsid w:val="40052FB3"/>
    <w:multiLevelType w:val="hybridMultilevel"/>
    <w:tmpl w:val="7F0A2878"/>
    <w:lvl w:ilvl="0" w:tplc="2094366E">
      <w:start w:val="1"/>
      <w:numFmt w:val="bullet"/>
      <w:pStyle w:val="CERNONINDENTBULLET"/>
      <w:lvlText w:val=""/>
      <w:lvlJc w:val="left"/>
      <w:pPr>
        <w:tabs>
          <w:tab w:val="num" w:pos="425"/>
        </w:tabs>
        <w:ind w:left="425" w:hanging="425"/>
      </w:pPr>
      <w:rPr>
        <w:rFonts w:ascii="Wingdings 2" w:hAnsi="Wingdings 2" w:cs="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5CC64F76"/>
    <w:multiLevelType w:val="hybridMultilevel"/>
    <w:tmpl w:val="35F0A0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96B"/>
    <w:rsid w:val="001218D6"/>
    <w:rsid w:val="002C7EC3"/>
    <w:rsid w:val="00376CDF"/>
    <w:rsid w:val="003F0CA9"/>
    <w:rsid w:val="004268C9"/>
    <w:rsid w:val="004F2CC1"/>
    <w:rsid w:val="00544A1C"/>
    <w:rsid w:val="00595228"/>
    <w:rsid w:val="0066196E"/>
    <w:rsid w:val="006F5976"/>
    <w:rsid w:val="00732B98"/>
    <w:rsid w:val="007A3624"/>
    <w:rsid w:val="007B71B2"/>
    <w:rsid w:val="008C25B7"/>
    <w:rsid w:val="00941647"/>
    <w:rsid w:val="00997895"/>
    <w:rsid w:val="009C5736"/>
    <w:rsid w:val="00A22525"/>
    <w:rsid w:val="00AB17DE"/>
    <w:rsid w:val="00AB24B3"/>
    <w:rsid w:val="00AF204D"/>
    <w:rsid w:val="00C23803"/>
    <w:rsid w:val="00C83CA3"/>
    <w:rsid w:val="00CD196B"/>
    <w:rsid w:val="00D12E8E"/>
    <w:rsid w:val="00DE0AC6"/>
    <w:rsid w:val="00DE795D"/>
    <w:rsid w:val="00F81A2F"/>
    <w:rsid w:val="00F91FC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6B"/>
    <w:pPr>
      <w:overflowPunct w:val="0"/>
      <w:autoSpaceDE w:val="0"/>
      <w:autoSpaceDN w:val="0"/>
      <w:adjustRightInd w:val="0"/>
      <w:textAlignment w:val="baseline"/>
    </w:pPr>
    <w:rPr>
      <w:sz w:val="20"/>
      <w:szCs w:val="20"/>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D196B"/>
    <w:rPr>
      <w:color w:val="0000FF"/>
      <w:u w:val="single"/>
    </w:rPr>
  </w:style>
  <w:style w:type="table" w:styleId="TableGrid">
    <w:name w:val="Table Grid"/>
    <w:basedOn w:val="TableNormal"/>
    <w:uiPriority w:val="99"/>
    <w:rsid w:val="00CD19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basedOn w:val="Normal"/>
    <w:uiPriority w:val="99"/>
    <w:rsid w:val="00CD196B"/>
    <w:pPr>
      <w:keepLines/>
      <w:spacing w:before="60" w:after="60"/>
    </w:pPr>
    <w:rPr>
      <w:sz w:val="22"/>
      <w:szCs w:val="22"/>
    </w:rPr>
  </w:style>
  <w:style w:type="paragraph" w:customStyle="1" w:styleId="CERNONINDENTBULLET">
    <w:name w:val="CER NON INDENT BULLET"/>
    <w:basedOn w:val="ListBullet"/>
    <w:uiPriority w:val="99"/>
    <w:rsid w:val="00941647"/>
    <w:pPr>
      <w:numPr>
        <w:numId w:val="5"/>
      </w:numPr>
      <w:overflowPunct/>
      <w:autoSpaceDE/>
      <w:autoSpaceDN/>
      <w:adjustRightInd/>
      <w:spacing w:after="120"/>
      <w:textAlignment w:val="auto"/>
    </w:pPr>
    <w:rPr>
      <w:rFonts w:ascii="Arial" w:hAnsi="Arial" w:cs="Arial"/>
      <w:color w:val="000000"/>
      <w:sz w:val="22"/>
      <w:szCs w:val="22"/>
      <w:lang w:val="en-GB" w:eastAsia="en-US"/>
    </w:rPr>
  </w:style>
  <w:style w:type="paragraph" w:styleId="ListBullet">
    <w:name w:val="List Bullet"/>
    <w:basedOn w:val="Normal"/>
    <w:uiPriority w:val="99"/>
    <w:rsid w:val="00941647"/>
    <w:pPr>
      <w:numPr>
        <w:numId w:val="3"/>
      </w:numPr>
      <w:tabs>
        <w:tab w:val="clear" w:pos="720"/>
        <w:tab w:val="num" w:pos="425"/>
      </w:tabs>
      <w:ind w:left="425" w:hanging="425"/>
    </w:pPr>
  </w:style>
  <w:style w:type="paragraph" w:styleId="ListParagraph">
    <w:name w:val="List Paragraph"/>
    <w:basedOn w:val="Normal"/>
    <w:uiPriority w:val="99"/>
    <w:qFormat/>
    <w:rsid w:val="00AF204D"/>
    <w:pPr>
      <w:ind w:left="720"/>
    </w:pPr>
  </w:style>
  <w:style w:type="paragraph" w:customStyle="1" w:styleId="APNUMHEAD1">
    <w:name w:val="AP NUM HEAD 1"/>
    <w:uiPriority w:val="99"/>
    <w:rsid w:val="00AF204D"/>
    <w:pPr>
      <w:keepNext/>
      <w:pageBreakBefore/>
      <w:numPr>
        <w:numId w:val="6"/>
      </w:numPr>
      <w:spacing w:before="60" w:after="180"/>
    </w:pPr>
    <w:rPr>
      <w:rFonts w:ascii="Arial" w:hAnsi="Arial" w:cs="Arial"/>
      <w:b/>
      <w:bCs/>
      <w:caps/>
      <w:sz w:val="28"/>
      <w:szCs w:val="28"/>
      <w:lang w:eastAsia="en-US"/>
    </w:rPr>
  </w:style>
  <w:style w:type="paragraph" w:customStyle="1" w:styleId="APNUMHEAD2">
    <w:name w:val="AP NUM HEAD 2"/>
    <w:uiPriority w:val="99"/>
    <w:rsid w:val="00AF204D"/>
    <w:pPr>
      <w:keepNext/>
      <w:numPr>
        <w:ilvl w:val="1"/>
        <w:numId w:val="6"/>
      </w:numPr>
      <w:spacing w:before="240" w:after="120"/>
    </w:pPr>
    <w:rPr>
      <w:rFonts w:ascii="Arial" w:hAnsi="Arial" w:cs="Arial"/>
      <w:b/>
      <w:bCs/>
      <w:caps/>
      <w:sz w:val="24"/>
      <w:szCs w:val="24"/>
      <w:lang w:eastAsia="en-US"/>
    </w:rPr>
  </w:style>
  <w:style w:type="paragraph" w:customStyle="1" w:styleId="APNUMHEAD3">
    <w:name w:val="AP NUM HEAD 3"/>
    <w:next w:val="Normal"/>
    <w:link w:val="APNUMHEAD3Char"/>
    <w:uiPriority w:val="99"/>
    <w:rsid w:val="00AF204D"/>
    <w:pPr>
      <w:keepNext/>
      <w:numPr>
        <w:ilvl w:val="2"/>
        <w:numId w:val="6"/>
      </w:numPr>
      <w:spacing w:before="120" w:after="120"/>
    </w:pPr>
    <w:rPr>
      <w:rFonts w:ascii="Arial" w:hAnsi="Arial" w:cs="Arial"/>
      <w:b/>
      <w:bCs/>
      <w:color w:val="000000"/>
      <w:sz w:val="24"/>
      <w:szCs w:val="24"/>
      <w:lang w:eastAsia="en-US"/>
    </w:rPr>
  </w:style>
  <w:style w:type="character" w:customStyle="1" w:styleId="APNUMHEAD3Char">
    <w:name w:val="AP NUM HEAD 3 Char"/>
    <w:basedOn w:val="DefaultParagraphFont"/>
    <w:link w:val="APNUMHEAD3"/>
    <w:uiPriority w:val="99"/>
    <w:locked/>
    <w:rsid w:val="00AF204D"/>
    <w:rPr>
      <w:rFonts w:ascii="Arial" w:hAnsi="Arial" w:cs="Arial"/>
      <w:b/>
      <w:bCs/>
      <w:color w:val="000000"/>
      <w:sz w:val="24"/>
      <w:szCs w:val="24"/>
      <w:lang w:eastAsia="en-US"/>
    </w:rPr>
  </w:style>
  <w:style w:type="paragraph" w:customStyle="1" w:styleId="APNUMHEAD4">
    <w:name w:val="AP NUM HEAD 4"/>
    <w:uiPriority w:val="99"/>
    <w:rsid w:val="00AF204D"/>
    <w:pPr>
      <w:numPr>
        <w:ilvl w:val="3"/>
        <w:numId w:val="6"/>
      </w:numPr>
    </w:pPr>
    <w:rPr>
      <w:rFonts w:ascii="Arial" w:hAnsi="Arial" w:cs="Arial"/>
      <w:b/>
      <w:bCs/>
      <w:color w:val="000000"/>
      <w:sz w:val="24"/>
      <w:szCs w:val="24"/>
      <w:lang w:eastAsia="en-US"/>
    </w:rPr>
  </w:style>
  <w:style w:type="paragraph" w:customStyle="1" w:styleId="CERnon-indent">
    <w:name w:val="CER non-indent"/>
    <w:basedOn w:val="Normal"/>
    <w:link w:val="CERnon-indentChar"/>
    <w:uiPriority w:val="99"/>
    <w:rsid w:val="00AF204D"/>
    <w:pPr>
      <w:tabs>
        <w:tab w:val="num" w:pos="851"/>
      </w:tabs>
      <w:overflowPunct/>
      <w:autoSpaceDE/>
      <w:autoSpaceDN/>
      <w:adjustRightInd/>
      <w:spacing w:before="120" w:after="120"/>
      <w:textAlignment w:val="auto"/>
    </w:pPr>
    <w:rPr>
      <w:rFonts w:ascii="Arial" w:hAnsi="Arial" w:cs="Arial"/>
      <w:color w:val="000000"/>
      <w:sz w:val="22"/>
      <w:szCs w:val="22"/>
      <w:lang w:val="en-GB" w:eastAsia="en-US"/>
    </w:rPr>
  </w:style>
  <w:style w:type="character" w:customStyle="1" w:styleId="CERnon-indentChar">
    <w:name w:val="CER non-indent Char"/>
    <w:basedOn w:val="DefaultParagraphFont"/>
    <w:link w:val="CERnon-indent"/>
    <w:uiPriority w:val="99"/>
    <w:locked/>
    <w:rsid w:val="00AF204D"/>
    <w:rPr>
      <w:rFonts w:ascii="Arial" w:hAnsi="Arial" w:cs="Arial"/>
      <w:color w:val="000000"/>
      <w:sz w:val="22"/>
      <w:szCs w:val="22"/>
      <w:lang w:val="en-GB" w:eastAsia="en-US"/>
    </w:rPr>
  </w:style>
  <w:style w:type="paragraph" w:customStyle="1" w:styleId="CERNUMBERBULLET">
    <w:name w:val="CER NUMBER BULLET"/>
    <w:link w:val="CERNUMBERBULLETChar1"/>
    <w:uiPriority w:val="99"/>
    <w:rsid w:val="006F5976"/>
    <w:pPr>
      <w:numPr>
        <w:numId w:val="8"/>
      </w:numPr>
      <w:spacing w:before="120" w:after="120"/>
      <w:jc w:val="both"/>
    </w:pPr>
    <w:rPr>
      <w:rFonts w:ascii="Arial" w:hAnsi="Arial" w:cs="Arial"/>
      <w:color w:val="000000"/>
      <w:lang w:eastAsia="en-US"/>
    </w:rPr>
  </w:style>
  <w:style w:type="character" w:customStyle="1" w:styleId="CERNUMBERBULLETChar1">
    <w:name w:val="CER NUMBER BULLET Char1"/>
    <w:basedOn w:val="DefaultParagraphFont"/>
    <w:link w:val="CERNUMBERBULLET"/>
    <w:uiPriority w:val="99"/>
    <w:locked/>
    <w:rsid w:val="006F5976"/>
    <w:rPr>
      <w:rFonts w:ascii="Arial" w:hAnsi="Arial" w:cs="Arial"/>
      <w:color w:val="00000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difications@sem-o.com" TargetMode="External"/><Relationship Id="rId11" Type="http://schemas.openxmlformats.org/officeDocument/2006/relationships/customXml" Target="../customXml/item3.xml"/><Relationship Id="rId5" Type="http://schemas.openxmlformats.org/officeDocument/2006/relationships/hyperlink" Target="mailto:Emeka.chukwureh@airtricity.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614</ModID>
    <FromMMT xmlns="f69c7b9a-bbed-41f8-b24c-bbeb71979adf">true</FromMMT>
    <MMTID xmlns="f69c7b9a-bbed-41f8-b24c-bbeb71979adf">941</MMTID>
  </documentManagement>
</p:properties>
</file>

<file path=customXml/itemProps1.xml><?xml version="1.0" encoding="utf-8"?>
<ds:datastoreItem xmlns:ds="http://schemas.openxmlformats.org/officeDocument/2006/customXml" ds:itemID="{F896D373-1DF0-4943-9B6D-C1E0ECD1FDA1}"/>
</file>

<file path=customXml/itemProps2.xml><?xml version="1.0" encoding="utf-8"?>
<ds:datastoreItem xmlns:ds="http://schemas.openxmlformats.org/officeDocument/2006/customXml" ds:itemID="{9D78D778-7D36-4B10-AF47-CBF501A37D64}"/>
</file>

<file path=customXml/itemProps3.xml><?xml version="1.0" encoding="utf-8"?>
<ds:datastoreItem xmlns:ds="http://schemas.openxmlformats.org/officeDocument/2006/customXml" ds:itemID="{CCDF854E-5E94-46BA-B3C2-6EF0D26B52DD}"/>
</file>

<file path=docProps/app.xml><?xml version="1.0" encoding="utf-8"?>
<Properties xmlns="http://schemas.openxmlformats.org/officeDocument/2006/extended-properties" xmlns:vt="http://schemas.openxmlformats.org/officeDocument/2006/docPropsVTypes">
  <Template>Normal_Wordconv</Template>
  <TotalTime>4</TotalTime>
  <Pages>4</Pages>
  <Words>1316</Words>
  <Characters>7506</Characters>
  <Application>Microsoft Office Outlook</Application>
  <DocSecurity>0</DocSecurity>
  <Lines>0</Lines>
  <Paragraphs>0</Paragraphs>
  <ScaleCrop>false</ScaleCrop>
  <Company>Eirgrid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MTC</dc:creator>
  <cp:keywords/>
  <dc:description>Use this form to submit a modification proposal</dc:description>
  <cp:lastModifiedBy>Aisling O'Donnell</cp:lastModifiedBy>
  <cp:revision>2</cp:revision>
  <dcterms:created xsi:type="dcterms:W3CDTF">2011-01-19T10:41:00Z</dcterms:created>
  <dcterms:modified xsi:type="dcterms:W3CDTF">2011-01-19T10:41:00Z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Other</vt:lpwstr>
  </property>
  <property fmtid="{D5CDD505-2E9C-101B-9397-08002B2CF9AE}" pid="3" name="FormName">
    <vt:lpwstr>Modification Proposal</vt:lpwstr>
  </property>
  <property fmtid="{D5CDD505-2E9C-101B-9397-08002B2CF9AE}" pid="4" name="FormCategory">
    <vt:lpwstr>Modifications Committee Meetings</vt:lpwstr>
  </property>
  <property fmtid="{D5CDD505-2E9C-101B-9397-08002B2CF9AE}" pid="5" name="ShowInCatalog">
    <vt:lpwstr>1</vt:lpwstr>
  </property>
  <property fmtid="{D5CDD505-2E9C-101B-9397-08002B2CF9AE}" pid="6" name="FormDescription">
    <vt:lpwstr>Template updated September 2009</vt:lpwstr>
  </property>
  <property fmtid="{D5CDD505-2E9C-101B-9397-08002B2CF9AE}" pid="7" name="_Author">
    <vt:lpwstr>MTC</vt:lpwstr>
  </property>
  <property fmtid="{D5CDD505-2E9C-101B-9397-08002B2CF9AE}" pid="8" name="ContentTypeId">
    <vt:lpwstr>0x010100269864AADB634B43A1DAFE75AB6B7AEA00E694DBD827E2A74DAF8DBA9CA236CE9A</vt:lpwstr>
  </property>
  <property fmtid="{D5CDD505-2E9C-101B-9397-08002B2CF9AE}" pid="9" name="display_urn:schemas-microsoft-com:office:office#Editor">
    <vt:lpwstr>System Account</vt:lpwstr>
  </property>
  <property fmtid="{D5CDD505-2E9C-101B-9397-08002B2CF9AE}" pid="10" name="display_urn:schemas-microsoft-com:office:office#Author">
    <vt:lpwstr>System Account</vt:lpwstr>
  </property>
  <property fmtid="{D5CDD505-2E9C-101B-9397-08002B2CF9AE}" pid="13" name="Mod ID">
    <vt:lpwstr>952</vt:lpwstr>
  </property>
  <property fmtid="{D5CDD505-2E9C-101B-9397-08002B2CF9AE}" pid="14" name="Year of Modification Proposal">
    <vt:lpwstr>2011</vt:lpwstr>
  </property>
  <property fmtid="{D5CDD505-2E9C-101B-9397-08002B2CF9AE}" pid="15" name="Document Type">
    <vt:lpwstr>Modification Proposal</vt:lpwstr>
  </property>
  <property fmtid="{D5CDD505-2E9C-101B-9397-08002B2CF9AE}" pid="16" name="Copy to Website">
    <vt:lpwstr>true</vt:lpwstr>
  </property>
  <property fmtid="{D5CDD505-2E9C-101B-9397-08002B2CF9AE}" pid="17" name="_CopySource">
    <vt:lpwstr>Mod_06_11_SRAs.docx</vt:lpwstr>
  </property>
  <property fmtid="{D5CDD505-2E9C-101B-9397-08002B2CF9AE}" pid="18" name="xd_Signature">
    <vt:bool>false</vt:bool>
  </property>
  <property fmtid="{D5CDD505-2E9C-101B-9397-08002B2CF9AE}" pid="19" name="xd_ProgID">
    <vt:lpwstr/>
  </property>
  <property fmtid="{D5CDD505-2E9C-101B-9397-08002B2CF9AE}" pid="20" name="_SourceUrl">
    <vt:lpwstr/>
  </property>
  <property fmtid="{D5CDD505-2E9C-101B-9397-08002B2CF9AE}" pid="21" name="_SharedFileIndex">
    <vt:lpwstr/>
  </property>
  <property fmtid="{D5CDD505-2E9C-101B-9397-08002B2CF9AE}" pid="22" name="TemplateUrl">
    <vt:lpwstr/>
  </property>
</Properties>
</file>