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F3" w:rsidRDefault="00B068F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
        <w:gridCol w:w="1678"/>
        <w:gridCol w:w="1247"/>
        <w:gridCol w:w="1064"/>
        <w:gridCol w:w="2311"/>
      </w:tblGrid>
      <w:tr w:rsidR="004C53E7" w:rsidRPr="004C53E7" w:rsidTr="00B068F3">
        <w:tc>
          <w:tcPr>
            <w:tcW w:w="9243" w:type="dxa"/>
            <w:gridSpan w:val="6"/>
            <w:shd w:val="clear" w:color="auto" w:fill="548DD4"/>
            <w:vAlign w:val="center"/>
          </w:tcPr>
          <w:p w:rsidR="004C53E7" w:rsidRPr="004C53E7" w:rsidRDefault="004C53E7" w:rsidP="00B068F3">
            <w:pPr>
              <w:jc w:val="center"/>
              <w:rPr>
                <w:rFonts w:ascii="Calibri" w:hAnsi="Calibri" w:cs="Arial"/>
                <w:lang w:val="en-IE"/>
              </w:rPr>
            </w:pPr>
          </w:p>
          <w:p w:rsidR="004C53E7" w:rsidRPr="004C53E7" w:rsidRDefault="004C53E7" w:rsidP="00B068F3">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068F3">
            <w:pPr>
              <w:jc w:val="center"/>
              <w:rPr>
                <w:rFonts w:ascii="Calibri" w:hAnsi="Calibri" w:cs="Arial"/>
                <w:lang w:val="en-IE"/>
              </w:rPr>
            </w:pPr>
          </w:p>
        </w:tc>
      </w:tr>
      <w:tr w:rsidR="004C53E7" w:rsidRPr="004C53E7" w:rsidTr="00CA493E">
        <w:tc>
          <w:tcPr>
            <w:tcW w:w="2235" w:type="dxa"/>
            <w:vAlign w:val="center"/>
          </w:tcPr>
          <w:p w:rsidR="004C53E7" w:rsidRPr="004C53E7" w:rsidRDefault="004C53E7" w:rsidP="00B068F3">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068F3">
            <w:pPr>
              <w:jc w:val="center"/>
              <w:rPr>
                <w:rFonts w:ascii="Arial" w:hAnsi="Arial" w:cs="Arial"/>
                <w:sz w:val="18"/>
                <w:szCs w:val="18"/>
                <w:lang w:val="en-IE"/>
              </w:rPr>
            </w:pPr>
          </w:p>
        </w:tc>
        <w:tc>
          <w:tcPr>
            <w:tcW w:w="2386" w:type="dxa"/>
            <w:gridSpan w:val="2"/>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B068F3">
            <w:pPr>
              <w:jc w:val="center"/>
              <w:rPr>
                <w:rFonts w:ascii="Calibri" w:hAnsi="Calibri" w:cs="Arial"/>
                <w:lang w:val="en-IE"/>
              </w:rPr>
            </w:pPr>
          </w:p>
        </w:tc>
        <w:tc>
          <w:tcPr>
            <w:tcW w:w="2311" w:type="dxa"/>
            <w:gridSpan w:val="2"/>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B068F3">
            <w:pPr>
              <w:jc w:val="center"/>
              <w:rPr>
                <w:rFonts w:ascii="Calibri" w:hAnsi="Calibri" w:cs="Arial"/>
                <w:lang w:val="en-IE"/>
              </w:rPr>
            </w:pPr>
          </w:p>
        </w:tc>
        <w:tc>
          <w:tcPr>
            <w:tcW w:w="2311" w:type="dxa"/>
            <w:vAlign w:val="center"/>
          </w:tcPr>
          <w:p w:rsidR="004C53E7" w:rsidRPr="004C53E7" w:rsidRDefault="004C53E7" w:rsidP="00B068F3">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B068F3">
            <w:pPr>
              <w:jc w:val="center"/>
              <w:rPr>
                <w:rFonts w:ascii="Calibri" w:hAnsi="Calibri" w:cs="Arial"/>
                <w:lang w:val="en-IE"/>
              </w:rPr>
            </w:pPr>
          </w:p>
        </w:tc>
      </w:tr>
      <w:tr w:rsidR="004C53E7" w:rsidRPr="004C53E7" w:rsidTr="00B068F3">
        <w:tc>
          <w:tcPr>
            <w:tcW w:w="2235" w:type="dxa"/>
          </w:tcPr>
          <w:p w:rsidR="004C53E7" w:rsidRPr="004C53E7" w:rsidRDefault="00D92E00" w:rsidP="00B068F3">
            <w:pPr>
              <w:jc w:val="center"/>
              <w:rPr>
                <w:rFonts w:ascii="Calibri" w:hAnsi="Calibri" w:cs="Arial"/>
                <w:b/>
                <w:lang w:val="en-IE"/>
              </w:rPr>
            </w:pPr>
            <w:proofErr w:type="spellStart"/>
            <w:r>
              <w:rPr>
                <w:rFonts w:ascii="Calibri" w:hAnsi="Calibri" w:cs="Arial"/>
                <w:b/>
                <w:lang w:val="en-IE"/>
              </w:rPr>
              <w:t>Gaelectric</w:t>
            </w:r>
            <w:proofErr w:type="spellEnd"/>
            <w:r>
              <w:rPr>
                <w:rFonts w:ascii="Calibri" w:hAnsi="Calibri" w:cs="Arial"/>
                <w:b/>
                <w:lang w:val="en-IE"/>
              </w:rPr>
              <w:t xml:space="preserve"> Energy Storage</w:t>
            </w:r>
            <w:r w:rsidR="00E9678D">
              <w:rPr>
                <w:rFonts w:ascii="Calibri" w:hAnsi="Calibri" w:cs="Arial"/>
                <w:b/>
                <w:lang w:val="en-IE"/>
              </w:rPr>
              <w:t xml:space="preserve"> Ltd</w:t>
            </w:r>
          </w:p>
        </w:tc>
        <w:tc>
          <w:tcPr>
            <w:tcW w:w="2386" w:type="dxa"/>
            <w:gridSpan w:val="2"/>
          </w:tcPr>
          <w:p w:rsidR="004C53E7" w:rsidRPr="004C53E7" w:rsidRDefault="00B068F3" w:rsidP="00B068F3">
            <w:pPr>
              <w:jc w:val="center"/>
              <w:rPr>
                <w:rFonts w:ascii="Calibri" w:hAnsi="Calibri" w:cs="Arial"/>
                <w:b/>
                <w:lang w:val="en-IE"/>
              </w:rPr>
            </w:pPr>
            <w:r>
              <w:rPr>
                <w:rFonts w:ascii="Calibri" w:hAnsi="Calibri" w:cs="Arial"/>
                <w:b/>
                <w:lang w:val="en-IE"/>
              </w:rPr>
              <w:t>15 May 2012</w:t>
            </w:r>
          </w:p>
        </w:tc>
        <w:tc>
          <w:tcPr>
            <w:tcW w:w="2311" w:type="dxa"/>
            <w:gridSpan w:val="2"/>
          </w:tcPr>
          <w:p w:rsidR="004C53E7" w:rsidRPr="004C53E7" w:rsidRDefault="005235A5" w:rsidP="00B068F3">
            <w:pPr>
              <w:jc w:val="center"/>
              <w:rPr>
                <w:rFonts w:ascii="Calibri" w:hAnsi="Calibri" w:cs="Arial"/>
                <w:b/>
                <w:lang w:val="en-IE"/>
              </w:rPr>
            </w:pPr>
            <w:r>
              <w:rPr>
                <w:rFonts w:ascii="Calibri" w:hAnsi="Calibri" w:cs="Arial"/>
                <w:b/>
                <w:lang w:val="en-IE"/>
              </w:rPr>
              <w:t>Standard</w:t>
            </w:r>
          </w:p>
          <w:p w:rsidR="004C53E7" w:rsidRPr="004C53E7" w:rsidRDefault="004C53E7" w:rsidP="00B068F3">
            <w:pPr>
              <w:jc w:val="center"/>
              <w:rPr>
                <w:rFonts w:ascii="Calibri" w:hAnsi="Calibri" w:cs="Arial"/>
                <w:b/>
                <w:lang w:val="en-IE"/>
              </w:rPr>
            </w:pPr>
          </w:p>
        </w:tc>
        <w:tc>
          <w:tcPr>
            <w:tcW w:w="2311" w:type="dxa"/>
          </w:tcPr>
          <w:p w:rsidR="004C53E7" w:rsidRPr="004C53E7" w:rsidRDefault="00B068F3" w:rsidP="00B068F3">
            <w:pPr>
              <w:jc w:val="center"/>
              <w:rPr>
                <w:rFonts w:ascii="Calibri" w:hAnsi="Calibri" w:cs="Arial"/>
                <w:b/>
                <w:lang w:val="en-IE"/>
              </w:rPr>
            </w:pPr>
            <w:r>
              <w:rPr>
                <w:rFonts w:ascii="Calibri" w:hAnsi="Calibri" w:cs="Arial"/>
                <w:b/>
                <w:lang w:val="en-IE"/>
              </w:rPr>
              <w:t>Mod_11_12</w:t>
            </w:r>
          </w:p>
        </w:tc>
      </w:tr>
      <w:tr w:rsidR="004C53E7" w:rsidRPr="004C53E7" w:rsidTr="00B068F3">
        <w:trPr>
          <w:trHeight w:val="467"/>
        </w:trPr>
        <w:tc>
          <w:tcPr>
            <w:tcW w:w="9243" w:type="dxa"/>
            <w:gridSpan w:val="6"/>
            <w:shd w:val="clear" w:color="auto" w:fill="C6D9F1"/>
            <w:vAlign w:val="center"/>
          </w:tcPr>
          <w:p w:rsidR="004C53E7" w:rsidRPr="004C53E7" w:rsidRDefault="004C53E7" w:rsidP="00B068F3">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B068F3">
        <w:tc>
          <w:tcPr>
            <w:tcW w:w="2943" w:type="dxa"/>
            <w:gridSpan w:val="2"/>
            <w:vAlign w:val="center"/>
          </w:tcPr>
          <w:p w:rsidR="004C53E7" w:rsidRPr="004C53E7" w:rsidRDefault="004C53E7" w:rsidP="00B068F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068F3">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068F3">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E9678D" w:rsidP="00693AA7">
            <w:pPr>
              <w:rPr>
                <w:rFonts w:ascii="Calibri" w:hAnsi="Calibri" w:cs="Arial"/>
                <w:b/>
                <w:lang w:val="en-IE"/>
              </w:rPr>
            </w:pPr>
            <w:r>
              <w:rPr>
                <w:rFonts w:ascii="Calibri" w:hAnsi="Calibri" w:cs="Arial"/>
                <w:b/>
                <w:lang w:val="en-IE"/>
              </w:rPr>
              <w:t>Brian Kennedy</w:t>
            </w:r>
          </w:p>
        </w:tc>
        <w:tc>
          <w:tcPr>
            <w:tcW w:w="2925" w:type="dxa"/>
            <w:gridSpan w:val="2"/>
            <w:vAlign w:val="center"/>
          </w:tcPr>
          <w:p w:rsidR="004C53E7" w:rsidRPr="004C53E7" w:rsidRDefault="00E9678D" w:rsidP="00693AA7">
            <w:pPr>
              <w:rPr>
                <w:rFonts w:ascii="Calibri" w:hAnsi="Calibri" w:cs="Arial"/>
                <w:b/>
                <w:lang w:val="en-IE"/>
              </w:rPr>
            </w:pPr>
            <w:r>
              <w:rPr>
                <w:rFonts w:ascii="Calibri" w:hAnsi="Calibri" w:cs="Arial"/>
                <w:b/>
                <w:lang w:val="en-IE"/>
              </w:rPr>
              <w:t>01-6430820</w:t>
            </w:r>
          </w:p>
        </w:tc>
        <w:tc>
          <w:tcPr>
            <w:tcW w:w="3375" w:type="dxa"/>
            <w:gridSpan w:val="2"/>
            <w:vAlign w:val="center"/>
          </w:tcPr>
          <w:p w:rsidR="004C53E7" w:rsidRPr="004C53E7" w:rsidRDefault="00E9678D" w:rsidP="00693AA7">
            <w:pPr>
              <w:rPr>
                <w:rFonts w:ascii="Calibri" w:hAnsi="Calibri" w:cs="Arial"/>
                <w:b/>
                <w:lang w:val="en-IE"/>
              </w:rPr>
            </w:pPr>
            <w:r>
              <w:rPr>
                <w:rFonts w:ascii="Calibri" w:hAnsi="Calibri" w:cs="Arial"/>
                <w:b/>
                <w:lang w:val="en-IE"/>
              </w:rPr>
              <w:t>bkennedy@gaelectric.ie</w:t>
            </w:r>
          </w:p>
        </w:tc>
      </w:tr>
      <w:tr w:rsidR="004C53E7" w:rsidRPr="004C53E7" w:rsidTr="00B068F3">
        <w:trPr>
          <w:trHeight w:val="327"/>
        </w:trPr>
        <w:tc>
          <w:tcPr>
            <w:tcW w:w="9243" w:type="dxa"/>
            <w:gridSpan w:val="6"/>
            <w:shd w:val="clear" w:color="auto" w:fill="C6D9F1"/>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D92E00" w:rsidRDefault="00D92E00" w:rsidP="00CA493E">
            <w:pPr>
              <w:pStyle w:val="NoSpacing"/>
              <w:jc w:val="center"/>
              <w:rPr>
                <w:b/>
                <w:lang w:val="en-IE"/>
              </w:rPr>
            </w:pPr>
            <w:r w:rsidRPr="00D92E00">
              <w:rPr>
                <w:b/>
                <w:lang w:val="en-IE"/>
              </w:rPr>
              <w:t xml:space="preserve">Proposal to </w:t>
            </w:r>
            <w:r w:rsidR="00CA493E">
              <w:rPr>
                <w:b/>
                <w:lang w:val="en-IE"/>
              </w:rPr>
              <w:t>extend the definition of Special Units to include Compressed Air Energy Storage.</w:t>
            </w:r>
          </w:p>
        </w:tc>
      </w:tr>
      <w:tr w:rsidR="004C53E7" w:rsidRPr="004C53E7" w:rsidTr="00B068F3">
        <w:tc>
          <w:tcPr>
            <w:tcW w:w="2943" w:type="dxa"/>
            <w:gridSpan w:val="2"/>
            <w:shd w:val="clear" w:color="auto" w:fill="C6D9F1"/>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068F3">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B068F3">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068F3">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CA493E">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90568F" w:rsidP="00693AA7">
            <w:pPr>
              <w:jc w:val="center"/>
              <w:rPr>
                <w:rFonts w:ascii="Calibri" w:hAnsi="Calibri" w:cs="Arial"/>
                <w:b/>
                <w:lang w:val="en-IE"/>
              </w:rPr>
            </w:pPr>
            <w:r>
              <w:rPr>
                <w:rFonts w:ascii="Calibri" w:hAnsi="Calibri" w:cs="Arial"/>
                <w:b/>
                <w:lang w:val="en-IE"/>
              </w:rPr>
              <w:t>Section 5.0</w:t>
            </w:r>
          </w:p>
        </w:tc>
        <w:tc>
          <w:tcPr>
            <w:tcW w:w="3375" w:type="dxa"/>
            <w:gridSpan w:val="2"/>
            <w:vAlign w:val="center"/>
          </w:tcPr>
          <w:p w:rsidR="004C53E7" w:rsidRPr="004C53E7" w:rsidRDefault="0090568F" w:rsidP="00693AA7">
            <w:pPr>
              <w:jc w:val="center"/>
              <w:rPr>
                <w:rFonts w:ascii="Calibri" w:hAnsi="Calibri" w:cs="Arial"/>
                <w:b/>
                <w:lang w:val="en-IE"/>
              </w:rPr>
            </w:pPr>
            <w:r>
              <w:rPr>
                <w:rFonts w:ascii="Calibri" w:hAnsi="Calibri" w:cs="Arial"/>
                <w:b/>
                <w:lang w:val="en-IE"/>
              </w:rPr>
              <w:t>V10.0</w:t>
            </w:r>
          </w:p>
        </w:tc>
      </w:tr>
      <w:tr w:rsidR="004C53E7" w:rsidRPr="004C53E7" w:rsidTr="00B068F3">
        <w:trPr>
          <w:trHeight w:val="375"/>
        </w:trPr>
        <w:tc>
          <w:tcPr>
            <w:tcW w:w="9243" w:type="dxa"/>
            <w:gridSpan w:val="6"/>
            <w:shd w:val="clear" w:color="auto" w:fill="C6D9F1"/>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068F3">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CA493E" w:rsidP="00693AA7">
            <w:pPr>
              <w:rPr>
                <w:rFonts w:ascii="Calibri" w:hAnsi="Calibri" w:cs="Arial"/>
                <w:lang w:val="en-IE"/>
              </w:rPr>
            </w:pPr>
            <w:r>
              <w:rPr>
                <w:rFonts w:ascii="Calibri" w:hAnsi="Calibri" w:cs="Arial"/>
                <w:lang w:val="en-IE"/>
              </w:rPr>
              <w:t>Proposed Change is to extend the definition of Special Units to include Compressed Air Energy Storage Units.</w:t>
            </w:r>
          </w:p>
        </w:tc>
      </w:tr>
      <w:tr w:rsidR="004C53E7" w:rsidRPr="004C53E7" w:rsidDel="00404964" w:rsidTr="00B068F3">
        <w:tc>
          <w:tcPr>
            <w:tcW w:w="9243" w:type="dxa"/>
            <w:gridSpan w:val="6"/>
            <w:shd w:val="clear" w:color="auto" w:fill="C6D9F1"/>
            <w:vAlign w:val="center"/>
          </w:tcPr>
          <w:p w:rsidR="004C53E7" w:rsidRPr="004C53E7" w:rsidRDefault="004C53E7" w:rsidP="00B068F3">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B068F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CA493E" w:rsidRPr="004C53E7" w:rsidDel="00404964" w:rsidRDefault="00A15B4E" w:rsidP="00816167">
            <w:pPr>
              <w:spacing w:line="276" w:lineRule="auto"/>
              <w:rPr>
                <w:rFonts w:ascii="Calibri" w:hAnsi="Calibri" w:cs="Arial"/>
                <w:lang w:val="en-IE"/>
              </w:rPr>
            </w:pPr>
            <w:r>
              <w:rPr>
                <w:rFonts w:ascii="Calibri" w:hAnsi="Calibri" w:cs="Arial"/>
                <w:lang w:val="en-IE"/>
              </w:rPr>
              <w:t>A number of definitions may change as a result of this modification, and there are numerous approaches which can be taken. As such GES will consult with SEMO, RAs &amp; TSOs on the most suitable definition.</w:t>
            </w:r>
          </w:p>
        </w:tc>
      </w:tr>
      <w:tr w:rsidR="004C53E7" w:rsidRPr="004C53E7" w:rsidTr="00B068F3">
        <w:tc>
          <w:tcPr>
            <w:tcW w:w="9243" w:type="dxa"/>
            <w:gridSpan w:val="6"/>
            <w:shd w:val="clear" w:color="auto" w:fill="C6D9F1"/>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B068F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D92E00" w:rsidRDefault="006D7AAB" w:rsidP="00003C10">
            <w:pPr>
              <w:spacing w:line="276" w:lineRule="auto"/>
              <w:jc w:val="both"/>
              <w:rPr>
                <w:b/>
                <w:i/>
              </w:rPr>
            </w:pPr>
            <w:r w:rsidRPr="00D92E00">
              <w:rPr>
                <w:lang w:val="en-IE"/>
              </w:rPr>
              <w:t xml:space="preserve">No.6 of The Code Objectives </w:t>
            </w:r>
            <w:r w:rsidRPr="00E5253B">
              <w:rPr>
                <w:lang w:val="en-IE"/>
              </w:rPr>
              <w:t>states</w:t>
            </w:r>
            <w:r w:rsidRPr="00D92E00">
              <w:rPr>
                <w:b/>
                <w:i/>
                <w:lang w:val="en-IE"/>
              </w:rPr>
              <w:t xml:space="preserve"> “</w:t>
            </w:r>
            <w:r w:rsidRPr="00D92E00">
              <w:rPr>
                <w:b/>
                <w:i/>
              </w:rPr>
              <w:t>to ensure no undue discrimination between persons who are parties to the Code”.</w:t>
            </w:r>
          </w:p>
          <w:p w:rsidR="00D92E00" w:rsidRDefault="00D92E00" w:rsidP="00003C10">
            <w:pPr>
              <w:spacing w:line="276" w:lineRule="auto"/>
              <w:jc w:val="both"/>
            </w:pPr>
            <w:r>
              <w:t>As a registered party</w:t>
            </w:r>
            <w:r w:rsidR="00003C10">
              <w:t xml:space="preserve"> to the code</w:t>
            </w:r>
            <w:r>
              <w:t xml:space="preserve">, </w:t>
            </w:r>
            <w:r w:rsidR="00E5253B">
              <w:t>Gaelectric Energy Storage</w:t>
            </w:r>
            <w:r w:rsidR="00E44B6A">
              <w:t xml:space="preserve"> are</w:t>
            </w:r>
            <w:r w:rsidR="008E2017">
              <w:t xml:space="preserve"> </w:t>
            </w:r>
            <w:r w:rsidR="006D7AAB">
              <w:t>being discriminated ag</w:t>
            </w:r>
            <w:r w:rsidR="00FE4FA4">
              <w:t xml:space="preserve">ainst, through the inability of its </w:t>
            </w:r>
            <w:r w:rsidR="00E5253B">
              <w:t xml:space="preserve">Compressed Air Energy Storage </w:t>
            </w:r>
            <w:r w:rsidR="008D328E">
              <w:t xml:space="preserve">(“CAES”) </w:t>
            </w:r>
            <w:r w:rsidR="00E5253B">
              <w:t>facility</w:t>
            </w:r>
            <w:r w:rsidR="00FE4FA4">
              <w:t xml:space="preserve"> to effectively ascend to the code whilst effectively  managing its risk,</w:t>
            </w:r>
            <w:r w:rsidR="006D7AAB">
              <w:t xml:space="preserve"> as </w:t>
            </w:r>
            <w:r w:rsidR="00AA5552">
              <w:t>it does</w:t>
            </w:r>
            <w:r w:rsidR="006D7AAB">
              <w:t xml:space="preserve"> not </w:t>
            </w:r>
            <w:r w:rsidR="00816167">
              <w:t>have a place</w:t>
            </w:r>
            <w:r w:rsidR="006D7AAB">
              <w:t xml:space="preserve"> in the current format of the T&amp;SC</w:t>
            </w:r>
            <w:r>
              <w:t>.</w:t>
            </w:r>
            <w:r w:rsidR="00003C10">
              <w:t xml:space="preserve"> Given its unique characteristics as an energy storage facility, CAES </w:t>
            </w:r>
            <w:r w:rsidR="001552F9">
              <w:t>would</w:t>
            </w:r>
            <w:r w:rsidR="00003C10">
              <w:t xml:space="preserve"> be incorporated into the code as a </w:t>
            </w:r>
            <w:r w:rsidR="00003C10">
              <w:rPr>
                <w:i/>
              </w:rPr>
              <w:t>Special Unit</w:t>
            </w:r>
            <w:r w:rsidR="00003C10">
              <w:t>. Currently, however, a special unit is limited to Interconnector Units, Energy Limited Generator Units, Pumped Storage Units, Autoproducer</w:t>
            </w:r>
            <w:bookmarkStart w:id="0" w:name="_GoBack"/>
            <w:bookmarkEnd w:id="0"/>
            <w:r w:rsidR="00003C10">
              <w:t xml:space="preserve"> Units, Generator Units under test, and Demand Side Units, as per </w:t>
            </w:r>
            <w:r w:rsidR="00CA493E">
              <w:t>its</w:t>
            </w:r>
            <w:r w:rsidR="00003C10">
              <w:t xml:space="preserve"> definition in the current version of the T&amp;SC.</w:t>
            </w:r>
          </w:p>
          <w:p w:rsidR="00A15B4E" w:rsidRDefault="00A15B4E" w:rsidP="00003C10">
            <w:pPr>
              <w:spacing w:line="276" w:lineRule="auto"/>
              <w:jc w:val="both"/>
            </w:pPr>
          </w:p>
          <w:p w:rsidR="00A15B4E" w:rsidRDefault="00A15B4E" w:rsidP="00003C10">
            <w:pPr>
              <w:spacing w:line="276" w:lineRule="auto"/>
              <w:jc w:val="both"/>
            </w:pPr>
            <w:r>
              <w:t>This issues faced by CAES in relation to modifying sections to accept the technology include, but are not limited to, the following:</w:t>
            </w:r>
          </w:p>
          <w:p w:rsidR="00A15B4E" w:rsidRDefault="00A15B4E" w:rsidP="00A15B4E">
            <w:pPr>
              <w:pStyle w:val="ListParagraph"/>
              <w:numPr>
                <w:ilvl w:val="0"/>
                <w:numId w:val="4"/>
              </w:numPr>
              <w:spacing w:line="276" w:lineRule="auto"/>
              <w:jc w:val="both"/>
            </w:pPr>
            <w:r w:rsidRPr="006C577B">
              <w:rPr>
                <w:b/>
                <w:u w:val="single"/>
              </w:rPr>
              <w:t>Pumped Storage</w:t>
            </w:r>
            <w:r>
              <w:t xml:space="preserve">: </w:t>
            </w:r>
          </w:p>
          <w:p w:rsidR="00CF0DBC" w:rsidRDefault="00105DBB" w:rsidP="00105DBB">
            <w:pPr>
              <w:pStyle w:val="ListParagraph"/>
              <w:numPr>
                <w:ilvl w:val="1"/>
                <w:numId w:val="4"/>
              </w:numPr>
              <w:spacing w:line="276" w:lineRule="auto"/>
              <w:jc w:val="both"/>
            </w:pPr>
            <w:r>
              <w:t>The Pumped Storage section in the T&amp;SC would not be suitable for CAES. The dual fuel nature of CAES (electricity and natural gas) results in</w:t>
            </w:r>
            <w:r w:rsidR="00B54347">
              <w:t xml:space="preserve"> the combination of</w:t>
            </w:r>
            <w:r>
              <w:t xml:space="preserve"> two efficiency metrics being required to describe the operation of the technology, whereas pumped storage declares a cycling efficiency based upon the use of electrical energy alone. Given the fact that CAES must account for the variable nature of natural gas costs in its commercial offer data, the technology could not operate effectively if it were to be incorporated into the pumped storage section of the code.</w:t>
            </w:r>
          </w:p>
          <w:p w:rsidR="00CF0DBC" w:rsidRDefault="00A15B4E" w:rsidP="00A15B4E">
            <w:pPr>
              <w:pStyle w:val="ListParagraph"/>
              <w:numPr>
                <w:ilvl w:val="0"/>
                <w:numId w:val="4"/>
              </w:numPr>
              <w:spacing w:line="276" w:lineRule="auto"/>
              <w:jc w:val="both"/>
            </w:pPr>
            <w:r w:rsidRPr="006C577B">
              <w:rPr>
                <w:b/>
                <w:u w:val="single"/>
              </w:rPr>
              <w:t>Demand Side Units</w:t>
            </w:r>
            <w:r>
              <w:t xml:space="preserve">: </w:t>
            </w:r>
          </w:p>
          <w:p w:rsidR="00A15B4E" w:rsidRDefault="00A15B4E" w:rsidP="00CF0DBC">
            <w:pPr>
              <w:pStyle w:val="ListParagraph"/>
              <w:numPr>
                <w:ilvl w:val="1"/>
                <w:numId w:val="4"/>
              </w:numPr>
              <w:spacing w:line="276" w:lineRule="auto"/>
              <w:jc w:val="both"/>
            </w:pPr>
            <w:r>
              <w:t>Demand side units must meet certain criteria including; “</w:t>
            </w:r>
            <w:r>
              <w:rPr>
                <w:i/>
              </w:rPr>
              <w:t>1. The demand site shall house a final customer”</w:t>
            </w:r>
            <w:r>
              <w:t>. Technically CAES demand side unit will not be a final customer as the electricity consumed is for the purposes of generating electricity</w:t>
            </w:r>
            <w:r w:rsidR="008D328E">
              <w:t xml:space="preserve"> (&gt;De </w:t>
            </w:r>
            <w:proofErr w:type="spellStart"/>
            <w:r w:rsidR="008D328E">
              <w:t>Minimis</w:t>
            </w:r>
            <w:proofErr w:type="spellEnd"/>
            <w:r w:rsidR="008D328E">
              <w:t>) to sell into the market</w:t>
            </w:r>
            <w:r>
              <w:t>, on the same site.</w:t>
            </w:r>
          </w:p>
          <w:p w:rsidR="00A15B4E" w:rsidRDefault="00A15B4E" w:rsidP="008D328E">
            <w:pPr>
              <w:pStyle w:val="ListParagraph"/>
              <w:numPr>
                <w:ilvl w:val="1"/>
                <w:numId w:val="4"/>
              </w:numPr>
              <w:spacing w:line="276" w:lineRule="auto"/>
              <w:ind w:left="2160" w:hanging="1080"/>
              <w:jc w:val="both"/>
            </w:pPr>
            <w:r>
              <w:lastRenderedPageBreak/>
              <w:t xml:space="preserve">Other criteria include; </w:t>
            </w:r>
            <w:r>
              <w:rPr>
                <w:i/>
              </w:rPr>
              <w:t>“</w:t>
            </w:r>
            <w:r w:rsidR="006C577B">
              <w:rPr>
                <w:i/>
              </w:rPr>
              <w:t xml:space="preserve">2. </w:t>
            </w:r>
            <w:r>
              <w:rPr>
                <w:i/>
              </w:rPr>
              <w:t>the Demand site shall have the technical and operational capability to deliver Demand Reduction…”</w:t>
            </w:r>
            <w:r>
              <w:t xml:space="preserve">. </w:t>
            </w:r>
            <w:r w:rsidR="008D328E">
              <w:t xml:space="preserve">The </w:t>
            </w:r>
            <w:r>
              <w:t>CAES Demand side unit would be mainly used to increase demand on the system, thereby allowing for more “room” on the system</w:t>
            </w:r>
            <w:r w:rsidR="00A757A6">
              <w:t xml:space="preserve"> for priority dispatched wind,</w:t>
            </w:r>
            <w:r>
              <w:t xml:space="preserve"> and </w:t>
            </w:r>
            <w:r w:rsidR="006C577B">
              <w:t>aide in reducing curtailment on the system.</w:t>
            </w:r>
          </w:p>
          <w:p w:rsidR="006C577B" w:rsidRDefault="006C577B" w:rsidP="00CF0DBC">
            <w:pPr>
              <w:pStyle w:val="ListParagraph"/>
              <w:numPr>
                <w:ilvl w:val="1"/>
                <w:numId w:val="4"/>
              </w:numPr>
              <w:spacing w:line="276" w:lineRule="auto"/>
              <w:jc w:val="both"/>
            </w:pPr>
            <w:r>
              <w:t>Furthermore, demand side units do not submit commercial offer data in their bids. CAES cannot operate effectively in this way.</w:t>
            </w:r>
          </w:p>
          <w:p w:rsidR="00B54347" w:rsidRPr="00B54347" w:rsidRDefault="00B54347" w:rsidP="00B54347">
            <w:pPr>
              <w:pStyle w:val="ListParagraph"/>
              <w:numPr>
                <w:ilvl w:val="0"/>
                <w:numId w:val="4"/>
              </w:numPr>
              <w:spacing w:line="276" w:lineRule="auto"/>
              <w:jc w:val="both"/>
            </w:pPr>
            <w:r>
              <w:rPr>
                <w:b/>
                <w:u w:val="single"/>
              </w:rPr>
              <w:t>Energy Limited Generator Units</w:t>
            </w:r>
          </w:p>
          <w:p w:rsidR="00B54347" w:rsidRDefault="00B54347" w:rsidP="00B54347">
            <w:pPr>
              <w:pStyle w:val="ListParagraph"/>
              <w:numPr>
                <w:ilvl w:val="1"/>
                <w:numId w:val="4"/>
              </w:numPr>
              <w:spacing w:line="276" w:lineRule="auto"/>
              <w:jc w:val="both"/>
            </w:pPr>
            <w:r>
              <w:t>Given the unique characteristics of the proposed CAES plant, it has the ability to generate as and when required and is therefore not subject to a physical energy limit related to its store.</w:t>
            </w:r>
          </w:p>
          <w:p w:rsidR="00003C10" w:rsidRPr="00003C10" w:rsidRDefault="00003C10" w:rsidP="00003C10">
            <w:pPr>
              <w:spacing w:line="276" w:lineRule="auto"/>
              <w:jc w:val="both"/>
            </w:pPr>
          </w:p>
          <w:p w:rsidR="006D7AAB" w:rsidRDefault="006D7AAB" w:rsidP="00003C10">
            <w:pPr>
              <w:spacing w:line="276" w:lineRule="auto"/>
              <w:jc w:val="both"/>
            </w:pPr>
            <w:r>
              <w:t>The future requirements of the Irish Electricity System will require the development of bespoke technologies which will provide system services</w:t>
            </w:r>
            <w:r w:rsidR="00D92E00">
              <w:t xml:space="preserve"> in a flexible,</w:t>
            </w:r>
            <w:r>
              <w:t xml:space="preserve"> </w:t>
            </w:r>
            <w:r w:rsidR="00D92E00">
              <w:t>quick</w:t>
            </w:r>
            <w:r w:rsidR="00E50E4C">
              <w:t xml:space="preserve"> a</w:t>
            </w:r>
            <w:r w:rsidR="00E5253B">
              <w:t>nd relatively low carbon manner, as recognised by the SEM in Decision paper SEM/11/022; “Demand Side Vision for 2020”, which states the following;</w:t>
            </w:r>
          </w:p>
          <w:p w:rsidR="00E5253B" w:rsidRDefault="00E5253B" w:rsidP="00003C10">
            <w:pPr>
              <w:spacing w:line="276" w:lineRule="auto"/>
              <w:jc w:val="both"/>
            </w:pPr>
            <w:r w:rsidRPr="00FB6D5D">
              <w:rPr>
                <w:i/>
              </w:rPr>
              <w:t>“However other forms of storage such as compressed air storage are becoming available and the rewards for and value to the system of system level storage needs to be reviewed. To this end the SEM Comm</w:t>
            </w:r>
            <w:r w:rsidR="001552F9">
              <w:rPr>
                <w:i/>
              </w:rPr>
              <w:t>ittee will request that the TSO</w:t>
            </w:r>
            <w:r w:rsidRPr="00FB6D5D">
              <w:rPr>
                <w:i/>
              </w:rPr>
              <w:t>s undertak</w:t>
            </w:r>
            <w:r w:rsidR="00026829">
              <w:rPr>
                <w:i/>
              </w:rPr>
              <w:t>e a review covering payments for</w:t>
            </w:r>
            <w:r w:rsidRPr="00FB6D5D">
              <w:rPr>
                <w:i/>
              </w:rPr>
              <w:t xml:space="preserve"> system wide storage and provide recommendations to the SEM Committee</w:t>
            </w:r>
            <w:r>
              <w:t>.”</w:t>
            </w:r>
          </w:p>
          <w:p w:rsidR="00CA493E" w:rsidRDefault="00CA493E" w:rsidP="00003C10">
            <w:pPr>
              <w:spacing w:line="276" w:lineRule="auto"/>
              <w:jc w:val="both"/>
            </w:pPr>
          </w:p>
          <w:p w:rsidR="00E50E4C" w:rsidRDefault="00E50E4C" w:rsidP="00003C10">
            <w:pPr>
              <w:spacing w:line="276" w:lineRule="auto"/>
              <w:jc w:val="both"/>
            </w:pPr>
            <w:r>
              <w:t>The current format of the T&amp;SC does not make provisions for the adoption of new technologies.</w:t>
            </w:r>
          </w:p>
          <w:p w:rsidR="00E50E4C" w:rsidRPr="004C53E7" w:rsidRDefault="00E50E4C" w:rsidP="00FE4FA4">
            <w:pPr>
              <w:spacing w:line="276" w:lineRule="auto"/>
              <w:jc w:val="both"/>
              <w:rPr>
                <w:rFonts w:ascii="Calibri" w:hAnsi="Calibri" w:cs="Arial"/>
                <w:lang w:val="en-IE"/>
              </w:rPr>
            </w:pPr>
            <w:r>
              <w:t>We</w:t>
            </w:r>
            <w:r w:rsidR="00FE4FA4">
              <w:t xml:space="preserve"> therefore</w:t>
            </w:r>
            <w:r>
              <w:t xml:space="preserve"> propose that </w:t>
            </w:r>
            <w:r w:rsidR="00003C10">
              <w:t>the definition of “Special Units” be extended to includ</w:t>
            </w:r>
            <w:r w:rsidR="00816167">
              <w:t>e Compressed Air Energy Storage.</w:t>
            </w:r>
          </w:p>
        </w:tc>
      </w:tr>
      <w:tr w:rsidR="004C53E7" w:rsidRPr="004C53E7" w:rsidTr="00B068F3">
        <w:tc>
          <w:tcPr>
            <w:tcW w:w="9243" w:type="dxa"/>
            <w:gridSpan w:val="6"/>
            <w:shd w:val="clear" w:color="auto" w:fill="C6D9F1"/>
            <w:vAlign w:val="center"/>
          </w:tcPr>
          <w:p w:rsidR="004C53E7" w:rsidRPr="004C53E7" w:rsidRDefault="004C53E7" w:rsidP="00B068F3">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B068F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B068F3" w:rsidRDefault="00B068F3" w:rsidP="00B068F3">
            <w:pPr>
              <w:pStyle w:val="NoSpacing"/>
              <w:spacing w:line="276" w:lineRule="auto"/>
              <w:jc w:val="both"/>
              <w:rPr>
                <w:i/>
              </w:rPr>
            </w:pPr>
            <w:r>
              <w:t>By implementing this modification, competition on the island would be promoted by allowing for new technologies to compete against incumbent generators, resulting in Objective 4 being furthered; “</w:t>
            </w:r>
            <w:r>
              <w:rPr>
                <w:i/>
              </w:rPr>
              <w:t>to promote competition in the single electricity wholesale market on the island of Ireland”</w:t>
            </w:r>
          </w:p>
          <w:p w:rsidR="00B068F3" w:rsidRDefault="00B068F3" w:rsidP="00713891">
            <w:pPr>
              <w:pStyle w:val="NoSpacing"/>
              <w:spacing w:line="276" w:lineRule="auto"/>
              <w:jc w:val="both"/>
              <w:rPr>
                <w:lang w:val="en-IE"/>
              </w:rPr>
            </w:pPr>
          </w:p>
          <w:p w:rsidR="0048382F" w:rsidRPr="004F2CC1" w:rsidRDefault="005A4365" w:rsidP="0048382F">
            <w:pPr>
              <w:pStyle w:val="NoSpacing"/>
              <w:spacing w:line="276" w:lineRule="auto"/>
              <w:jc w:val="both"/>
            </w:pPr>
            <w:r>
              <w:t>Objective 6 of the code will be promoted by allowing the inclusion of a new techno</w:t>
            </w:r>
            <w:r w:rsidR="00ED2128">
              <w:t>logy such as CAES into the T&amp;SC;</w:t>
            </w:r>
            <w:r w:rsidR="0048382F">
              <w:t xml:space="preserve"> “</w:t>
            </w:r>
            <w:r w:rsidR="0048382F" w:rsidRPr="0048382F">
              <w:rPr>
                <w:i/>
              </w:rPr>
              <w:t>to ensure no undue discrimination between persons who are parties to the Code</w:t>
            </w:r>
            <w:r w:rsidR="0048382F">
              <w:rPr>
                <w:i/>
              </w:rPr>
              <w:t>” and,</w:t>
            </w:r>
          </w:p>
          <w:p w:rsidR="005A4365" w:rsidRDefault="005A4365" w:rsidP="00713891">
            <w:pPr>
              <w:pStyle w:val="NoSpacing"/>
              <w:spacing w:line="276" w:lineRule="auto"/>
              <w:jc w:val="both"/>
              <w:rPr>
                <w:lang w:val="en-IE"/>
              </w:rPr>
            </w:pPr>
          </w:p>
          <w:p w:rsidR="00F20CCB" w:rsidRPr="005A4365" w:rsidRDefault="005A4365" w:rsidP="00513CFA">
            <w:pPr>
              <w:pStyle w:val="NoSpacing"/>
              <w:spacing w:line="276" w:lineRule="auto"/>
              <w:jc w:val="both"/>
            </w:pPr>
            <w:r>
              <w:t xml:space="preserve">Furthermore, </w:t>
            </w:r>
            <w:r>
              <w:rPr>
                <w:lang w:val="en-IE"/>
              </w:rPr>
              <w:t>b</w:t>
            </w:r>
            <w:r w:rsidR="00F20CCB">
              <w:rPr>
                <w:lang w:val="en-IE"/>
              </w:rPr>
              <w:t xml:space="preserve">y providing an opportunity for the inclusion of </w:t>
            </w:r>
            <w:r w:rsidR="00E5253B">
              <w:rPr>
                <w:lang w:val="en-IE"/>
              </w:rPr>
              <w:t>CAES as a bespoke technology</w:t>
            </w:r>
            <w:r w:rsidR="00F20CCB">
              <w:rPr>
                <w:lang w:val="en-IE"/>
              </w:rPr>
              <w:t xml:space="preserve"> into the T&amp;SC, Objective 7 of the code is further developed; </w:t>
            </w:r>
            <w:r w:rsidR="00F20CCB" w:rsidRPr="0050605F">
              <w:rPr>
                <w:i/>
                <w:lang w:val="en-IE"/>
              </w:rPr>
              <w:t>“</w:t>
            </w:r>
            <w:r w:rsidR="00F20CCB" w:rsidRPr="0050605F">
              <w:rPr>
                <w:i/>
              </w:rPr>
              <w:t>to promote the short-term and long-term interests of consumers of electricity on the island of Ireland with respect to price, quality, reliability, and security of supply of electricity”.</w:t>
            </w:r>
          </w:p>
        </w:tc>
      </w:tr>
      <w:tr w:rsidR="004C53E7" w:rsidRPr="004C53E7" w:rsidTr="00B068F3">
        <w:tc>
          <w:tcPr>
            <w:tcW w:w="9243" w:type="dxa"/>
            <w:gridSpan w:val="6"/>
            <w:shd w:val="clear" w:color="auto" w:fill="C6D9F1"/>
            <w:vAlign w:val="center"/>
          </w:tcPr>
          <w:p w:rsidR="004C53E7" w:rsidRPr="004C53E7" w:rsidRDefault="004C53E7" w:rsidP="00B068F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068F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713891" w:rsidRDefault="00DA25ED" w:rsidP="00CA493E">
            <w:pPr>
              <w:pStyle w:val="NoSpacing"/>
              <w:spacing w:line="276" w:lineRule="auto"/>
              <w:jc w:val="both"/>
              <w:rPr>
                <w:lang w:val="en-IE"/>
              </w:rPr>
            </w:pPr>
            <w:r>
              <w:rPr>
                <w:lang w:val="en-IE"/>
              </w:rPr>
              <w:t>Should this modification not be implemented:</w:t>
            </w:r>
          </w:p>
          <w:p w:rsidR="00DA25ED" w:rsidRDefault="00DA25ED" w:rsidP="00DA25ED">
            <w:pPr>
              <w:pStyle w:val="NoSpacing"/>
              <w:numPr>
                <w:ilvl w:val="0"/>
                <w:numId w:val="3"/>
              </w:numPr>
              <w:spacing w:line="276" w:lineRule="auto"/>
              <w:jc w:val="both"/>
              <w:rPr>
                <w:lang w:val="en-IE"/>
              </w:rPr>
            </w:pPr>
            <w:r>
              <w:rPr>
                <w:lang w:val="en-IE"/>
              </w:rPr>
              <w:t>GES will continue to be discriminated against</w:t>
            </w:r>
          </w:p>
          <w:p w:rsidR="00DA25ED" w:rsidRDefault="00DA25ED" w:rsidP="00DA25ED">
            <w:pPr>
              <w:pStyle w:val="NoSpacing"/>
              <w:numPr>
                <w:ilvl w:val="0"/>
                <w:numId w:val="3"/>
              </w:numPr>
              <w:spacing w:line="276" w:lineRule="auto"/>
              <w:jc w:val="both"/>
              <w:rPr>
                <w:lang w:val="en-IE"/>
              </w:rPr>
            </w:pPr>
            <w:r>
              <w:rPr>
                <w:lang w:val="en-IE"/>
              </w:rPr>
              <w:t>The Market will not have efficient access to an additional bulk energy storage facility</w:t>
            </w:r>
          </w:p>
          <w:p w:rsidR="00DA25ED" w:rsidRDefault="00DA25ED" w:rsidP="00DA25ED">
            <w:pPr>
              <w:pStyle w:val="NoSpacing"/>
              <w:numPr>
                <w:ilvl w:val="0"/>
                <w:numId w:val="3"/>
              </w:numPr>
              <w:spacing w:line="276" w:lineRule="auto"/>
              <w:jc w:val="both"/>
              <w:rPr>
                <w:lang w:val="en-IE"/>
              </w:rPr>
            </w:pPr>
            <w:r>
              <w:rPr>
                <w:lang w:val="en-IE"/>
              </w:rPr>
              <w:t>Competition in the market will not be improved</w:t>
            </w:r>
          </w:p>
          <w:p w:rsidR="00DA25ED" w:rsidRPr="00FE4FA4" w:rsidRDefault="00DA25ED" w:rsidP="00FE4FA4">
            <w:pPr>
              <w:pStyle w:val="NoSpacing"/>
              <w:numPr>
                <w:ilvl w:val="0"/>
                <w:numId w:val="3"/>
              </w:numPr>
              <w:spacing w:line="276" w:lineRule="auto"/>
              <w:jc w:val="both"/>
              <w:rPr>
                <w:lang w:val="en-IE"/>
              </w:rPr>
            </w:pPr>
            <w:r>
              <w:rPr>
                <w:lang w:val="en-IE"/>
              </w:rPr>
              <w:t>The barrier of entry for new market participants will become widely apparent in the market place</w:t>
            </w:r>
          </w:p>
        </w:tc>
      </w:tr>
      <w:tr w:rsidR="004C53E7" w:rsidRPr="004C53E7" w:rsidTr="00B068F3">
        <w:trPr>
          <w:trHeight w:val="507"/>
        </w:trPr>
        <w:tc>
          <w:tcPr>
            <w:tcW w:w="4621" w:type="dxa"/>
            <w:gridSpan w:val="3"/>
            <w:shd w:val="clear" w:color="auto" w:fill="C6D9F1"/>
            <w:vAlign w:val="center"/>
          </w:tcPr>
          <w:p w:rsidR="004C53E7" w:rsidRPr="004C53E7" w:rsidRDefault="004C53E7" w:rsidP="00B068F3">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B068F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B068F3">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068F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068F3">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E9678D" w:rsidP="00E9678D">
            <w:pPr>
              <w:pStyle w:val="NoSpacing"/>
              <w:rPr>
                <w:lang w:val="en-IE"/>
              </w:rPr>
            </w:pPr>
            <w:r>
              <w:rPr>
                <w:lang w:val="en-IE"/>
              </w:rPr>
              <w:t>GES request that joint meetings are conducted with GES, TSOs, SEMO &amp; RAs.</w:t>
            </w:r>
          </w:p>
        </w:tc>
        <w:tc>
          <w:tcPr>
            <w:tcW w:w="4622" w:type="dxa"/>
            <w:gridSpan w:val="3"/>
            <w:vAlign w:val="center"/>
          </w:tcPr>
          <w:p w:rsidR="004C53E7" w:rsidRPr="004C53E7" w:rsidDel="00404964" w:rsidRDefault="00E9678D" w:rsidP="00E9678D">
            <w:pPr>
              <w:pStyle w:val="NoSpacing"/>
              <w:rPr>
                <w:lang w:val="en-IE"/>
              </w:rPr>
            </w:pPr>
            <w:r>
              <w:rPr>
                <w:lang w:val="en-IE"/>
              </w:rPr>
              <w:t>Unable to Assess at present</w:t>
            </w:r>
          </w:p>
        </w:tc>
      </w:tr>
      <w:tr w:rsidR="004C53E7" w:rsidRPr="004C53E7" w:rsidTr="00B068F3">
        <w:tc>
          <w:tcPr>
            <w:tcW w:w="9243" w:type="dxa"/>
            <w:gridSpan w:val="6"/>
            <w:vAlign w:val="center"/>
          </w:tcPr>
          <w:p w:rsidR="004C53E7" w:rsidRPr="004C53E7" w:rsidRDefault="004C53E7" w:rsidP="00B068F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F3" w:rsidRDefault="00B068F3" w:rsidP="007C1712">
      <w:r>
        <w:separator/>
      </w:r>
    </w:p>
  </w:endnote>
  <w:endnote w:type="continuationSeparator" w:id="0">
    <w:p w:rsidR="00B068F3" w:rsidRDefault="00B068F3" w:rsidP="007C1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F3" w:rsidRDefault="00B068F3" w:rsidP="007C1712">
      <w:r>
        <w:separator/>
      </w:r>
    </w:p>
  </w:footnote>
  <w:footnote w:type="continuationSeparator" w:id="0">
    <w:p w:rsidR="00B068F3" w:rsidRDefault="00B068F3" w:rsidP="007C1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CC17FA"/>
    <w:multiLevelType w:val="hybridMultilevel"/>
    <w:tmpl w:val="6B3EB8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2FE0156"/>
    <w:multiLevelType w:val="hybridMultilevel"/>
    <w:tmpl w:val="BF4E8CC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3C41662"/>
    <w:multiLevelType w:val="hybridMultilevel"/>
    <w:tmpl w:val="A9A0FFEC"/>
    <w:lvl w:ilvl="0" w:tplc="A4A28218">
      <w:start w:val="1"/>
      <w:numFmt w:val="decimal"/>
      <w:pStyle w:val="CERNUMBERBULLET"/>
      <w:lvlText w:val="%1."/>
      <w:lvlJc w:val="left"/>
      <w:pPr>
        <w:tabs>
          <w:tab w:val="num" w:pos="850"/>
        </w:tabs>
        <w:ind w:left="1417" w:hanging="567"/>
      </w:pPr>
      <w:rPr>
        <w:rFonts w:cs="Times New Roman" w:hint="default"/>
      </w:rPr>
    </w:lvl>
    <w:lvl w:ilvl="1" w:tplc="3EFCC568">
      <w:start w:val="1"/>
      <w:numFmt w:val="lowerLetter"/>
      <w:lvlText w:val="%2."/>
      <w:lvlJc w:val="left"/>
      <w:pPr>
        <w:tabs>
          <w:tab w:val="num" w:pos="1971"/>
        </w:tabs>
        <w:ind w:left="1971" w:hanging="360"/>
      </w:pPr>
      <w:rPr>
        <w:rFonts w:cs="Times New Roman" w:hint="default"/>
      </w:rPr>
    </w:lvl>
    <w:lvl w:ilvl="2" w:tplc="0809000F">
      <w:start w:val="1"/>
      <w:numFmt w:val="decimal"/>
      <w:lvlText w:val="%3."/>
      <w:lvlJc w:val="left"/>
      <w:pPr>
        <w:tabs>
          <w:tab w:val="num" w:pos="2740"/>
        </w:tabs>
        <w:ind w:left="2740" w:hanging="360"/>
      </w:pPr>
      <w:rPr>
        <w:rFonts w:cs="Times New Roman" w:hint="default"/>
      </w:rPr>
    </w:lvl>
    <w:lvl w:ilvl="3" w:tplc="15A23498">
      <w:start w:val="1"/>
      <w:numFmt w:val="lowerLetter"/>
      <w:lvlText w:val="(%4)"/>
      <w:lvlJc w:val="left"/>
      <w:pPr>
        <w:tabs>
          <w:tab w:val="num" w:pos="3280"/>
        </w:tabs>
        <w:ind w:left="3280" w:hanging="360"/>
      </w:pPr>
      <w:rPr>
        <w:rFonts w:cs="Times New Roman" w:hint="default"/>
      </w:rPr>
    </w:lvl>
    <w:lvl w:ilvl="4" w:tplc="FFFFFFFF" w:tentative="1">
      <w:start w:val="1"/>
      <w:numFmt w:val="lowerLetter"/>
      <w:lvlText w:val="%5."/>
      <w:lvlJc w:val="left"/>
      <w:pPr>
        <w:tabs>
          <w:tab w:val="num" w:pos="4000"/>
        </w:tabs>
        <w:ind w:left="4000" w:hanging="360"/>
      </w:pPr>
      <w:rPr>
        <w:rFonts w:cs="Times New Roman"/>
      </w:rPr>
    </w:lvl>
    <w:lvl w:ilvl="5" w:tplc="FFFFFFFF" w:tentative="1">
      <w:start w:val="1"/>
      <w:numFmt w:val="lowerRoman"/>
      <w:lvlText w:val="%6."/>
      <w:lvlJc w:val="right"/>
      <w:pPr>
        <w:tabs>
          <w:tab w:val="num" w:pos="4720"/>
        </w:tabs>
        <w:ind w:left="4720" w:hanging="180"/>
      </w:pPr>
      <w:rPr>
        <w:rFonts w:cs="Times New Roman"/>
      </w:rPr>
    </w:lvl>
    <w:lvl w:ilvl="6" w:tplc="FFFFFFFF" w:tentative="1">
      <w:start w:val="1"/>
      <w:numFmt w:val="decimal"/>
      <w:lvlText w:val="%7."/>
      <w:lvlJc w:val="left"/>
      <w:pPr>
        <w:tabs>
          <w:tab w:val="num" w:pos="5440"/>
        </w:tabs>
        <w:ind w:left="5440" w:hanging="360"/>
      </w:pPr>
      <w:rPr>
        <w:rFonts w:cs="Times New Roman"/>
      </w:rPr>
    </w:lvl>
    <w:lvl w:ilvl="7" w:tplc="FFFFFFFF" w:tentative="1">
      <w:start w:val="1"/>
      <w:numFmt w:val="lowerLetter"/>
      <w:lvlText w:val="%8."/>
      <w:lvlJc w:val="left"/>
      <w:pPr>
        <w:tabs>
          <w:tab w:val="num" w:pos="6160"/>
        </w:tabs>
        <w:ind w:left="6160" w:hanging="360"/>
      </w:pPr>
      <w:rPr>
        <w:rFonts w:cs="Times New Roman"/>
      </w:rPr>
    </w:lvl>
    <w:lvl w:ilvl="8" w:tplc="FFFFFFFF" w:tentative="1">
      <w:start w:val="1"/>
      <w:numFmt w:val="lowerRoman"/>
      <w:lvlText w:val="%9."/>
      <w:lvlJc w:val="right"/>
      <w:pPr>
        <w:tabs>
          <w:tab w:val="num" w:pos="6880"/>
        </w:tabs>
        <w:ind w:left="6880" w:hanging="180"/>
      </w:pPr>
      <w:rPr>
        <w:rFonts w:cs="Times New Roman"/>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03C10"/>
    <w:rsid w:val="00025FCD"/>
    <w:rsid w:val="00026829"/>
    <w:rsid w:val="000A0A2E"/>
    <w:rsid w:val="00105DBB"/>
    <w:rsid w:val="00113CC1"/>
    <w:rsid w:val="001552F9"/>
    <w:rsid w:val="002012B7"/>
    <w:rsid w:val="00276500"/>
    <w:rsid w:val="002A1A3E"/>
    <w:rsid w:val="00381AFB"/>
    <w:rsid w:val="003C7BEB"/>
    <w:rsid w:val="003F33D7"/>
    <w:rsid w:val="004442B9"/>
    <w:rsid w:val="0048382F"/>
    <w:rsid w:val="004A38DC"/>
    <w:rsid w:val="004C53E7"/>
    <w:rsid w:val="0050605F"/>
    <w:rsid w:val="00513CFA"/>
    <w:rsid w:val="005235A5"/>
    <w:rsid w:val="0058701F"/>
    <w:rsid w:val="005A4365"/>
    <w:rsid w:val="005D345C"/>
    <w:rsid w:val="005E4FBE"/>
    <w:rsid w:val="005F4FD5"/>
    <w:rsid w:val="0063249B"/>
    <w:rsid w:val="00690E9A"/>
    <w:rsid w:val="00693AA7"/>
    <w:rsid w:val="006C577B"/>
    <w:rsid w:val="006D7AAB"/>
    <w:rsid w:val="006E02C1"/>
    <w:rsid w:val="00713891"/>
    <w:rsid w:val="007412AC"/>
    <w:rsid w:val="007B5A7F"/>
    <w:rsid w:val="007C1712"/>
    <w:rsid w:val="0081044D"/>
    <w:rsid w:val="00816167"/>
    <w:rsid w:val="0084632A"/>
    <w:rsid w:val="008D328E"/>
    <w:rsid w:val="008E1DF8"/>
    <w:rsid w:val="008E2017"/>
    <w:rsid w:val="0090568F"/>
    <w:rsid w:val="009B72EB"/>
    <w:rsid w:val="009E7EFF"/>
    <w:rsid w:val="00A05155"/>
    <w:rsid w:val="00A15B4E"/>
    <w:rsid w:val="00A6152E"/>
    <w:rsid w:val="00A63FBB"/>
    <w:rsid w:val="00A757A6"/>
    <w:rsid w:val="00AA5552"/>
    <w:rsid w:val="00AA67DD"/>
    <w:rsid w:val="00B068F3"/>
    <w:rsid w:val="00B54347"/>
    <w:rsid w:val="00C667F0"/>
    <w:rsid w:val="00C6689F"/>
    <w:rsid w:val="00CA493E"/>
    <w:rsid w:val="00CC4C3F"/>
    <w:rsid w:val="00CF0DBC"/>
    <w:rsid w:val="00D1310C"/>
    <w:rsid w:val="00D854BF"/>
    <w:rsid w:val="00D92E00"/>
    <w:rsid w:val="00DA25ED"/>
    <w:rsid w:val="00E259AE"/>
    <w:rsid w:val="00E44B6A"/>
    <w:rsid w:val="00E50E4C"/>
    <w:rsid w:val="00E5253B"/>
    <w:rsid w:val="00E5266B"/>
    <w:rsid w:val="00E92576"/>
    <w:rsid w:val="00E9678D"/>
    <w:rsid w:val="00EC45AF"/>
    <w:rsid w:val="00ED2128"/>
    <w:rsid w:val="00F20CCB"/>
    <w:rsid w:val="00F90C75"/>
    <w:rsid w:val="00FB6D5D"/>
    <w:rsid w:val="00FC5FCD"/>
    <w:rsid w:val="00FE4FA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NoSpacing">
    <w:name w:val="No Spacing"/>
    <w:uiPriority w:val="1"/>
    <w:qFormat/>
    <w:rsid w:val="00F20C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sid w:val="00E5253B"/>
    <w:rPr>
      <w:sz w:val="16"/>
      <w:szCs w:val="16"/>
    </w:rPr>
  </w:style>
  <w:style w:type="paragraph" w:styleId="CommentText">
    <w:name w:val="annotation text"/>
    <w:basedOn w:val="Normal"/>
    <w:link w:val="CommentTextChar"/>
    <w:uiPriority w:val="99"/>
    <w:semiHidden/>
    <w:unhideWhenUsed/>
    <w:rsid w:val="00E5253B"/>
  </w:style>
  <w:style w:type="character" w:customStyle="1" w:styleId="CommentTextChar">
    <w:name w:val="Comment Text Char"/>
    <w:basedOn w:val="DefaultParagraphFont"/>
    <w:link w:val="CommentText"/>
    <w:uiPriority w:val="99"/>
    <w:semiHidden/>
    <w:rsid w:val="00E5253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5253B"/>
    <w:rPr>
      <w:b/>
      <w:bCs/>
    </w:rPr>
  </w:style>
  <w:style w:type="character" w:customStyle="1" w:styleId="CommentSubjectChar">
    <w:name w:val="Comment Subject Char"/>
    <w:basedOn w:val="CommentTextChar"/>
    <w:link w:val="CommentSubject"/>
    <w:uiPriority w:val="99"/>
    <w:semiHidden/>
    <w:rsid w:val="00E5253B"/>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E5253B"/>
    <w:rPr>
      <w:rFonts w:ascii="Tahoma" w:hAnsi="Tahoma" w:cs="Tahoma"/>
      <w:sz w:val="16"/>
      <w:szCs w:val="16"/>
    </w:rPr>
  </w:style>
  <w:style w:type="character" w:customStyle="1" w:styleId="BalloonTextChar">
    <w:name w:val="Balloon Text Char"/>
    <w:basedOn w:val="DefaultParagraphFont"/>
    <w:link w:val="BalloonText"/>
    <w:uiPriority w:val="99"/>
    <w:semiHidden/>
    <w:rsid w:val="00E5253B"/>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7C1712"/>
    <w:pPr>
      <w:tabs>
        <w:tab w:val="center" w:pos="4513"/>
        <w:tab w:val="right" w:pos="9026"/>
      </w:tabs>
    </w:pPr>
  </w:style>
  <w:style w:type="character" w:customStyle="1" w:styleId="HeaderChar">
    <w:name w:val="Header Char"/>
    <w:basedOn w:val="DefaultParagraphFont"/>
    <w:link w:val="Header"/>
    <w:uiPriority w:val="99"/>
    <w:rsid w:val="007C1712"/>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7C1712"/>
    <w:pPr>
      <w:tabs>
        <w:tab w:val="center" w:pos="4513"/>
        <w:tab w:val="right" w:pos="9026"/>
      </w:tabs>
    </w:pPr>
  </w:style>
  <w:style w:type="character" w:customStyle="1" w:styleId="FooterChar">
    <w:name w:val="Footer Char"/>
    <w:basedOn w:val="DefaultParagraphFont"/>
    <w:link w:val="Footer"/>
    <w:uiPriority w:val="99"/>
    <w:rsid w:val="007C1712"/>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A15B4E"/>
    <w:pPr>
      <w:ind w:left="720"/>
      <w:contextualSpacing/>
    </w:pPr>
  </w:style>
  <w:style w:type="paragraph" w:customStyle="1" w:styleId="CERNUMBERBULLET">
    <w:name w:val="CER NUMBER BULLET"/>
    <w:link w:val="CERNUMBERBULLETChar1"/>
    <w:rsid w:val="0048382F"/>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48382F"/>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NoSpacing">
    <w:name w:val="No Spacing"/>
    <w:uiPriority w:val="1"/>
    <w:qFormat/>
    <w:rsid w:val="00F20C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sid w:val="00E5253B"/>
    <w:rPr>
      <w:sz w:val="16"/>
      <w:szCs w:val="16"/>
    </w:rPr>
  </w:style>
  <w:style w:type="paragraph" w:styleId="CommentText">
    <w:name w:val="annotation text"/>
    <w:basedOn w:val="Normal"/>
    <w:link w:val="CommentTextChar"/>
    <w:uiPriority w:val="99"/>
    <w:semiHidden/>
    <w:unhideWhenUsed/>
    <w:rsid w:val="00E5253B"/>
  </w:style>
  <w:style w:type="character" w:customStyle="1" w:styleId="CommentTextChar">
    <w:name w:val="Comment Text Char"/>
    <w:basedOn w:val="DefaultParagraphFont"/>
    <w:link w:val="CommentText"/>
    <w:uiPriority w:val="99"/>
    <w:semiHidden/>
    <w:rsid w:val="00E5253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5253B"/>
    <w:rPr>
      <w:b/>
      <w:bCs/>
    </w:rPr>
  </w:style>
  <w:style w:type="character" w:customStyle="1" w:styleId="CommentSubjectChar">
    <w:name w:val="Comment Subject Char"/>
    <w:basedOn w:val="CommentTextChar"/>
    <w:link w:val="CommentSubject"/>
    <w:uiPriority w:val="99"/>
    <w:semiHidden/>
    <w:rsid w:val="00E5253B"/>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E5253B"/>
    <w:rPr>
      <w:rFonts w:ascii="Tahoma" w:hAnsi="Tahoma" w:cs="Tahoma"/>
      <w:sz w:val="16"/>
      <w:szCs w:val="16"/>
    </w:rPr>
  </w:style>
  <w:style w:type="character" w:customStyle="1" w:styleId="BalloonTextChar">
    <w:name w:val="Balloon Text Char"/>
    <w:basedOn w:val="DefaultParagraphFont"/>
    <w:link w:val="BalloonText"/>
    <w:uiPriority w:val="99"/>
    <w:semiHidden/>
    <w:rsid w:val="00E5253B"/>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7C1712"/>
    <w:pPr>
      <w:tabs>
        <w:tab w:val="center" w:pos="4513"/>
        <w:tab w:val="right" w:pos="9026"/>
      </w:tabs>
    </w:pPr>
  </w:style>
  <w:style w:type="character" w:customStyle="1" w:styleId="HeaderChar">
    <w:name w:val="Header Char"/>
    <w:basedOn w:val="DefaultParagraphFont"/>
    <w:link w:val="Header"/>
    <w:uiPriority w:val="99"/>
    <w:rsid w:val="007C1712"/>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7C1712"/>
    <w:pPr>
      <w:tabs>
        <w:tab w:val="center" w:pos="4513"/>
        <w:tab w:val="right" w:pos="9026"/>
      </w:tabs>
    </w:pPr>
  </w:style>
  <w:style w:type="character" w:customStyle="1" w:styleId="FooterChar">
    <w:name w:val="Footer Char"/>
    <w:basedOn w:val="DefaultParagraphFont"/>
    <w:link w:val="Footer"/>
    <w:uiPriority w:val="99"/>
    <w:rsid w:val="007C1712"/>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A15B4E"/>
    <w:pPr>
      <w:ind w:left="720"/>
      <w:contextualSpacing/>
    </w:pPr>
  </w:style>
</w:styles>
</file>

<file path=word/webSettings.xml><?xml version="1.0" encoding="utf-8"?>
<w:webSettings xmlns:r="http://schemas.openxmlformats.org/officeDocument/2006/relationships" xmlns:w="http://schemas.openxmlformats.org/wordprocessingml/2006/main">
  <w:divs>
    <w:div w:id="1970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1370</MMTID>
    <ModID xmlns="bd8dd43f-48f8-46ce-9b8d-78f402b7750b">658</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82506E0-2511-4C53-AF67-2EF73E5B9B1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1834BD2D-978F-46B2-A103-B57FA2349A1C}"/>
</file>

<file path=docProps/app.xml><?xml version="1.0" encoding="utf-8"?>
<Properties xmlns="http://schemas.openxmlformats.org/officeDocument/2006/extended-properties" xmlns:vt="http://schemas.openxmlformats.org/officeDocument/2006/docPropsVTypes">
  <Template>Normal</Template>
  <TotalTime>10</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creator>aodonnell</dc:creator>
  <cp:lastModifiedBy>sking</cp:lastModifiedBy>
  <cp:revision>6</cp:revision>
  <cp:lastPrinted>2012-05-15T09:53:00Z</cp:lastPrinted>
  <dcterms:created xsi:type="dcterms:W3CDTF">2012-05-16T11:06:00Z</dcterms:created>
  <dcterms:modified xsi:type="dcterms:W3CDTF">2012-05-16T11:26:00Z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996</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4" name="_CopySource">
    <vt:lpwstr>Mod_11_12 Gaelectric.docx</vt:lpwstr>
  </property>
  <property fmtid="{D5CDD505-2E9C-101B-9397-08002B2CF9AE}" pid="15" name="Order">
    <vt:r8>326700</vt:r8>
  </property>
</Properties>
</file>