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DF" w:rsidRPr="00135A1E" w:rsidRDefault="00DE2A12" w:rsidP="00C53AA6">
      <w:pPr>
        <w:ind w:firstLine="720"/>
        <w:jc w:val="center"/>
      </w:pPr>
      <w:bookmarkStart w:id="0" w:name="_GoBack"/>
      <w:bookmarkEnd w:id="0"/>
      <w:r>
        <w:t xml:space="preserve">                                                                                              </w:t>
      </w:r>
      <w:r w:rsidRPr="00DE2A12">
        <w:rPr>
          <w:noProof/>
          <w:lang w:val="en-IE" w:eastAsia="en-IE" w:bidi="ar-SA"/>
        </w:rPr>
        <w:drawing>
          <wp:inline distT="0" distB="0" distL="0" distR="0">
            <wp:extent cx="942975" cy="866775"/>
            <wp:effectExtent l="19050" t="0" r="9525" b="0"/>
            <wp:docPr id="6" name="Picture 1" descr="http://www.soni.ltd.uk/media/styleassets/styleimages/soni_logo_201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ni.ltd.uk/media/styleassets/styleimages/soni_logo_2015.png"/>
                    <pic:cNvPicPr>
                      <a:picLocks noChangeAspect="1" noChangeArrowheads="1"/>
                    </pic:cNvPicPr>
                  </pic:nvPicPr>
                  <pic:blipFill>
                    <a:blip r:embed="rId10" r:link="rId11" cstate="print"/>
                    <a:srcRect/>
                    <a:stretch>
                      <a:fillRect/>
                    </a:stretch>
                  </pic:blipFill>
                  <pic:spPr bwMode="auto">
                    <a:xfrm>
                      <a:off x="0" y="0"/>
                      <a:ext cx="942975" cy="866775"/>
                    </a:xfrm>
                    <a:prstGeom prst="rect">
                      <a:avLst/>
                    </a:prstGeom>
                    <a:noFill/>
                    <a:ln w="9525">
                      <a:noFill/>
                      <a:miter lim="800000"/>
                      <a:headEnd/>
                      <a:tailEnd/>
                    </a:ln>
                  </pic:spPr>
                </pic:pic>
              </a:graphicData>
            </a:graphic>
          </wp:inline>
        </w:drawing>
      </w:r>
      <w:r>
        <w:rPr>
          <w:noProof/>
          <w:lang w:val="en-IE" w:eastAsia="en-IE" w:bidi="ar-SA"/>
        </w:rPr>
        <w:drawing>
          <wp:anchor distT="0" distB="0" distL="114300" distR="114300" simplePos="0" relativeHeight="251658240" behindDoc="0" locked="0" layoutInCell="1" allowOverlap="1">
            <wp:simplePos x="0" y="0"/>
            <wp:positionH relativeFrom="column">
              <wp:align>left</wp:align>
            </wp:positionH>
            <wp:positionV relativeFrom="paragraph">
              <wp:posOffset>22225</wp:posOffset>
            </wp:positionV>
            <wp:extent cx="1019175" cy="914400"/>
            <wp:effectExtent l="19050" t="0" r="9525" b="0"/>
            <wp:wrapSquare wrapText="bothSides"/>
            <wp:docPr id="4" name="Picture 1" descr="Description: cid:image005.png@01CB4AAA.22FE5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5.png@01CB4AAA.22FE54A0"/>
                    <pic:cNvPicPr>
                      <a:picLocks noChangeAspect="1" noChangeArrowheads="1"/>
                    </pic:cNvPicPr>
                  </pic:nvPicPr>
                  <pic:blipFill>
                    <a:blip r:embed="rId12" cstate="print"/>
                    <a:srcRect/>
                    <a:stretch>
                      <a:fillRect/>
                    </a:stretch>
                  </pic:blipFill>
                  <pic:spPr bwMode="auto">
                    <a:xfrm>
                      <a:off x="0" y="0"/>
                      <a:ext cx="1019175" cy="914400"/>
                    </a:xfrm>
                    <a:prstGeom prst="rect">
                      <a:avLst/>
                    </a:prstGeom>
                    <a:noFill/>
                    <a:ln w="9525">
                      <a:noFill/>
                      <a:miter lim="800000"/>
                      <a:headEnd/>
                      <a:tailEnd/>
                    </a:ln>
                  </pic:spPr>
                </pic:pic>
              </a:graphicData>
            </a:graphic>
          </wp:anchor>
        </w:drawing>
      </w:r>
    </w:p>
    <w:p w:rsidR="00DE2A12" w:rsidRDefault="00DE2A12" w:rsidP="00DE2A12">
      <w:r>
        <w:tab/>
      </w:r>
      <w:r>
        <w:tab/>
      </w:r>
      <w:r>
        <w:tab/>
      </w:r>
      <w:r>
        <w:tab/>
      </w:r>
      <w:r>
        <w:tab/>
      </w:r>
      <w:r>
        <w:tab/>
      </w:r>
      <w:r>
        <w:tab/>
      </w:r>
      <w:r>
        <w:tab/>
      </w:r>
      <w:r>
        <w:br w:type="textWrapping" w:clear="all"/>
      </w:r>
    </w:p>
    <w:p w:rsidR="00DD19DF" w:rsidRPr="00DE2A12" w:rsidRDefault="00086C3A" w:rsidP="00DE2A12">
      <w:pPr>
        <w:pStyle w:val="SEMTitle"/>
        <w:rPr>
          <w:b/>
        </w:rPr>
      </w:pPr>
      <w:r w:rsidRPr="00DE2A12">
        <w:rPr>
          <w:b/>
        </w:rPr>
        <w:t>Capacity</w:t>
      </w:r>
      <w:r w:rsidR="00DD19DF" w:rsidRPr="00DE2A12">
        <w:rPr>
          <w:b/>
        </w:rPr>
        <w:t xml:space="preserve"> Market</w:t>
      </w:r>
      <w:r w:rsidRPr="00DE2A12">
        <w:rPr>
          <w:b/>
        </w:rPr>
        <w:t xml:space="preserve"> Code</w:t>
      </w:r>
    </w:p>
    <w:p w:rsidR="00DE2A12" w:rsidRPr="00DE2A12" w:rsidRDefault="00DE2A12" w:rsidP="00DE2A12">
      <w:pPr>
        <w:pStyle w:val="SEMTitle"/>
        <w:rPr>
          <w:b/>
        </w:rPr>
      </w:pPr>
      <w:r w:rsidRPr="00DE2A12">
        <w:rPr>
          <w:b/>
        </w:rPr>
        <w:t>Modifications</w:t>
      </w:r>
    </w:p>
    <w:p w:rsidR="00DD19DF" w:rsidRPr="00135A1E" w:rsidRDefault="00DD19DF" w:rsidP="00DD19DF">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19DF" w:rsidRPr="00135A1E">
        <w:tc>
          <w:tcPr>
            <w:tcW w:w="5000" w:type="pct"/>
            <w:shd w:val="clear" w:color="auto" w:fill="666699"/>
          </w:tcPr>
          <w:p w:rsidR="00DD19DF" w:rsidRDefault="00DD19DF" w:rsidP="00DD19DF">
            <w:pPr>
              <w:pStyle w:val="DocTitle"/>
              <w:jc w:val="both"/>
            </w:pPr>
          </w:p>
          <w:p w:rsidR="00DD19DF" w:rsidRDefault="00DD19DF" w:rsidP="00DD19DF">
            <w:pPr>
              <w:pStyle w:val="DocTitle"/>
            </w:pPr>
            <w:r>
              <w:t>Working Group</w:t>
            </w:r>
            <w:r w:rsidR="00D24C10">
              <w:t xml:space="preserve"> </w:t>
            </w:r>
            <w:r w:rsidR="00086C3A">
              <w:t>1</w:t>
            </w:r>
            <w:r>
              <w:t xml:space="preserve"> Report</w:t>
            </w:r>
            <w:r w:rsidR="00063EF9">
              <w:t xml:space="preserve"> (V1.1)</w:t>
            </w:r>
          </w:p>
          <w:p w:rsidR="00DD19DF" w:rsidRDefault="00DD19DF" w:rsidP="00DD19DF">
            <w:pPr>
              <w:pStyle w:val="DocTitle"/>
            </w:pPr>
          </w:p>
          <w:p w:rsidR="00DD19DF" w:rsidRDefault="00086C3A" w:rsidP="00DD19DF">
            <w:pPr>
              <w:pStyle w:val="DocTitle"/>
            </w:pPr>
            <w:r>
              <w:t>10 May 2018</w:t>
            </w:r>
          </w:p>
          <w:p w:rsidR="00DD19DF" w:rsidRDefault="00DD19DF" w:rsidP="00DD19DF">
            <w:pPr>
              <w:pStyle w:val="DocTitle"/>
            </w:pPr>
          </w:p>
          <w:p w:rsidR="00DD19DF" w:rsidRDefault="00086C3A" w:rsidP="00DD19DF">
            <w:pPr>
              <w:pStyle w:val="DocTitle"/>
            </w:pPr>
            <w:r>
              <w:t>Eirgrid conference centre, dublin</w:t>
            </w:r>
          </w:p>
          <w:p w:rsidR="00DD19DF" w:rsidRPr="00135A1E" w:rsidRDefault="00DD19DF" w:rsidP="00DD19DF">
            <w:pPr>
              <w:pStyle w:val="DocTitle"/>
              <w:jc w:val="both"/>
            </w:pPr>
          </w:p>
        </w:tc>
      </w:tr>
    </w:tbl>
    <w:p w:rsidR="00DD19DF" w:rsidRDefault="00DD19DF" w:rsidP="00DD19DF">
      <w:pPr>
        <w:pBdr>
          <w:bottom w:val="single" w:sz="12" w:space="1" w:color="auto"/>
        </w:pBdr>
        <w:jc w:val="both"/>
        <w:rPr>
          <w:rFonts w:cs="Arial"/>
        </w:rPr>
      </w:pPr>
    </w:p>
    <w:p w:rsidR="00DD19DF" w:rsidRPr="00135A1E" w:rsidRDefault="00DD19DF" w:rsidP="00DD19DF">
      <w:pPr>
        <w:pBdr>
          <w:bottom w:val="single" w:sz="12" w:space="1" w:color="auto"/>
        </w:pBdr>
        <w:jc w:val="both"/>
        <w:rPr>
          <w:rStyle w:val="TableText"/>
        </w:rPr>
      </w:pPr>
    </w:p>
    <w:p w:rsidR="00DD19DF" w:rsidRPr="00135A1E" w:rsidRDefault="00DD19DF" w:rsidP="00DD19DF">
      <w:pPr>
        <w:pBdr>
          <w:bottom w:val="single" w:sz="12" w:space="1" w:color="auto"/>
        </w:pBdr>
        <w:jc w:val="both"/>
        <w:rPr>
          <w:rStyle w:val="TableText"/>
        </w:rPr>
      </w:pPr>
    </w:p>
    <w:p w:rsidR="00DD19DF" w:rsidRPr="00135A1E" w:rsidRDefault="00DD19DF" w:rsidP="00DD19DF">
      <w:pPr>
        <w:jc w:val="both"/>
        <w:rPr>
          <w:rStyle w:val="TableText"/>
        </w:rPr>
      </w:pPr>
    </w:p>
    <w:p w:rsidR="00DD19DF" w:rsidRPr="00135A1E" w:rsidRDefault="00DD19DF" w:rsidP="00DD19DF">
      <w:pPr>
        <w:pStyle w:val="Notices"/>
        <w:jc w:val="both"/>
        <w:rPr>
          <w:rStyle w:val="TableText"/>
        </w:rPr>
      </w:pPr>
      <w:r w:rsidRPr="00135A1E">
        <w:rPr>
          <w:rStyle w:val="TableText"/>
        </w:rPr>
        <w:t>COPYRIGHT NOTICE</w:t>
      </w:r>
    </w:p>
    <w:p w:rsidR="00DD19DF" w:rsidRPr="00135A1E" w:rsidRDefault="00DD19DF" w:rsidP="00DD19DF">
      <w:pPr>
        <w:pStyle w:val="Notices"/>
        <w:jc w:val="both"/>
        <w:rPr>
          <w:rStyle w:val="TableText"/>
        </w:rPr>
      </w:pPr>
      <w:bookmarkStart w:id="1" w:name="_DV_M7"/>
      <w:bookmarkEnd w:id="1"/>
      <w:r w:rsidRPr="00135A1E">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135A1E">
        <w:rPr>
          <w:rStyle w:val="TableText"/>
        </w:rPr>
        <w:t>EirGrid plc and SONI Limited.</w:t>
      </w:r>
      <w:bookmarkEnd w:id="2"/>
    </w:p>
    <w:p w:rsidR="00DD19DF" w:rsidRPr="00135A1E" w:rsidRDefault="00DD19DF" w:rsidP="00DD19DF">
      <w:pPr>
        <w:pStyle w:val="Notices"/>
        <w:jc w:val="both"/>
        <w:rPr>
          <w:rStyle w:val="TableText"/>
        </w:rPr>
      </w:pPr>
    </w:p>
    <w:p w:rsidR="00DD19DF" w:rsidRPr="00135A1E" w:rsidRDefault="00DD19DF" w:rsidP="00DD19DF">
      <w:pPr>
        <w:pStyle w:val="Notices"/>
        <w:jc w:val="both"/>
        <w:rPr>
          <w:rStyle w:val="TableText"/>
        </w:rPr>
      </w:pPr>
      <w:bookmarkStart w:id="3" w:name="_DV_C9"/>
      <w:r w:rsidRPr="00135A1E">
        <w:rPr>
          <w:rStyle w:val="TableText"/>
        </w:rPr>
        <w:t>DOCUMENT DISCLAIMER</w:t>
      </w:r>
      <w:bookmarkEnd w:id="3"/>
    </w:p>
    <w:p w:rsidR="00DD19DF" w:rsidRDefault="00DD19DF" w:rsidP="00DD19DF">
      <w:pPr>
        <w:pStyle w:val="Notices"/>
        <w:jc w:val="both"/>
        <w:rPr>
          <w:rStyle w:val="TableText"/>
        </w:rPr>
      </w:pPr>
      <w:bookmarkStart w:id="4"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DE2A12" w:rsidRDefault="00DE2A12" w:rsidP="00DD19DF">
      <w:pPr>
        <w:pStyle w:val="Notices"/>
        <w:jc w:val="both"/>
        <w:rPr>
          <w:rStyle w:val="TableText"/>
        </w:rPr>
      </w:pPr>
    </w:p>
    <w:p w:rsidR="00DE2A12" w:rsidRDefault="00DE2A12" w:rsidP="00DD19DF">
      <w:pPr>
        <w:pStyle w:val="Notices"/>
        <w:jc w:val="both"/>
        <w:rPr>
          <w:rStyle w:val="TableText"/>
        </w:rPr>
      </w:pPr>
    </w:p>
    <w:p w:rsidR="00DE2A12" w:rsidRDefault="00DE2A12" w:rsidP="00DD19DF">
      <w:pPr>
        <w:pStyle w:val="Notices"/>
        <w:jc w:val="both"/>
        <w:rPr>
          <w:rStyle w:val="TableText"/>
        </w:rPr>
      </w:pPr>
    </w:p>
    <w:p w:rsidR="00DE2A12" w:rsidRDefault="00DE2A12" w:rsidP="00DD19DF">
      <w:pPr>
        <w:pStyle w:val="Notices"/>
        <w:jc w:val="both"/>
        <w:rPr>
          <w:rStyle w:val="TableText"/>
        </w:rPr>
      </w:pPr>
    </w:p>
    <w:p w:rsidR="00DE2A12" w:rsidRPr="00135A1E" w:rsidRDefault="00DE2A12" w:rsidP="00DD19DF">
      <w:pPr>
        <w:pStyle w:val="Notices"/>
        <w:jc w:val="both"/>
        <w:rPr>
          <w:rStyle w:val="TableText"/>
        </w:rPr>
      </w:pPr>
    </w:p>
    <w:p w:rsidR="00DD19DF" w:rsidRPr="00774811" w:rsidRDefault="00DD19DF" w:rsidP="00DD19DF">
      <w:pPr>
        <w:jc w:val="both"/>
        <w:rPr>
          <w:sz w:val="18"/>
        </w:rPr>
      </w:pPr>
    </w:p>
    <w:p w:rsidR="00DD19DF" w:rsidRPr="002C1A23" w:rsidRDefault="00DD19DF" w:rsidP="00DD19DF">
      <w:pPr>
        <w:pStyle w:val="ContentsTitle"/>
        <w:jc w:val="both"/>
        <w:rPr>
          <w:lang w:bidi="ar-SA"/>
        </w:rPr>
      </w:pPr>
      <w:r w:rsidRPr="002C1A23">
        <w:rPr>
          <w:lang w:bidi="ar-SA"/>
        </w:rPr>
        <w:lastRenderedPageBreak/>
        <w:t>Table of Contents</w:t>
      </w:r>
    </w:p>
    <w:p w:rsidR="00DD19DF" w:rsidRPr="00774811" w:rsidRDefault="00DD19DF" w:rsidP="00DD19DF">
      <w:pPr>
        <w:jc w:val="both"/>
        <w:rPr>
          <w:highlight w:val="yellow"/>
          <w:lang w:bidi="ar-SA"/>
        </w:rPr>
      </w:pPr>
    </w:p>
    <w:p w:rsidR="00745810" w:rsidRDefault="002E70DF">
      <w:pPr>
        <w:pStyle w:val="TOC1"/>
        <w:rPr>
          <w:rFonts w:asciiTheme="minorHAnsi" w:eastAsiaTheme="minorEastAsia" w:hAnsiTheme="minorHAnsi" w:cstheme="minorBidi"/>
          <w:lang w:val="en-IE" w:eastAsia="en-IE" w:bidi="ar-SA"/>
        </w:rPr>
      </w:pPr>
      <w:r w:rsidRPr="002E70DF">
        <w:rPr>
          <w:sz w:val="48"/>
          <w:szCs w:val="48"/>
          <w:highlight w:val="yellow"/>
          <w:lang w:bidi="ar-SA"/>
        </w:rPr>
        <w:fldChar w:fldCharType="begin"/>
      </w:r>
      <w:r w:rsidR="00DD19DF" w:rsidRPr="00774811">
        <w:rPr>
          <w:sz w:val="48"/>
          <w:szCs w:val="48"/>
          <w:highlight w:val="yellow"/>
          <w:lang w:bidi="ar-SA"/>
        </w:rPr>
        <w:instrText xml:space="preserve"> TOC \o "1-3" \h \z \u </w:instrText>
      </w:r>
      <w:r w:rsidRPr="002E70DF">
        <w:rPr>
          <w:sz w:val="48"/>
          <w:szCs w:val="48"/>
          <w:highlight w:val="yellow"/>
          <w:lang w:bidi="ar-SA"/>
        </w:rPr>
        <w:fldChar w:fldCharType="separate"/>
      </w:r>
      <w:hyperlink w:anchor="_Toc514764230" w:history="1">
        <w:r w:rsidR="00745810" w:rsidRPr="00687F3B">
          <w:rPr>
            <w:rStyle w:val="Hyperlink"/>
          </w:rPr>
          <w:t>1</w:t>
        </w:r>
        <w:r w:rsidR="00745810">
          <w:rPr>
            <w:rFonts w:asciiTheme="minorHAnsi" w:eastAsiaTheme="minorEastAsia" w:hAnsiTheme="minorHAnsi" w:cstheme="minorBidi"/>
            <w:lang w:val="en-IE" w:eastAsia="en-IE" w:bidi="ar-SA"/>
          </w:rPr>
          <w:tab/>
        </w:r>
        <w:r w:rsidR="00745810" w:rsidRPr="00687F3B">
          <w:rPr>
            <w:rStyle w:val="Hyperlink"/>
          </w:rPr>
          <w:t xml:space="preserve">CMC_01_18 </w:t>
        </w:r>
        <w:r w:rsidR="00C87DFB" w:rsidRPr="00687F3B">
          <w:rPr>
            <w:rStyle w:val="Hyperlink"/>
          </w:rPr>
          <w:t>NIRO</w:t>
        </w:r>
        <w:r w:rsidR="00C87DFB">
          <w:rPr>
            <w:rStyle w:val="Hyperlink"/>
          </w:rPr>
          <w:t>C</w:t>
        </w:r>
        <w:r w:rsidR="00C87DFB" w:rsidRPr="00687F3B">
          <w:rPr>
            <w:rStyle w:val="Hyperlink"/>
          </w:rPr>
          <w:t xml:space="preserve">s </w:t>
        </w:r>
        <w:r w:rsidR="00745810" w:rsidRPr="00687F3B">
          <w:rPr>
            <w:rStyle w:val="Hyperlink"/>
          </w:rPr>
          <w:t>in the CRM</w:t>
        </w:r>
        <w:r w:rsidR="00745810">
          <w:rPr>
            <w:webHidden/>
          </w:rPr>
          <w:tab/>
        </w:r>
        <w:r>
          <w:rPr>
            <w:webHidden/>
          </w:rPr>
          <w:fldChar w:fldCharType="begin"/>
        </w:r>
        <w:r w:rsidR="00745810">
          <w:rPr>
            <w:webHidden/>
          </w:rPr>
          <w:instrText xml:space="preserve"> PAGEREF _Toc514764230 \h </w:instrText>
        </w:r>
        <w:r>
          <w:rPr>
            <w:webHidden/>
          </w:rPr>
        </w:r>
        <w:r>
          <w:rPr>
            <w:webHidden/>
          </w:rPr>
          <w:fldChar w:fldCharType="separate"/>
        </w:r>
        <w:r w:rsidR="00A7772C">
          <w:rPr>
            <w:webHidden/>
          </w:rPr>
          <w:t>5</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33" w:history="1">
        <w:r w:rsidR="00745810" w:rsidRPr="00687F3B">
          <w:rPr>
            <w:rStyle w:val="Hyperlink"/>
          </w:rPr>
          <w:t>2</w:t>
        </w:r>
        <w:r w:rsidR="00745810">
          <w:rPr>
            <w:rFonts w:asciiTheme="minorHAnsi" w:eastAsiaTheme="minorEastAsia" w:hAnsiTheme="minorHAnsi" w:cstheme="minorBidi"/>
            <w:lang w:val="en-IE" w:eastAsia="en-IE" w:bidi="ar-SA"/>
          </w:rPr>
          <w:tab/>
        </w:r>
        <w:r w:rsidR="00745810" w:rsidRPr="00687F3B">
          <w:rPr>
            <w:rStyle w:val="Hyperlink"/>
          </w:rPr>
          <w:t>CMC_02_18</w:t>
        </w:r>
        <w:r w:rsidR="00C87DFB">
          <w:rPr>
            <w:rStyle w:val="Hyperlink"/>
          </w:rPr>
          <w:t xml:space="preserve"> </w:t>
        </w:r>
        <w:r w:rsidR="00745810" w:rsidRPr="00687F3B">
          <w:rPr>
            <w:rStyle w:val="Hyperlink"/>
          </w:rPr>
          <w:t>Permitted Disclosures – Credit Agencies</w:t>
        </w:r>
        <w:r w:rsidR="00745810">
          <w:rPr>
            <w:webHidden/>
          </w:rPr>
          <w:tab/>
        </w:r>
        <w:r>
          <w:rPr>
            <w:webHidden/>
          </w:rPr>
          <w:fldChar w:fldCharType="begin"/>
        </w:r>
        <w:r w:rsidR="00745810">
          <w:rPr>
            <w:webHidden/>
          </w:rPr>
          <w:instrText xml:space="preserve"> PAGEREF _Toc514764233 \h </w:instrText>
        </w:r>
        <w:r>
          <w:rPr>
            <w:webHidden/>
          </w:rPr>
        </w:r>
        <w:r>
          <w:rPr>
            <w:webHidden/>
          </w:rPr>
          <w:fldChar w:fldCharType="separate"/>
        </w:r>
        <w:r w:rsidR="00A7772C">
          <w:rPr>
            <w:webHidden/>
          </w:rPr>
          <w:t>5</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36" w:history="1">
        <w:r w:rsidR="00745810" w:rsidRPr="00687F3B">
          <w:rPr>
            <w:rStyle w:val="Hyperlink"/>
          </w:rPr>
          <w:t>3</w:t>
        </w:r>
        <w:r w:rsidR="00745810">
          <w:rPr>
            <w:rFonts w:asciiTheme="minorHAnsi" w:eastAsiaTheme="minorEastAsia" w:hAnsiTheme="minorHAnsi" w:cstheme="minorBidi"/>
            <w:lang w:val="en-IE" w:eastAsia="en-IE" w:bidi="ar-SA"/>
          </w:rPr>
          <w:tab/>
        </w:r>
        <w:r w:rsidR="00745810" w:rsidRPr="00687F3B">
          <w:rPr>
            <w:rStyle w:val="Hyperlink"/>
          </w:rPr>
          <w:t>CMC_03_18 E.5.1.1.a</w:t>
        </w:r>
        <w:r w:rsidR="00745810">
          <w:rPr>
            <w:webHidden/>
          </w:rPr>
          <w:tab/>
        </w:r>
        <w:r>
          <w:rPr>
            <w:webHidden/>
          </w:rPr>
          <w:fldChar w:fldCharType="begin"/>
        </w:r>
        <w:r w:rsidR="00745810">
          <w:rPr>
            <w:webHidden/>
          </w:rPr>
          <w:instrText xml:space="preserve"> PAGEREF _Toc514764236 \h </w:instrText>
        </w:r>
        <w:r>
          <w:rPr>
            <w:webHidden/>
          </w:rPr>
        </w:r>
        <w:r>
          <w:rPr>
            <w:webHidden/>
          </w:rPr>
          <w:fldChar w:fldCharType="separate"/>
        </w:r>
        <w:r w:rsidR="00A7772C">
          <w:rPr>
            <w:webHidden/>
          </w:rPr>
          <w:t>6</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39" w:history="1">
        <w:r w:rsidR="00745810" w:rsidRPr="00687F3B">
          <w:rPr>
            <w:rStyle w:val="Hyperlink"/>
          </w:rPr>
          <w:t>4</w:t>
        </w:r>
        <w:r w:rsidR="00745810">
          <w:rPr>
            <w:rFonts w:asciiTheme="minorHAnsi" w:eastAsiaTheme="minorEastAsia" w:hAnsiTheme="minorHAnsi" w:cstheme="minorBidi"/>
            <w:lang w:val="en-IE" w:eastAsia="en-IE" w:bidi="ar-SA"/>
          </w:rPr>
          <w:tab/>
        </w:r>
        <w:r w:rsidR="00745810" w:rsidRPr="00687F3B">
          <w:rPr>
            <w:rStyle w:val="Hyperlink"/>
          </w:rPr>
          <w:t>CMC_04_18 F.2.1.1 – Capacity Auction Participation</w:t>
        </w:r>
        <w:r w:rsidR="00745810">
          <w:rPr>
            <w:webHidden/>
          </w:rPr>
          <w:tab/>
        </w:r>
        <w:r>
          <w:rPr>
            <w:webHidden/>
          </w:rPr>
          <w:fldChar w:fldCharType="begin"/>
        </w:r>
        <w:r w:rsidR="00745810">
          <w:rPr>
            <w:webHidden/>
          </w:rPr>
          <w:instrText xml:space="preserve"> PAGEREF _Toc514764239 \h </w:instrText>
        </w:r>
        <w:r>
          <w:rPr>
            <w:webHidden/>
          </w:rPr>
        </w:r>
        <w:r>
          <w:rPr>
            <w:webHidden/>
          </w:rPr>
          <w:fldChar w:fldCharType="separate"/>
        </w:r>
        <w:r w:rsidR="00A7772C">
          <w:rPr>
            <w:webHidden/>
          </w:rPr>
          <w:t>6</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42" w:history="1">
        <w:r w:rsidR="00745810" w:rsidRPr="00687F3B">
          <w:rPr>
            <w:rStyle w:val="Hyperlink"/>
          </w:rPr>
          <w:t>5</w:t>
        </w:r>
        <w:r w:rsidR="00745810">
          <w:rPr>
            <w:rFonts w:asciiTheme="minorHAnsi" w:eastAsiaTheme="minorEastAsia" w:hAnsiTheme="minorHAnsi" w:cstheme="minorBidi"/>
            <w:lang w:val="en-IE" w:eastAsia="en-IE" w:bidi="ar-SA"/>
          </w:rPr>
          <w:tab/>
        </w:r>
        <w:r w:rsidR="00745810" w:rsidRPr="00687F3B">
          <w:rPr>
            <w:rStyle w:val="Hyperlink"/>
          </w:rPr>
          <w:t>CMC_05_18 Combining candidate Units into a CApacity Market</w:t>
        </w:r>
        <w:r w:rsidR="00745810">
          <w:rPr>
            <w:webHidden/>
          </w:rPr>
          <w:tab/>
        </w:r>
        <w:r>
          <w:rPr>
            <w:webHidden/>
          </w:rPr>
          <w:fldChar w:fldCharType="begin"/>
        </w:r>
        <w:r w:rsidR="00745810">
          <w:rPr>
            <w:webHidden/>
          </w:rPr>
          <w:instrText xml:space="preserve"> PAGEREF _Toc514764242 \h </w:instrText>
        </w:r>
        <w:r>
          <w:rPr>
            <w:webHidden/>
          </w:rPr>
        </w:r>
        <w:r>
          <w:rPr>
            <w:webHidden/>
          </w:rPr>
          <w:fldChar w:fldCharType="separate"/>
        </w:r>
        <w:r w:rsidR="00A7772C">
          <w:rPr>
            <w:webHidden/>
          </w:rPr>
          <w:t>6</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45" w:history="1">
        <w:r w:rsidR="00745810" w:rsidRPr="00687F3B">
          <w:rPr>
            <w:rStyle w:val="Hyperlink"/>
          </w:rPr>
          <w:t>6</w:t>
        </w:r>
        <w:r w:rsidR="00745810">
          <w:rPr>
            <w:rFonts w:asciiTheme="minorHAnsi" w:eastAsiaTheme="minorEastAsia" w:hAnsiTheme="minorHAnsi" w:cstheme="minorBidi"/>
            <w:lang w:val="en-IE" w:eastAsia="en-IE" w:bidi="ar-SA"/>
          </w:rPr>
          <w:tab/>
        </w:r>
        <w:r w:rsidR="00745810" w:rsidRPr="00687F3B">
          <w:rPr>
            <w:rStyle w:val="Hyperlink"/>
          </w:rPr>
          <w:t>CMC_06_18 Dissagregation of Performance Security Requirements to Capacity Market Units</w:t>
        </w:r>
        <w:r w:rsidR="00745810">
          <w:rPr>
            <w:webHidden/>
          </w:rPr>
          <w:tab/>
        </w:r>
        <w:r>
          <w:rPr>
            <w:webHidden/>
          </w:rPr>
          <w:fldChar w:fldCharType="begin"/>
        </w:r>
        <w:r w:rsidR="00745810">
          <w:rPr>
            <w:webHidden/>
          </w:rPr>
          <w:instrText xml:space="preserve"> PAGEREF _Toc514764245 \h </w:instrText>
        </w:r>
        <w:r>
          <w:rPr>
            <w:webHidden/>
          </w:rPr>
        </w:r>
        <w:r>
          <w:rPr>
            <w:webHidden/>
          </w:rPr>
          <w:fldChar w:fldCharType="separate"/>
        </w:r>
        <w:r w:rsidR="00A7772C">
          <w:rPr>
            <w:webHidden/>
          </w:rPr>
          <w:t>7</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48" w:history="1">
        <w:r w:rsidR="00745810" w:rsidRPr="00687F3B">
          <w:rPr>
            <w:rStyle w:val="Hyperlink"/>
          </w:rPr>
          <w:t>7</w:t>
        </w:r>
        <w:r w:rsidR="00745810">
          <w:rPr>
            <w:rFonts w:asciiTheme="minorHAnsi" w:eastAsiaTheme="minorEastAsia" w:hAnsiTheme="minorHAnsi" w:cstheme="minorBidi"/>
            <w:lang w:val="en-IE" w:eastAsia="en-IE" w:bidi="ar-SA"/>
          </w:rPr>
          <w:tab/>
        </w:r>
        <w:r w:rsidR="00745810" w:rsidRPr="00687F3B">
          <w:rPr>
            <w:rStyle w:val="Hyperlink"/>
          </w:rPr>
          <w:t>CMC_07_18 Subsection F.9.5 – Information Published Following a Capacity Auction</w:t>
        </w:r>
        <w:r w:rsidR="00745810">
          <w:rPr>
            <w:webHidden/>
          </w:rPr>
          <w:tab/>
        </w:r>
        <w:r>
          <w:rPr>
            <w:webHidden/>
          </w:rPr>
          <w:fldChar w:fldCharType="begin"/>
        </w:r>
        <w:r w:rsidR="00745810">
          <w:rPr>
            <w:webHidden/>
          </w:rPr>
          <w:instrText xml:space="preserve"> PAGEREF _Toc514764248 \h </w:instrText>
        </w:r>
        <w:r>
          <w:rPr>
            <w:webHidden/>
          </w:rPr>
        </w:r>
        <w:r>
          <w:rPr>
            <w:webHidden/>
          </w:rPr>
          <w:fldChar w:fldCharType="separate"/>
        </w:r>
        <w:r w:rsidR="00A7772C">
          <w:rPr>
            <w:webHidden/>
          </w:rPr>
          <w:t>7</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51" w:history="1">
        <w:r w:rsidR="00745810" w:rsidRPr="00687F3B">
          <w:rPr>
            <w:rStyle w:val="Hyperlink"/>
          </w:rPr>
          <w:t>8</w:t>
        </w:r>
        <w:r w:rsidR="00745810">
          <w:rPr>
            <w:rFonts w:asciiTheme="minorHAnsi" w:eastAsiaTheme="minorEastAsia" w:hAnsiTheme="minorHAnsi" w:cstheme="minorBidi"/>
            <w:lang w:val="en-IE" w:eastAsia="en-IE" w:bidi="ar-SA"/>
          </w:rPr>
          <w:tab/>
        </w:r>
        <w:r w:rsidR="00745810" w:rsidRPr="00687F3B">
          <w:rPr>
            <w:rStyle w:val="Hyperlink"/>
          </w:rPr>
          <w:t>CMC_08_18 Typographical Correction – E.8.2.4</w:t>
        </w:r>
        <w:r w:rsidR="00745810">
          <w:rPr>
            <w:webHidden/>
          </w:rPr>
          <w:tab/>
        </w:r>
        <w:r>
          <w:rPr>
            <w:webHidden/>
          </w:rPr>
          <w:fldChar w:fldCharType="begin"/>
        </w:r>
        <w:r w:rsidR="00745810">
          <w:rPr>
            <w:webHidden/>
          </w:rPr>
          <w:instrText xml:space="preserve"> PAGEREF _Toc514764251 \h </w:instrText>
        </w:r>
        <w:r>
          <w:rPr>
            <w:webHidden/>
          </w:rPr>
        </w:r>
        <w:r>
          <w:rPr>
            <w:webHidden/>
          </w:rPr>
          <w:fldChar w:fldCharType="separate"/>
        </w:r>
        <w:r w:rsidR="00A7772C">
          <w:rPr>
            <w:webHidden/>
          </w:rPr>
          <w:t>7</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54" w:history="1">
        <w:r w:rsidR="00745810" w:rsidRPr="00687F3B">
          <w:rPr>
            <w:rStyle w:val="Hyperlink"/>
          </w:rPr>
          <w:t>9</w:t>
        </w:r>
        <w:r w:rsidR="00745810">
          <w:rPr>
            <w:rFonts w:asciiTheme="minorHAnsi" w:eastAsiaTheme="minorEastAsia" w:hAnsiTheme="minorHAnsi" w:cstheme="minorBidi"/>
            <w:lang w:val="en-IE" w:eastAsia="en-IE" w:bidi="ar-SA"/>
          </w:rPr>
          <w:tab/>
        </w:r>
        <w:r w:rsidR="00745810" w:rsidRPr="00687F3B">
          <w:rPr>
            <w:rStyle w:val="Hyperlink"/>
          </w:rPr>
          <w:t>CMC_09_18 Paragraph E.9.5.1 – Publication of Qualification Results</w:t>
        </w:r>
        <w:r w:rsidR="00745810">
          <w:rPr>
            <w:webHidden/>
          </w:rPr>
          <w:tab/>
        </w:r>
        <w:r>
          <w:rPr>
            <w:webHidden/>
          </w:rPr>
          <w:fldChar w:fldCharType="begin"/>
        </w:r>
        <w:r w:rsidR="00745810">
          <w:rPr>
            <w:webHidden/>
          </w:rPr>
          <w:instrText xml:space="preserve"> PAGEREF _Toc514764254 \h </w:instrText>
        </w:r>
        <w:r>
          <w:rPr>
            <w:webHidden/>
          </w:rPr>
        </w:r>
        <w:r>
          <w:rPr>
            <w:webHidden/>
          </w:rPr>
          <w:fldChar w:fldCharType="separate"/>
        </w:r>
        <w:r w:rsidR="00A7772C">
          <w:rPr>
            <w:webHidden/>
          </w:rPr>
          <w:t>7</w:t>
        </w:r>
        <w:r>
          <w:rPr>
            <w:webHidden/>
          </w:rPr>
          <w:fldChar w:fldCharType="end"/>
        </w:r>
      </w:hyperlink>
    </w:p>
    <w:p w:rsidR="00745810" w:rsidRDefault="002E70DF">
      <w:pPr>
        <w:pStyle w:val="TOC1"/>
        <w:rPr>
          <w:rFonts w:asciiTheme="minorHAnsi" w:eastAsiaTheme="minorEastAsia" w:hAnsiTheme="minorHAnsi" w:cstheme="minorBidi"/>
          <w:lang w:val="en-IE" w:eastAsia="en-IE" w:bidi="ar-SA"/>
        </w:rPr>
      </w:pPr>
      <w:hyperlink w:anchor="_Toc514764257" w:history="1">
        <w:r w:rsidR="00745810" w:rsidRPr="00687F3B">
          <w:rPr>
            <w:rStyle w:val="Hyperlink"/>
          </w:rPr>
          <w:t>10</w:t>
        </w:r>
        <w:r w:rsidR="00745810">
          <w:rPr>
            <w:rFonts w:asciiTheme="minorHAnsi" w:eastAsiaTheme="minorEastAsia" w:hAnsiTheme="minorHAnsi" w:cstheme="minorBidi"/>
            <w:lang w:val="en-IE" w:eastAsia="en-IE" w:bidi="ar-SA"/>
          </w:rPr>
          <w:tab/>
        </w:r>
        <w:r w:rsidR="00745810" w:rsidRPr="00687F3B">
          <w:rPr>
            <w:rStyle w:val="Hyperlink"/>
          </w:rPr>
          <w:t>CMC_10_18 Paragraph B.10.4.1 - Report on Capacity Auction</w:t>
        </w:r>
        <w:r w:rsidR="00745810">
          <w:rPr>
            <w:webHidden/>
          </w:rPr>
          <w:tab/>
        </w:r>
        <w:r>
          <w:rPr>
            <w:webHidden/>
          </w:rPr>
          <w:fldChar w:fldCharType="begin"/>
        </w:r>
        <w:r w:rsidR="00745810">
          <w:rPr>
            <w:webHidden/>
          </w:rPr>
          <w:instrText xml:space="preserve"> PAGEREF _Toc514764257 \h </w:instrText>
        </w:r>
        <w:r>
          <w:rPr>
            <w:webHidden/>
          </w:rPr>
        </w:r>
        <w:r>
          <w:rPr>
            <w:webHidden/>
          </w:rPr>
          <w:fldChar w:fldCharType="separate"/>
        </w:r>
        <w:r w:rsidR="00A7772C">
          <w:rPr>
            <w:webHidden/>
          </w:rPr>
          <w:t>7</w:t>
        </w:r>
        <w:r>
          <w:rPr>
            <w:webHidden/>
          </w:rPr>
          <w:fldChar w:fldCharType="end"/>
        </w:r>
      </w:hyperlink>
    </w:p>
    <w:p w:rsidR="00DD19DF" w:rsidRPr="00EA0CB1" w:rsidRDefault="002E70DF" w:rsidP="00DD19DF">
      <w:pPr>
        <w:pStyle w:val="TOC1"/>
        <w:ind w:left="0" w:firstLine="0"/>
        <w:rPr>
          <w:rFonts w:ascii="Calibri" w:hAnsi="Calibri"/>
          <w:highlight w:val="yellow"/>
          <w:lang w:val="en-IE" w:eastAsia="en-IE" w:bidi="ar-SA"/>
        </w:rPr>
      </w:pPr>
      <w:r w:rsidRPr="00774811">
        <w:rPr>
          <w:highlight w:val="yellow"/>
          <w:lang w:bidi="ar-SA"/>
        </w:rPr>
        <w:fldChar w:fldCharType="end"/>
      </w:r>
    </w:p>
    <w:p w:rsidR="00DD19DF" w:rsidRPr="00827667" w:rsidRDefault="00697F38" w:rsidP="00DD19DF">
      <w:pPr>
        <w:jc w:val="both"/>
        <w:rPr>
          <w:noProof/>
          <w:lang w:bidi="ar-SA"/>
        </w:rPr>
      </w:pPr>
      <w:r>
        <w:rPr>
          <w:noProof/>
          <w:highlight w:val="yellow"/>
          <w:lang w:bidi="ar-SA"/>
        </w:rPr>
        <w:br w:type="page"/>
      </w:r>
    </w:p>
    <w:p w:rsidR="00DD19DF" w:rsidRPr="00827667" w:rsidRDefault="00DD19DF" w:rsidP="00DD19DF">
      <w:pPr>
        <w:pStyle w:val="UntitledHeading"/>
        <w:jc w:val="both"/>
      </w:pPr>
      <w:r w:rsidRPr="00827667">
        <w:lastRenderedPageBreak/>
        <w:t>Document History</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7"/>
        <w:gridCol w:w="1429"/>
        <w:gridCol w:w="2384"/>
        <w:gridCol w:w="4986"/>
      </w:tblGrid>
      <w:tr w:rsidR="00DD19DF" w:rsidRPr="00827667" w:rsidTr="006A513D">
        <w:trPr>
          <w:trHeight w:val="300"/>
        </w:trPr>
        <w:tc>
          <w:tcPr>
            <w:tcW w:w="486" w:type="pct"/>
            <w:shd w:val="pct15" w:color="auto" w:fill="FFFFFF"/>
          </w:tcPr>
          <w:p w:rsidR="00DD19DF" w:rsidRPr="00D535F5" w:rsidRDefault="00DD19DF" w:rsidP="00DD19DF">
            <w:pPr>
              <w:spacing w:before="0" w:after="0"/>
              <w:jc w:val="both"/>
              <w:rPr>
                <w:rStyle w:val="TableText"/>
                <w:b/>
                <w:bCs/>
              </w:rPr>
            </w:pPr>
            <w:r w:rsidRPr="00D535F5">
              <w:rPr>
                <w:rStyle w:val="TableText"/>
                <w:b/>
                <w:bCs/>
              </w:rPr>
              <w:t>Version</w:t>
            </w:r>
          </w:p>
        </w:tc>
        <w:tc>
          <w:tcPr>
            <w:tcW w:w="733" w:type="pct"/>
            <w:shd w:val="pct15" w:color="auto" w:fill="FFFFFF"/>
          </w:tcPr>
          <w:p w:rsidR="00DD19DF" w:rsidRPr="00D535F5" w:rsidRDefault="00DD19DF" w:rsidP="00DD19DF">
            <w:pPr>
              <w:spacing w:before="0" w:after="0"/>
              <w:jc w:val="both"/>
              <w:rPr>
                <w:rStyle w:val="TableText"/>
                <w:b/>
                <w:bCs/>
              </w:rPr>
            </w:pPr>
            <w:r w:rsidRPr="00D535F5">
              <w:rPr>
                <w:rStyle w:val="TableText"/>
                <w:b/>
                <w:bCs/>
              </w:rPr>
              <w:t>Date</w:t>
            </w:r>
          </w:p>
        </w:tc>
        <w:tc>
          <w:tcPr>
            <w:tcW w:w="1223" w:type="pct"/>
            <w:shd w:val="pct15" w:color="auto" w:fill="FFFFFF"/>
          </w:tcPr>
          <w:p w:rsidR="00DD19DF" w:rsidRPr="00D535F5" w:rsidRDefault="00DD19DF" w:rsidP="00DD19DF">
            <w:pPr>
              <w:spacing w:before="0" w:after="0"/>
              <w:jc w:val="both"/>
              <w:rPr>
                <w:rStyle w:val="TableText"/>
                <w:b/>
                <w:bCs/>
              </w:rPr>
            </w:pPr>
            <w:r w:rsidRPr="00D535F5">
              <w:rPr>
                <w:rStyle w:val="TableText"/>
                <w:b/>
                <w:bCs/>
              </w:rPr>
              <w:t>Author</w:t>
            </w:r>
          </w:p>
        </w:tc>
        <w:tc>
          <w:tcPr>
            <w:tcW w:w="2558" w:type="pct"/>
            <w:shd w:val="pct15" w:color="auto" w:fill="FFFFFF"/>
          </w:tcPr>
          <w:p w:rsidR="00DD19DF" w:rsidRPr="00D535F5" w:rsidRDefault="00DD19DF" w:rsidP="00DD19DF">
            <w:pPr>
              <w:spacing w:before="0" w:after="0"/>
              <w:jc w:val="both"/>
              <w:rPr>
                <w:rStyle w:val="TableText"/>
                <w:b/>
                <w:bCs/>
              </w:rPr>
            </w:pPr>
            <w:r w:rsidRPr="00D535F5">
              <w:rPr>
                <w:rStyle w:val="TableText"/>
                <w:b/>
                <w:bCs/>
              </w:rPr>
              <w:t>Comment</w:t>
            </w:r>
          </w:p>
        </w:tc>
      </w:tr>
      <w:tr w:rsidR="00DD19DF" w:rsidRPr="00785B6A" w:rsidTr="006A513D">
        <w:trPr>
          <w:trHeight w:val="300"/>
        </w:trPr>
        <w:tc>
          <w:tcPr>
            <w:tcW w:w="486" w:type="pct"/>
          </w:tcPr>
          <w:p w:rsidR="00DD19DF" w:rsidRPr="00D64132" w:rsidRDefault="004B060F" w:rsidP="00DD19DF">
            <w:pPr>
              <w:spacing w:before="0" w:after="0"/>
              <w:jc w:val="both"/>
              <w:rPr>
                <w:rStyle w:val="TableText"/>
              </w:rPr>
            </w:pPr>
            <w:r w:rsidRPr="00D64132">
              <w:rPr>
                <w:rStyle w:val="TableText"/>
              </w:rPr>
              <w:t>1.0</w:t>
            </w:r>
          </w:p>
        </w:tc>
        <w:tc>
          <w:tcPr>
            <w:tcW w:w="733" w:type="pct"/>
          </w:tcPr>
          <w:p w:rsidR="00DD19DF" w:rsidRPr="00D64132" w:rsidRDefault="00B8659E" w:rsidP="00DD19DF">
            <w:pPr>
              <w:spacing w:before="0" w:after="0"/>
              <w:jc w:val="both"/>
              <w:rPr>
                <w:rStyle w:val="TableText"/>
              </w:rPr>
            </w:pPr>
            <w:r>
              <w:rPr>
                <w:rStyle w:val="TableText"/>
              </w:rPr>
              <w:t>01 June 2018</w:t>
            </w:r>
          </w:p>
        </w:tc>
        <w:tc>
          <w:tcPr>
            <w:tcW w:w="1223" w:type="pct"/>
          </w:tcPr>
          <w:p w:rsidR="00DD19DF" w:rsidRPr="00D64132" w:rsidRDefault="006A513D" w:rsidP="00DD19DF">
            <w:pPr>
              <w:spacing w:before="0" w:after="0"/>
              <w:jc w:val="both"/>
              <w:rPr>
                <w:rStyle w:val="TableText"/>
              </w:rPr>
            </w:pPr>
            <w:r>
              <w:rPr>
                <w:rStyle w:val="TableText"/>
              </w:rPr>
              <w:t>Market Modifications Team</w:t>
            </w:r>
          </w:p>
        </w:tc>
        <w:tc>
          <w:tcPr>
            <w:tcW w:w="2558" w:type="pct"/>
          </w:tcPr>
          <w:p w:rsidR="00DD19DF" w:rsidRPr="00D64132" w:rsidRDefault="006A513D" w:rsidP="00DD19DF">
            <w:pPr>
              <w:spacing w:before="0" w:after="0"/>
              <w:jc w:val="both"/>
              <w:rPr>
                <w:rStyle w:val="TableText"/>
              </w:rPr>
            </w:pPr>
            <w:r>
              <w:rPr>
                <w:rStyle w:val="TableText"/>
              </w:rPr>
              <w:t>Drafting including all working group comments received following meeting</w:t>
            </w:r>
          </w:p>
        </w:tc>
      </w:tr>
      <w:tr w:rsidR="00DD19DF" w:rsidRPr="00785B6A" w:rsidTr="00835D9B">
        <w:trPr>
          <w:trHeight w:val="300"/>
        </w:trPr>
        <w:tc>
          <w:tcPr>
            <w:tcW w:w="486" w:type="pct"/>
            <w:shd w:val="clear" w:color="auto" w:fill="FFFFFF" w:themeFill="background1"/>
          </w:tcPr>
          <w:p w:rsidR="00DD19DF" w:rsidRPr="004B060F" w:rsidRDefault="00063EF9" w:rsidP="00063EF9">
            <w:pPr>
              <w:spacing w:before="0" w:after="0"/>
              <w:jc w:val="both"/>
              <w:rPr>
                <w:rStyle w:val="TableText"/>
                <w:highlight w:val="yellow"/>
              </w:rPr>
            </w:pPr>
            <w:r>
              <w:rPr>
                <w:rStyle w:val="TableText"/>
              </w:rPr>
              <w:t>1</w:t>
            </w:r>
            <w:r w:rsidR="006A513D" w:rsidRPr="00835D9B">
              <w:rPr>
                <w:rStyle w:val="TableText"/>
              </w:rPr>
              <w:t>.</w:t>
            </w:r>
            <w:r>
              <w:rPr>
                <w:rStyle w:val="TableText"/>
              </w:rPr>
              <w:t>1</w:t>
            </w:r>
          </w:p>
        </w:tc>
        <w:tc>
          <w:tcPr>
            <w:tcW w:w="733" w:type="pct"/>
            <w:shd w:val="clear" w:color="auto" w:fill="FFFFFF" w:themeFill="background1"/>
          </w:tcPr>
          <w:p w:rsidR="00DD19DF" w:rsidRPr="004B060F" w:rsidRDefault="00063EF9" w:rsidP="00DD19DF">
            <w:pPr>
              <w:spacing w:before="0" w:after="0"/>
              <w:jc w:val="both"/>
              <w:rPr>
                <w:rStyle w:val="TableText"/>
                <w:highlight w:val="yellow"/>
              </w:rPr>
            </w:pPr>
            <w:r w:rsidRPr="00063EF9">
              <w:rPr>
                <w:rStyle w:val="TableText"/>
              </w:rPr>
              <w:t>19 June 2018</w:t>
            </w:r>
          </w:p>
        </w:tc>
        <w:tc>
          <w:tcPr>
            <w:tcW w:w="1223" w:type="pct"/>
            <w:shd w:val="clear" w:color="auto" w:fill="FFFFFF" w:themeFill="background1"/>
          </w:tcPr>
          <w:p w:rsidR="00DD19DF" w:rsidRPr="00835D9B" w:rsidRDefault="00835D9B" w:rsidP="00930DE8">
            <w:pPr>
              <w:spacing w:before="0" w:after="0"/>
              <w:jc w:val="both"/>
              <w:rPr>
                <w:rStyle w:val="TableText"/>
              </w:rPr>
            </w:pPr>
            <w:r>
              <w:rPr>
                <w:rStyle w:val="TableText"/>
              </w:rPr>
              <w:t>Attendee Review complete</w:t>
            </w:r>
            <w:r w:rsidR="00063EF9">
              <w:rPr>
                <w:rStyle w:val="TableText"/>
              </w:rPr>
              <w:t xml:space="preserve"> and document updated.</w:t>
            </w:r>
          </w:p>
        </w:tc>
        <w:tc>
          <w:tcPr>
            <w:tcW w:w="2558" w:type="pct"/>
            <w:shd w:val="clear" w:color="auto" w:fill="FFFFFF" w:themeFill="background1"/>
          </w:tcPr>
          <w:p w:rsidR="00DD19DF" w:rsidRPr="00835D9B" w:rsidRDefault="00055D86" w:rsidP="00FC2024">
            <w:pPr>
              <w:spacing w:before="0" w:after="0"/>
              <w:jc w:val="both"/>
              <w:rPr>
                <w:rStyle w:val="TableText"/>
              </w:rPr>
            </w:pPr>
            <w:r w:rsidRPr="00835D9B">
              <w:rPr>
                <w:rStyle w:val="TableText"/>
              </w:rPr>
              <w:t>Final draft published</w:t>
            </w:r>
          </w:p>
        </w:tc>
      </w:tr>
    </w:tbl>
    <w:p w:rsidR="009A4E12" w:rsidRDefault="009A4E12" w:rsidP="00DD19DF">
      <w:pPr>
        <w:pStyle w:val="UntitledHeading"/>
        <w:jc w:val="both"/>
      </w:pPr>
    </w:p>
    <w:p w:rsidR="00DD19DF" w:rsidRPr="00827667" w:rsidRDefault="00DD19DF" w:rsidP="00DD19DF">
      <w:pPr>
        <w:pStyle w:val="UntitledHeading"/>
        <w:jc w:val="both"/>
      </w:pPr>
      <w:r w:rsidRPr="00827667">
        <w:t>Distribution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9"/>
        <w:gridCol w:w="4879"/>
      </w:tblGrid>
      <w:tr w:rsidR="00DD19DF" w:rsidRPr="00785B6A">
        <w:tc>
          <w:tcPr>
            <w:tcW w:w="2500" w:type="pct"/>
            <w:shd w:val="clear" w:color="auto" w:fill="E6E6E6"/>
          </w:tcPr>
          <w:p w:rsidR="00DD19DF" w:rsidRPr="00635C53" w:rsidRDefault="00DD19DF" w:rsidP="00DD19DF">
            <w:pPr>
              <w:spacing w:before="0" w:after="0"/>
              <w:jc w:val="both"/>
              <w:rPr>
                <w:rStyle w:val="TableText"/>
                <w:b/>
                <w:bCs/>
              </w:rPr>
            </w:pPr>
            <w:r w:rsidRPr="00635C53">
              <w:rPr>
                <w:rStyle w:val="TableText"/>
                <w:b/>
                <w:bCs/>
              </w:rPr>
              <w:t>Name</w:t>
            </w:r>
          </w:p>
        </w:tc>
        <w:tc>
          <w:tcPr>
            <w:tcW w:w="2500" w:type="pct"/>
            <w:shd w:val="clear" w:color="auto" w:fill="E6E6E6"/>
          </w:tcPr>
          <w:p w:rsidR="00DD19DF" w:rsidRPr="00635C53" w:rsidRDefault="00DD19DF" w:rsidP="00DD19DF">
            <w:pPr>
              <w:spacing w:before="0" w:after="0"/>
              <w:jc w:val="both"/>
              <w:rPr>
                <w:rStyle w:val="TableText"/>
                <w:b/>
                <w:bCs/>
              </w:rPr>
            </w:pPr>
            <w:r w:rsidRPr="00635C53">
              <w:rPr>
                <w:rStyle w:val="TableText"/>
                <w:b/>
                <w:bCs/>
              </w:rPr>
              <w:t>Organisation</w:t>
            </w:r>
          </w:p>
        </w:tc>
      </w:tr>
      <w:tr w:rsidR="00DD19DF" w:rsidRPr="00785B6A">
        <w:tc>
          <w:tcPr>
            <w:tcW w:w="2500" w:type="pct"/>
          </w:tcPr>
          <w:p w:rsidR="00DD19DF" w:rsidRPr="00635C53" w:rsidRDefault="00DD19DF" w:rsidP="00DD19DF">
            <w:pPr>
              <w:spacing w:before="0" w:after="0"/>
              <w:jc w:val="both"/>
              <w:rPr>
                <w:rStyle w:val="TableText"/>
              </w:rPr>
            </w:pPr>
            <w:r w:rsidRPr="00635C53">
              <w:rPr>
                <w:rStyle w:val="TableText"/>
              </w:rPr>
              <w:t>Working Group Attendees</w:t>
            </w:r>
          </w:p>
        </w:tc>
        <w:tc>
          <w:tcPr>
            <w:tcW w:w="2500" w:type="pct"/>
          </w:tcPr>
          <w:p w:rsidR="00DD19DF" w:rsidRPr="00635C53" w:rsidRDefault="00DD19DF" w:rsidP="00DD19DF">
            <w:pPr>
              <w:spacing w:before="0" w:after="0"/>
              <w:jc w:val="both"/>
              <w:rPr>
                <w:rStyle w:val="TableText"/>
              </w:rPr>
            </w:pPr>
            <w:r w:rsidRPr="00635C53">
              <w:rPr>
                <w:rStyle w:val="TableText"/>
              </w:rPr>
              <w:t>Various</w:t>
            </w:r>
          </w:p>
        </w:tc>
      </w:tr>
    </w:tbl>
    <w:p w:rsidR="009A4E12" w:rsidRDefault="009A4E12" w:rsidP="00273B5D">
      <w:pPr>
        <w:pStyle w:val="UntitledHeading"/>
        <w:jc w:val="both"/>
      </w:pPr>
    </w:p>
    <w:p w:rsidR="00273B5D" w:rsidRPr="00635C53" w:rsidRDefault="00DD19DF" w:rsidP="00273B5D">
      <w:pPr>
        <w:pStyle w:val="UntitledHeading"/>
        <w:jc w:val="both"/>
      </w:pPr>
      <w:r w:rsidRPr="00635C53">
        <w:t>Reference Documents</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6A513D" w:rsidRPr="00785B6A" w:rsidTr="006A513D">
        <w:tc>
          <w:tcPr>
            <w:tcW w:w="5000" w:type="pct"/>
            <w:shd w:val="clear" w:color="auto" w:fill="E6E6E6"/>
          </w:tcPr>
          <w:p w:rsidR="006A513D" w:rsidRPr="00635C53" w:rsidRDefault="006A513D" w:rsidP="00DD19DF">
            <w:pPr>
              <w:spacing w:before="0" w:after="0"/>
              <w:jc w:val="both"/>
              <w:rPr>
                <w:rStyle w:val="TableText"/>
                <w:b/>
                <w:bCs/>
              </w:rPr>
            </w:pPr>
            <w:r w:rsidRPr="00635C53">
              <w:rPr>
                <w:rStyle w:val="TableText"/>
                <w:b/>
                <w:bCs/>
              </w:rPr>
              <w:t>Document Name</w:t>
            </w:r>
          </w:p>
        </w:tc>
      </w:tr>
      <w:tr w:rsidR="006A513D" w:rsidRPr="00785B6A" w:rsidTr="006A513D">
        <w:tc>
          <w:tcPr>
            <w:tcW w:w="5000" w:type="pct"/>
          </w:tcPr>
          <w:p w:rsidR="006A513D" w:rsidRPr="00635C53" w:rsidRDefault="002E70DF" w:rsidP="00DD19DF">
            <w:pPr>
              <w:spacing w:before="0" w:after="0"/>
              <w:jc w:val="both"/>
              <w:rPr>
                <w:rStyle w:val="TableText"/>
              </w:rPr>
            </w:pPr>
            <w:hyperlink r:id="rId13" w:history="1">
              <w:r w:rsidR="006A513D" w:rsidRPr="00835D9B">
                <w:rPr>
                  <w:rStyle w:val="Hyperlink"/>
                  <w:lang w:val="en-IE"/>
                </w:rPr>
                <w:t>Capacity Market Code</w:t>
              </w:r>
            </w:hyperlink>
          </w:p>
        </w:tc>
      </w:tr>
      <w:tr w:rsidR="006A513D" w:rsidRPr="00785B6A" w:rsidTr="006A513D">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4" w:history="1">
              <w:r w:rsidR="006A513D" w:rsidRPr="006A513D">
                <w:rPr>
                  <w:rStyle w:val="Hyperlink"/>
                  <w:rFonts w:ascii="Times New Roman" w:eastAsiaTheme="minorHAnsi" w:hAnsi="Times New Roman"/>
                  <w:sz w:val="22"/>
                  <w:szCs w:val="22"/>
                  <w:lang w:bidi="ar-SA"/>
                </w:rPr>
                <w:t>CMC_01_18 NIROCS in the CRM</w:t>
              </w:r>
            </w:hyperlink>
          </w:p>
        </w:tc>
      </w:tr>
      <w:tr w:rsidR="006A513D" w:rsidRPr="00785B6A" w:rsidTr="006A513D">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5" w:history="1">
              <w:r w:rsidR="006A513D" w:rsidRPr="006A513D">
                <w:rPr>
                  <w:rStyle w:val="Hyperlink"/>
                  <w:rFonts w:ascii="Times New Roman" w:eastAsiaTheme="minorHAnsi" w:hAnsi="Times New Roman"/>
                  <w:sz w:val="22"/>
                  <w:szCs w:val="22"/>
                  <w:lang w:bidi="ar-SA"/>
                </w:rPr>
                <w:t>CMC _02_18 Permitted Disclosures – Credit Agencies</w:t>
              </w:r>
            </w:hyperlink>
          </w:p>
        </w:tc>
      </w:tr>
      <w:tr w:rsidR="006A513D" w:rsidRPr="00785B6A" w:rsidTr="006A513D">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6" w:history="1">
              <w:r w:rsidR="006A513D" w:rsidRPr="006A513D">
                <w:rPr>
                  <w:rStyle w:val="Hyperlink"/>
                  <w:rFonts w:ascii="Times New Roman" w:eastAsiaTheme="minorHAnsi" w:hAnsi="Times New Roman"/>
                  <w:sz w:val="22"/>
                  <w:szCs w:val="22"/>
                  <w:lang w:bidi="ar-SA"/>
                </w:rPr>
                <w:t>CMC_03_18 E.5.1.1.A</w:t>
              </w:r>
            </w:hyperlink>
          </w:p>
        </w:tc>
      </w:tr>
      <w:tr w:rsidR="006A513D" w:rsidRPr="00785B6A" w:rsidTr="006A513D">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7" w:history="1">
              <w:r w:rsidR="006A513D" w:rsidRPr="006A513D">
                <w:rPr>
                  <w:rStyle w:val="Hyperlink"/>
                  <w:rFonts w:ascii="Times New Roman" w:eastAsiaTheme="minorHAnsi" w:hAnsi="Times New Roman"/>
                  <w:sz w:val="22"/>
                  <w:szCs w:val="22"/>
                  <w:lang w:bidi="ar-SA"/>
                </w:rPr>
                <w:t>CMC_04_18 F.2.1.1 – Capacity Auction Participation</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8" w:history="1">
              <w:r w:rsidR="006A513D" w:rsidRPr="006A513D">
                <w:rPr>
                  <w:rStyle w:val="Hyperlink"/>
                  <w:rFonts w:ascii="Times New Roman" w:eastAsiaTheme="minorHAnsi" w:hAnsi="Times New Roman"/>
                  <w:sz w:val="22"/>
                  <w:szCs w:val="22"/>
                  <w:lang w:bidi="ar-SA"/>
                </w:rPr>
                <w:t>CMC_05_18 Combining Candidate Units into a Capacity Market Unit</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19" w:history="1">
              <w:r w:rsidR="006A513D" w:rsidRPr="006A513D">
                <w:rPr>
                  <w:rStyle w:val="Hyperlink"/>
                  <w:rFonts w:ascii="Times New Roman" w:eastAsiaTheme="minorHAnsi" w:hAnsi="Times New Roman"/>
                  <w:sz w:val="22"/>
                  <w:szCs w:val="22"/>
                  <w:lang w:bidi="ar-SA"/>
                </w:rPr>
                <w:t>CMC_06_18 Disaggregation of Performance Security Requirements to Capacity Market Units</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20" w:history="1">
              <w:r w:rsidR="006A513D" w:rsidRPr="006A513D">
                <w:rPr>
                  <w:rStyle w:val="Hyperlink"/>
                  <w:rFonts w:ascii="Times New Roman" w:eastAsiaTheme="minorHAnsi" w:hAnsi="Times New Roman"/>
                  <w:sz w:val="22"/>
                  <w:szCs w:val="22"/>
                  <w:lang w:bidi="ar-SA"/>
                </w:rPr>
                <w:t>CMC_07_18 Subsection F.9.5 – Information Published following a Capacity Auction</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21" w:history="1">
              <w:r w:rsidR="006A513D" w:rsidRPr="006A513D">
                <w:rPr>
                  <w:rStyle w:val="Hyperlink"/>
                  <w:rFonts w:ascii="Times New Roman" w:eastAsiaTheme="minorHAnsi" w:hAnsi="Times New Roman"/>
                  <w:sz w:val="22"/>
                  <w:szCs w:val="22"/>
                  <w:lang w:bidi="ar-SA"/>
                </w:rPr>
                <w:t>CMC_08_18 Typographical Correction – E.8.2.4</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22" w:history="1">
              <w:r w:rsidR="006A513D" w:rsidRPr="006A513D">
                <w:rPr>
                  <w:rStyle w:val="Hyperlink"/>
                  <w:rFonts w:ascii="Times New Roman" w:eastAsiaTheme="minorHAnsi" w:hAnsi="Times New Roman"/>
                  <w:sz w:val="22"/>
                  <w:szCs w:val="22"/>
                  <w:lang w:bidi="ar-SA"/>
                </w:rPr>
                <w:t>CMC_09_18 Paragraph E.9.5.1 – Publication of Qualification Results</w:t>
              </w:r>
            </w:hyperlink>
          </w:p>
        </w:tc>
      </w:tr>
      <w:tr w:rsidR="006A513D" w:rsidRPr="00785B6A" w:rsidTr="00B35AB2">
        <w:tc>
          <w:tcPr>
            <w:tcW w:w="5000" w:type="pct"/>
            <w:vAlign w:val="center"/>
          </w:tcPr>
          <w:p w:rsidR="006A513D" w:rsidRPr="006A513D" w:rsidRDefault="002E70DF" w:rsidP="00B35AB2">
            <w:pPr>
              <w:autoSpaceDE w:val="0"/>
              <w:autoSpaceDN w:val="0"/>
              <w:adjustRightInd w:val="0"/>
              <w:spacing w:line="240" w:lineRule="auto"/>
              <w:rPr>
                <w:rFonts w:ascii="Times New Roman" w:eastAsiaTheme="minorHAnsi" w:hAnsi="Times New Roman"/>
                <w:sz w:val="22"/>
                <w:szCs w:val="22"/>
                <w:lang w:bidi="ar-SA"/>
              </w:rPr>
            </w:pPr>
            <w:hyperlink r:id="rId23" w:history="1">
              <w:r w:rsidR="006A513D" w:rsidRPr="006A513D">
                <w:rPr>
                  <w:rStyle w:val="Hyperlink"/>
                  <w:rFonts w:ascii="Times New Roman" w:eastAsiaTheme="minorHAnsi" w:hAnsi="Times New Roman"/>
                  <w:sz w:val="22"/>
                  <w:szCs w:val="22"/>
                  <w:lang w:bidi="ar-SA"/>
                </w:rPr>
                <w:t>CMC_10_18 Paragraph B.10.4.1 – Report on Capacity Auction</w:t>
              </w:r>
            </w:hyperlink>
          </w:p>
        </w:tc>
      </w:tr>
    </w:tbl>
    <w:p w:rsidR="009A4E12" w:rsidRDefault="009A4E12" w:rsidP="00DD19DF">
      <w:pPr>
        <w:pStyle w:val="UntitledHeading"/>
        <w:jc w:val="both"/>
      </w:pPr>
    </w:p>
    <w:p w:rsidR="009A4E12" w:rsidRDefault="009A4E12" w:rsidP="00DD19DF">
      <w:pPr>
        <w:pStyle w:val="UntitledHeading"/>
        <w:jc w:val="both"/>
      </w:pPr>
    </w:p>
    <w:p w:rsidR="00106178" w:rsidRPr="00D473CE" w:rsidRDefault="00D473CE" w:rsidP="00DD19DF">
      <w:pPr>
        <w:pStyle w:val="UntitledHeading"/>
        <w:jc w:val="both"/>
      </w:pPr>
      <w:r>
        <w:t>I</w:t>
      </w:r>
      <w:r w:rsidR="00DD19DF" w:rsidRPr="00632A47">
        <w:t>n Attendance</w:t>
      </w:r>
    </w:p>
    <w:tbl>
      <w:tblPr>
        <w:tblpPr w:leftFromText="180" w:rightFromText="180" w:vertAnchor="text"/>
        <w:tblW w:w="9747" w:type="dxa"/>
        <w:tblCellMar>
          <w:left w:w="0" w:type="dxa"/>
          <w:right w:w="0" w:type="dxa"/>
        </w:tblCellMar>
        <w:tblLook w:val="04A0"/>
      </w:tblPr>
      <w:tblGrid>
        <w:gridCol w:w="4928"/>
        <w:gridCol w:w="4819"/>
      </w:tblGrid>
      <w:tr w:rsidR="001062E8" w:rsidRPr="00D473CE" w:rsidTr="00D64132">
        <w:trPr>
          <w:trHeight w:val="255"/>
        </w:trPr>
        <w:tc>
          <w:tcPr>
            <w:tcW w:w="492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1062E8" w:rsidRPr="00D473CE" w:rsidRDefault="001062E8" w:rsidP="00D64132">
            <w:pPr>
              <w:spacing w:before="0" w:line="240" w:lineRule="auto"/>
              <w:rPr>
                <w:rFonts w:eastAsiaTheme="minorHAnsi" w:cs="Arial"/>
                <w:b/>
                <w:bCs/>
                <w:color w:val="000000"/>
                <w:sz w:val="18"/>
                <w:szCs w:val="18"/>
              </w:rPr>
            </w:pPr>
            <w:r w:rsidRPr="00D473CE">
              <w:rPr>
                <w:rFonts w:cs="Arial"/>
                <w:b/>
                <w:bCs/>
                <w:color w:val="000000"/>
                <w:sz w:val="18"/>
                <w:szCs w:val="18"/>
              </w:rPr>
              <w:t>Name</w:t>
            </w:r>
          </w:p>
        </w:tc>
        <w:tc>
          <w:tcPr>
            <w:tcW w:w="481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1062E8" w:rsidRPr="00D473CE" w:rsidRDefault="001062E8" w:rsidP="00D64132">
            <w:pPr>
              <w:spacing w:before="0" w:line="240" w:lineRule="auto"/>
              <w:rPr>
                <w:rFonts w:eastAsiaTheme="minorHAnsi" w:cs="Arial"/>
                <w:b/>
                <w:bCs/>
                <w:color w:val="000000"/>
                <w:sz w:val="18"/>
                <w:szCs w:val="18"/>
              </w:rPr>
            </w:pPr>
            <w:r w:rsidRPr="00D473CE">
              <w:rPr>
                <w:rFonts w:cs="Arial"/>
                <w:b/>
                <w:bCs/>
                <w:color w:val="000000"/>
                <w:sz w:val="18"/>
                <w:szCs w:val="18"/>
              </w:rPr>
              <w:t>Company</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Kevin Lenaghan (Chair)</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UREGNI</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Default="009A4E12" w:rsidP="00EC16EA">
            <w:pPr>
              <w:rPr>
                <w:rFonts w:cs="Arial"/>
              </w:rPr>
            </w:pPr>
            <w:r>
              <w:rPr>
                <w:rFonts w:cs="Arial"/>
              </w:rPr>
              <w:t xml:space="preserve">Stuart </w:t>
            </w:r>
            <w:proofErr w:type="spellStart"/>
            <w:r w:rsidR="00EC16EA">
              <w:rPr>
                <w:rFonts w:cs="Arial"/>
              </w:rPr>
              <w:t>F</w:t>
            </w:r>
            <w:r>
              <w:rPr>
                <w:rFonts w:cs="Arial"/>
              </w:rPr>
              <w:t>foulkes</w:t>
            </w:r>
            <w:proofErr w:type="spellEnd"/>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Default="00C87DFB" w:rsidP="00802DBD">
            <w:pPr>
              <w:rPr>
                <w:rFonts w:cs="Arial"/>
              </w:rPr>
            </w:pPr>
            <w:r>
              <w:rPr>
                <w:rFonts w:cs="Arial"/>
              </w:rPr>
              <w:t xml:space="preserve">ESP </w:t>
            </w:r>
            <w:r w:rsidR="00203E80">
              <w:rPr>
                <w:rFonts w:cs="Arial"/>
              </w:rPr>
              <w:t>Consulting</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1C29ED" w:rsidRDefault="009A4E12" w:rsidP="00802DBD">
            <w:pPr>
              <w:rPr>
                <w:rFonts w:cs="Arial"/>
              </w:rPr>
            </w:pPr>
            <w:r>
              <w:rPr>
                <w:rFonts w:cs="Arial"/>
              </w:rPr>
              <w:t>Aodhagan Downey</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1C29ED" w:rsidRDefault="009A4E12" w:rsidP="00802DBD">
            <w:pPr>
              <w:rPr>
                <w:rFonts w:cs="Arial"/>
              </w:rPr>
            </w:pPr>
            <w:proofErr w:type="spellStart"/>
            <w:r>
              <w:rPr>
                <w:rFonts w:cs="Arial"/>
              </w:rPr>
              <w:t>Eirgrid</w:t>
            </w:r>
            <w:proofErr w:type="spellEnd"/>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1C29ED" w:rsidRDefault="009A4E12" w:rsidP="00802DBD">
            <w:pPr>
              <w:rPr>
                <w:rFonts w:cs="Arial"/>
              </w:rPr>
            </w:pPr>
            <w:r>
              <w:rPr>
                <w:rFonts w:cs="Arial"/>
              </w:rPr>
              <w:t>David Horan</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1C29ED" w:rsidRDefault="009A4E12" w:rsidP="00802DBD">
            <w:pPr>
              <w:rPr>
                <w:rFonts w:cs="Arial"/>
              </w:rPr>
            </w:pPr>
            <w:proofErr w:type="spellStart"/>
            <w:r>
              <w:rPr>
                <w:rFonts w:cs="Arial"/>
              </w:rPr>
              <w:t>Aughinish</w:t>
            </w:r>
            <w:proofErr w:type="spellEnd"/>
            <w:r>
              <w:rPr>
                <w:rFonts w:cs="Arial"/>
              </w:rPr>
              <w:t xml:space="preserve"> Alumina</w:t>
            </w:r>
          </w:p>
        </w:tc>
      </w:tr>
      <w:tr w:rsidR="009A4E12" w:rsidRPr="00D473CE" w:rsidTr="00DE2A12">
        <w:trPr>
          <w:trHeight w:val="252"/>
        </w:trPr>
        <w:tc>
          <w:tcPr>
            <w:tcW w:w="492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4E12" w:rsidRPr="001C29ED" w:rsidRDefault="009A4E12" w:rsidP="00802DBD">
            <w:pPr>
              <w:rPr>
                <w:rFonts w:cs="Arial"/>
              </w:rPr>
            </w:pPr>
            <w:r>
              <w:rPr>
                <w:rFonts w:cs="Arial"/>
              </w:rPr>
              <w:t>Brian Mongan</w:t>
            </w:r>
          </w:p>
        </w:tc>
        <w:tc>
          <w:tcPr>
            <w:tcW w:w="48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4E12" w:rsidRPr="001C29ED" w:rsidRDefault="009A4E12" w:rsidP="00802DBD">
            <w:pPr>
              <w:rPr>
                <w:rFonts w:cs="Arial"/>
              </w:rPr>
            </w:pPr>
            <w:r>
              <w:rPr>
                <w:rFonts w:cs="Arial"/>
              </w:rPr>
              <w:t>AES</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Paraic Higgins</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ESB</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lastRenderedPageBreak/>
              <w:t>Brian Larkin</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BGE</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Default="009A4E12" w:rsidP="00802DBD">
            <w:pPr>
              <w:rPr>
                <w:rFonts w:cs="Arial"/>
              </w:rPr>
            </w:pPr>
            <w:r>
              <w:rPr>
                <w:rFonts w:cs="Arial"/>
              </w:rPr>
              <w:t>Sinead O’Hare</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Default="009A4E12" w:rsidP="00802DBD">
            <w:pPr>
              <w:rPr>
                <w:rFonts w:cs="Arial"/>
              </w:rPr>
            </w:pPr>
            <w:r>
              <w:rPr>
                <w:rFonts w:cs="Arial"/>
              </w:rPr>
              <w:t>Power NI</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Paul Troughton</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proofErr w:type="spellStart"/>
            <w:r>
              <w:rPr>
                <w:rFonts w:cs="Arial"/>
              </w:rPr>
              <w:t>Enernoc</w:t>
            </w:r>
            <w:proofErr w:type="spellEnd"/>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Rachel O’Dwyer</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Brookfield Renewable</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proofErr w:type="spellStart"/>
            <w:r>
              <w:rPr>
                <w:rFonts w:cs="Arial"/>
              </w:rPr>
              <w:t>Eamon</w:t>
            </w:r>
            <w:proofErr w:type="spellEnd"/>
            <w:r>
              <w:rPr>
                <w:rFonts w:cs="Arial"/>
              </w:rPr>
              <w:t xml:space="preserve"> Bell</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Grid Beyond/</w:t>
            </w:r>
            <w:proofErr w:type="spellStart"/>
            <w:r>
              <w:rPr>
                <w:rFonts w:cs="Arial"/>
              </w:rPr>
              <w:t>Endeco</w:t>
            </w:r>
            <w:proofErr w:type="spellEnd"/>
          </w:p>
        </w:tc>
      </w:tr>
      <w:tr w:rsidR="009A4E12" w:rsidRPr="00D473CE" w:rsidTr="00D64132">
        <w:trPr>
          <w:trHeight w:val="94"/>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 xml:space="preserve">Derek Scully </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proofErr w:type="spellStart"/>
            <w:r>
              <w:rPr>
                <w:rFonts w:cs="Arial"/>
              </w:rPr>
              <w:t>Energia</w:t>
            </w:r>
            <w:proofErr w:type="spellEnd"/>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 xml:space="preserve">Tom </w:t>
            </w:r>
            <w:proofErr w:type="spellStart"/>
            <w:r>
              <w:rPr>
                <w:rFonts w:cs="Arial"/>
              </w:rPr>
              <w:t>Bruton</w:t>
            </w:r>
            <w:proofErr w:type="spellEnd"/>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D93040">
            <w:pPr>
              <w:rPr>
                <w:rFonts w:cs="Arial"/>
              </w:rPr>
            </w:pPr>
            <w:r>
              <w:rPr>
                <w:rFonts w:cs="Arial"/>
              </w:rPr>
              <w:t>AR</w:t>
            </w:r>
            <w:r w:rsidR="00D93040">
              <w:rPr>
                <w:rFonts w:cs="Arial"/>
              </w:rPr>
              <w:t>T</w:t>
            </w:r>
            <w:r>
              <w:rPr>
                <w:rFonts w:cs="Arial"/>
              </w:rPr>
              <w:t xml:space="preserve"> Generation</w:t>
            </w:r>
          </w:p>
        </w:tc>
      </w:tr>
      <w:tr w:rsidR="009A4E12"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 xml:space="preserve">Richard </w:t>
            </w:r>
            <w:proofErr w:type="spellStart"/>
            <w:r>
              <w:rPr>
                <w:rFonts w:cs="Arial"/>
              </w:rPr>
              <w:t>Walsh</w:t>
            </w:r>
            <w:r w:rsidR="00C22463">
              <w:rPr>
                <w:rFonts w:cs="Arial"/>
              </w:rPr>
              <w:t>e</w:t>
            </w:r>
            <w:proofErr w:type="spellEnd"/>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Grange Energy Centre</w:t>
            </w:r>
          </w:p>
        </w:tc>
      </w:tr>
      <w:tr w:rsidR="009A4E12" w:rsidRPr="00D473CE" w:rsidTr="009A4E12">
        <w:trPr>
          <w:trHeight w:val="255"/>
        </w:trPr>
        <w:tc>
          <w:tcPr>
            <w:tcW w:w="4928"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Denis McBride</w:t>
            </w:r>
          </w:p>
        </w:tc>
        <w:tc>
          <w:tcPr>
            <w:tcW w:w="4819"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AES</w:t>
            </w:r>
          </w:p>
        </w:tc>
      </w:tr>
      <w:tr w:rsidR="009A4E12" w:rsidRPr="00D473CE" w:rsidTr="009A4E12">
        <w:trPr>
          <w:trHeight w:val="255"/>
        </w:trPr>
        <w:tc>
          <w:tcPr>
            <w:tcW w:w="49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r>
              <w:rPr>
                <w:rFonts w:cs="Arial"/>
              </w:rPr>
              <w:t>Cormac Daly</w:t>
            </w:r>
          </w:p>
        </w:tc>
        <w:tc>
          <w:tcPr>
            <w:tcW w:w="48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9A4E12" w:rsidRPr="00D71963" w:rsidRDefault="009A4E12" w:rsidP="00802DBD">
            <w:pPr>
              <w:rPr>
                <w:rFonts w:cs="Arial"/>
              </w:rPr>
            </w:pPr>
            <w:proofErr w:type="spellStart"/>
            <w:r>
              <w:rPr>
                <w:rFonts w:cs="Arial"/>
              </w:rPr>
              <w:t>Tynagh</w:t>
            </w:r>
            <w:proofErr w:type="spellEnd"/>
          </w:p>
        </w:tc>
      </w:tr>
      <w:tr w:rsidR="009A4E12" w:rsidRPr="00D473CE" w:rsidTr="009A4E12">
        <w:trPr>
          <w:trHeight w:val="255"/>
        </w:trPr>
        <w:tc>
          <w:tcPr>
            <w:tcW w:w="49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9A4E12" w:rsidRDefault="009A4E12" w:rsidP="00802DBD">
            <w:pPr>
              <w:rPr>
                <w:rFonts w:cs="Arial"/>
              </w:rPr>
            </w:pPr>
            <w:r>
              <w:rPr>
                <w:rFonts w:cs="Arial"/>
              </w:rPr>
              <w:t xml:space="preserve">Lynda Wood </w:t>
            </w:r>
          </w:p>
        </w:tc>
        <w:tc>
          <w:tcPr>
            <w:tcW w:w="48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9A4E12" w:rsidRDefault="009A4E12" w:rsidP="00802DBD">
            <w:pPr>
              <w:rPr>
                <w:rFonts w:cs="Arial"/>
              </w:rPr>
            </w:pPr>
            <w:r>
              <w:rPr>
                <w:rFonts w:cs="Arial"/>
              </w:rPr>
              <w:t>SONI</w:t>
            </w:r>
          </w:p>
        </w:tc>
      </w:tr>
    </w:tbl>
    <w:p w:rsidR="00D64132" w:rsidRDefault="00D64132" w:rsidP="00D64132">
      <w:pPr>
        <w:jc w:val="both"/>
      </w:pPr>
    </w:p>
    <w:p w:rsidR="00D64132" w:rsidRDefault="00D64132" w:rsidP="00D64132">
      <w:pPr>
        <w:jc w:val="both"/>
      </w:pPr>
    </w:p>
    <w:p w:rsidR="00D64132" w:rsidRDefault="00D64132" w:rsidP="00D64132">
      <w:pPr>
        <w:jc w:val="both"/>
      </w:pPr>
    </w:p>
    <w:p w:rsidR="00EE49BE" w:rsidRPr="00311BC2" w:rsidRDefault="00EE49BE" w:rsidP="00EE49BE">
      <w:pPr>
        <w:jc w:val="both"/>
        <w:rPr>
          <w:rFonts w:cs="Arial"/>
        </w:rPr>
      </w:pPr>
    </w:p>
    <w:p w:rsidR="008D117A" w:rsidRPr="004714B4" w:rsidRDefault="008D117A" w:rsidP="00DD19DF">
      <w:pPr>
        <w:jc w:val="both"/>
        <w:rPr>
          <w:rFonts w:cs="Arial"/>
          <w:highlight w:val="yellow"/>
        </w:rPr>
      </w:pPr>
    </w:p>
    <w:p w:rsidR="00963145" w:rsidRPr="004714B4" w:rsidRDefault="00963145" w:rsidP="00DD19DF">
      <w:pPr>
        <w:jc w:val="both"/>
        <w:rPr>
          <w:rFonts w:cs="Arial"/>
          <w:b/>
          <w:highlight w:val="yellow"/>
        </w:rPr>
      </w:pPr>
    </w:p>
    <w:p w:rsidR="00404977" w:rsidRPr="004714B4" w:rsidRDefault="00404977" w:rsidP="00DD19DF">
      <w:pPr>
        <w:jc w:val="both"/>
        <w:rPr>
          <w:rFonts w:cs="Arial"/>
          <w:b/>
          <w:highlight w:val="yellow"/>
        </w:rPr>
      </w:pPr>
    </w:p>
    <w:p w:rsidR="00624437" w:rsidRDefault="00DE2A12" w:rsidP="00F03541">
      <w:pPr>
        <w:pStyle w:val="Heading1"/>
      </w:pPr>
      <w:bookmarkStart w:id="5" w:name="_Toc514764230"/>
      <w:r>
        <w:lastRenderedPageBreak/>
        <w:t>CMC_01_18 NIROcs in the CRM</w:t>
      </w:r>
      <w:bookmarkEnd w:id="5"/>
    </w:p>
    <w:p w:rsidR="00C73FD1" w:rsidRPr="00932AB7" w:rsidRDefault="00DE2A12" w:rsidP="00932AB7">
      <w:pPr>
        <w:pStyle w:val="Heading2"/>
        <w:jc w:val="both"/>
      </w:pPr>
      <w:bookmarkStart w:id="6" w:name="_Toc514764231"/>
      <w:r w:rsidRPr="00932AB7">
        <w:t>Discussion</w:t>
      </w:r>
      <w:bookmarkEnd w:id="6"/>
    </w:p>
    <w:p w:rsidR="00EC16EA" w:rsidRDefault="00EC16EA" w:rsidP="00802DBD">
      <w:r>
        <w:t>RAs presented Modification Proposal.</w:t>
      </w:r>
    </w:p>
    <w:p w:rsidR="004672B0" w:rsidRDefault="004672B0" w:rsidP="004672B0">
      <w:r>
        <w:t>The re-draft of E.2.1.1 removes the obligation to Qualify for units with NIROCs, but there is a need to also explicitly require such capacity not to Apply to Qualify: perhaps as an addition to E.2.1.4.</w:t>
      </w:r>
    </w:p>
    <w:p w:rsidR="004672B0" w:rsidRDefault="004672B0" w:rsidP="004672B0">
      <w:r>
        <w:t xml:space="preserve">E.7.2.1 is a “may” clause but possession of a NIROC should directly prevent Qualification to comply with the State Aid decision, so the re-draft would need to be part of a “shall” clause: perhaps as a new E.7.2.2. </w:t>
      </w:r>
    </w:p>
    <w:p w:rsidR="004672B0" w:rsidRDefault="004672B0" w:rsidP="004672B0">
      <w:r>
        <w:t xml:space="preserve">The possibility was raised for CMUs with NIROCs to use Secondary Trading where the NIROCS only apply to part of the Capacity Year.  This could be considered equivalent treatment for capacity which is closing under E.10.2. </w:t>
      </w:r>
    </w:p>
    <w:p w:rsidR="004672B0" w:rsidRDefault="004672B0" w:rsidP="004672B0">
      <w:r>
        <w:t xml:space="preserve">It was noted that wider issues may arise in any future cumulative support scheme if a unit “joins” the scheme after Qualification: how would a RO be terminated?  </w:t>
      </w:r>
    </w:p>
    <w:p w:rsidR="00EC16EA" w:rsidRDefault="00EC16EA" w:rsidP="00802DBD">
      <w:r>
        <w:t>Pres</w:t>
      </w:r>
      <w:r w:rsidR="00831077">
        <w:t xml:space="preserve">entation Material available </w:t>
      </w:r>
      <w:hyperlink r:id="rId24" w:history="1">
        <w:r w:rsidR="00831077" w:rsidRPr="00831077">
          <w:rPr>
            <w:rStyle w:val="Hyperlink"/>
          </w:rPr>
          <w:t>here</w:t>
        </w:r>
      </w:hyperlink>
      <w:r>
        <w:t>.</w:t>
      </w:r>
    </w:p>
    <w:p w:rsidR="00932AB7" w:rsidRDefault="00932AB7" w:rsidP="00932AB7">
      <w:pPr>
        <w:pStyle w:val="Heading1"/>
        <w:pageBreakBefore w:val="0"/>
      </w:pPr>
      <w:bookmarkStart w:id="7" w:name="_Toc514764233"/>
      <w:r>
        <w:t>CMC_02_18Permitted Disclosures – Credit Agencies</w:t>
      </w:r>
      <w:bookmarkEnd w:id="7"/>
    </w:p>
    <w:p w:rsidR="004C359D" w:rsidRPr="00932AB7" w:rsidRDefault="004C359D" w:rsidP="004C359D">
      <w:pPr>
        <w:pStyle w:val="Heading2"/>
        <w:jc w:val="both"/>
      </w:pPr>
      <w:bookmarkStart w:id="8" w:name="_Toc514764234"/>
      <w:r w:rsidRPr="00932AB7">
        <w:t>Discussion</w:t>
      </w:r>
      <w:bookmarkEnd w:id="8"/>
    </w:p>
    <w:p w:rsidR="00EC16EA" w:rsidRDefault="00EC16EA" w:rsidP="008F5A96">
      <w:r>
        <w:t>Participant presented Modification Proposal.</w:t>
      </w:r>
    </w:p>
    <w:p w:rsidR="008F5A96" w:rsidRDefault="008F5A96" w:rsidP="008F5A96">
      <w:r>
        <w:t>The change may be better treated as a separate sub-paragraph, rather than within the existing B.23.3.1(a).</w:t>
      </w:r>
    </w:p>
    <w:p w:rsidR="008F5A96" w:rsidRDefault="008F5A96" w:rsidP="008F5A96">
      <w:r>
        <w:t>Questions were raised as whether it was necessary to define “credit reference agency” or better to leave it undefined.</w:t>
      </w:r>
    </w:p>
    <w:p w:rsidR="00640760" w:rsidRDefault="00640760" w:rsidP="00640760">
      <w:r>
        <w:t xml:space="preserve">Presentation Material available </w:t>
      </w:r>
      <w:hyperlink r:id="rId25" w:history="1">
        <w:r w:rsidR="00831077" w:rsidRPr="00831077">
          <w:rPr>
            <w:rStyle w:val="Hyperlink"/>
          </w:rPr>
          <w:t>here</w:t>
        </w:r>
      </w:hyperlink>
      <w:r>
        <w:t>.</w:t>
      </w:r>
    </w:p>
    <w:p w:rsidR="00932AB7" w:rsidRDefault="00932AB7" w:rsidP="00932AB7">
      <w:pPr>
        <w:pStyle w:val="Heading1"/>
        <w:pageBreakBefore w:val="0"/>
        <w:pBdr>
          <w:left w:val="single" w:sz="24" w:space="1" w:color="4F81BD"/>
        </w:pBdr>
      </w:pPr>
      <w:bookmarkStart w:id="9" w:name="_Toc514764236"/>
      <w:r>
        <w:t>CMC_03_18 E.5.1.1.a</w:t>
      </w:r>
      <w:bookmarkEnd w:id="9"/>
    </w:p>
    <w:p w:rsidR="004C359D" w:rsidRPr="00932AB7" w:rsidRDefault="004C359D" w:rsidP="004C359D">
      <w:pPr>
        <w:pStyle w:val="Heading2"/>
        <w:jc w:val="both"/>
      </w:pPr>
      <w:bookmarkStart w:id="10" w:name="_Toc514764237"/>
      <w:r w:rsidRPr="00932AB7">
        <w:t>Discussion</w:t>
      </w:r>
      <w:bookmarkEnd w:id="10"/>
    </w:p>
    <w:p w:rsidR="00EC16EA" w:rsidRDefault="00EC16EA" w:rsidP="008F5A96">
      <w:r>
        <w:t>TSO presented Modification Proposal.</w:t>
      </w:r>
    </w:p>
    <w:p w:rsidR="004672B0" w:rsidRPr="003E7ABD" w:rsidRDefault="00EC16EA" w:rsidP="004672B0">
      <w:pPr>
        <w:rPr>
          <w:rFonts w:cs="Arial"/>
        </w:rPr>
      </w:pPr>
      <w:r>
        <w:t xml:space="preserve">Concerns expressed that unless the </w:t>
      </w:r>
      <w:r w:rsidR="008F5A96">
        <w:t xml:space="preserve">planning consent was </w:t>
      </w:r>
      <w:proofErr w:type="spellStart"/>
      <w:r w:rsidR="008F5A96">
        <w:t>unappealable</w:t>
      </w:r>
      <w:proofErr w:type="spellEnd"/>
      <w:r>
        <w:t>,</w:t>
      </w:r>
      <w:r w:rsidR="008F5A96">
        <w:t xml:space="preserve"> it had limited practical meaning.  It was further observed that full planning consent should cover the grid connection.</w:t>
      </w:r>
      <w:r w:rsidR="008C4059">
        <w:t xml:space="preserve"> </w:t>
      </w:r>
      <w:r w:rsidR="00207C90">
        <w:rPr>
          <w:rFonts w:cs="Arial"/>
        </w:rPr>
        <w:t xml:space="preserve">Reference was made to the </w:t>
      </w:r>
      <w:hyperlink r:id="rId26" w:history="1">
        <w:proofErr w:type="spellStart"/>
        <w:r w:rsidR="004672B0" w:rsidRPr="00207C90">
          <w:rPr>
            <w:rStyle w:val="Hyperlink"/>
            <w:rFonts w:cs="Arial"/>
          </w:rPr>
          <w:t>O’Grianne</w:t>
        </w:r>
        <w:proofErr w:type="spellEnd"/>
        <w:r w:rsidR="004672B0" w:rsidRPr="00207C90">
          <w:rPr>
            <w:rStyle w:val="Hyperlink"/>
            <w:rFonts w:cs="Arial"/>
          </w:rPr>
          <w:t xml:space="preserve"> High Court case re </w:t>
        </w:r>
        <w:proofErr w:type="spellStart"/>
        <w:r w:rsidR="004672B0" w:rsidRPr="00207C90">
          <w:rPr>
            <w:rStyle w:val="Hyperlink"/>
            <w:rFonts w:cs="Arial"/>
          </w:rPr>
          <w:t>Derragh</w:t>
        </w:r>
        <w:proofErr w:type="spellEnd"/>
        <w:r w:rsidR="004672B0" w:rsidRPr="00207C90">
          <w:rPr>
            <w:rStyle w:val="Hyperlink"/>
            <w:rFonts w:cs="Arial"/>
          </w:rPr>
          <w:t xml:space="preserve"> </w:t>
        </w:r>
        <w:proofErr w:type="spellStart"/>
        <w:r w:rsidR="004672B0" w:rsidRPr="00207C90">
          <w:rPr>
            <w:rStyle w:val="Hyperlink"/>
            <w:rFonts w:cs="Arial"/>
          </w:rPr>
          <w:t>Windfarm</w:t>
        </w:r>
        <w:proofErr w:type="spellEnd"/>
        <w:r w:rsidR="004672B0" w:rsidRPr="00207C90">
          <w:rPr>
            <w:rStyle w:val="Hyperlink"/>
            <w:rFonts w:cs="Arial"/>
          </w:rPr>
          <w:t xml:space="preserve"> and the assessment of grid connections</w:t>
        </w:r>
      </w:hyperlink>
      <w:r w:rsidR="004672B0">
        <w:rPr>
          <w:rFonts w:cs="Arial"/>
        </w:rPr>
        <w:t>.</w:t>
      </w:r>
      <w:r w:rsidR="00207C90">
        <w:rPr>
          <w:rFonts w:cs="Arial"/>
        </w:rPr>
        <w:t xml:space="preserve"> </w:t>
      </w:r>
      <w:r w:rsidR="004672B0" w:rsidRPr="003E7ABD">
        <w:rPr>
          <w:rFonts w:cs="Arial"/>
        </w:rPr>
        <w:t xml:space="preserve">It is worth noting that the initial planning application for this </w:t>
      </w:r>
      <w:proofErr w:type="spellStart"/>
      <w:r w:rsidR="004672B0" w:rsidRPr="003E7ABD">
        <w:rPr>
          <w:rFonts w:cs="Arial"/>
        </w:rPr>
        <w:t>windfarm</w:t>
      </w:r>
      <w:proofErr w:type="spellEnd"/>
      <w:r w:rsidR="004672B0" w:rsidRPr="003E7ABD">
        <w:rPr>
          <w:rFonts w:cs="Arial"/>
        </w:rPr>
        <w:t xml:space="preserve"> development was lodged with Cork County Council on the 8</w:t>
      </w:r>
      <w:r w:rsidR="004672B0" w:rsidRPr="003E7ABD">
        <w:rPr>
          <w:rFonts w:cs="Arial"/>
          <w:vertAlign w:val="superscript"/>
        </w:rPr>
        <w:t>th</w:t>
      </w:r>
      <w:r w:rsidR="004672B0" w:rsidRPr="003E7ABD">
        <w:rPr>
          <w:rFonts w:cs="Arial"/>
        </w:rPr>
        <w:t xml:space="preserve"> of June 2012 and has therefore been undergoing the planning consent process and judicial review procedures for in excess of four and a half years. </w:t>
      </w:r>
    </w:p>
    <w:p w:rsidR="00EC16EA" w:rsidRDefault="00EC16EA" w:rsidP="008F5A96">
      <w:r>
        <w:t>C</w:t>
      </w:r>
      <w:r w:rsidR="008F5A96">
        <w:t xml:space="preserve">oncerns </w:t>
      </w:r>
      <w:r>
        <w:t xml:space="preserve">expressed that proposal could introduce an inconsistency between the requirements for </w:t>
      </w:r>
      <w:r w:rsidR="008F5A96">
        <w:t>renewable ge</w:t>
      </w:r>
      <w:r w:rsidR="00583FB9">
        <w:t>neration and other new capacity</w:t>
      </w:r>
      <w:r w:rsidR="004672B0">
        <w:t xml:space="preserve"> </w:t>
      </w:r>
      <w:r w:rsidR="004672B0" w:rsidRPr="002D67C6">
        <w:rPr>
          <w:rFonts w:cs="Arial"/>
        </w:rPr>
        <w:t>and had not taken into account the CRU’s Enduring Connection Policy-Stage 1 (ECP-1)-see publication CRU18058</w:t>
      </w:r>
      <w:r w:rsidR="00583FB9">
        <w:t>.</w:t>
      </w:r>
      <w:r w:rsidR="008F5A96">
        <w:t xml:space="preserve"> </w:t>
      </w:r>
    </w:p>
    <w:p w:rsidR="008C4059" w:rsidRDefault="008F5A96" w:rsidP="004672B0">
      <w:pPr>
        <w:rPr>
          <w:rFonts w:cs="Arial"/>
        </w:rPr>
      </w:pPr>
      <w:r>
        <w:t>It was noted that the planning process is long – potentially of the order of 5 years (or more)</w:t>
      </w:r>
      <w:r w:rsidR="004672B0">
        <w:t xml:space="preserve">. </w:t>
      </w:r>
      <w:r w:rsidR="004672B0" w:rsidRPr="004672B0">
        <w:rPr>
          <w:rFonts w:cs="Arial"/>
        </w:rPr>
        <w:t xml:space="preserve"> </w:t>
      </w:r>
      <w:r w:rsidR="004672B0" w:rsidRPr="002D67C6">
        <w:rPr>
          <w:rFonts w:cs="Arial"/>
        </w:rPr>
        <w:t xml:space="preserve">The TSO noted that </w:t>
      </w:r>
      <w:r w:rsidR="004672B0">
        <w:rPr>
          <w:rFonts w:cs="Arial"/>
        </w:rPr>
        <w:t xml:space="preserve">this Modification Proposal may introduce issues of equitable treatment of other forms of </w:t>
      </w:r>
      <w:r w:rsidR="00AF7BDB">
        <w:rPr>
          <w:rFonts w:cs="Arial"/>
        </w:rPr>
        <w:t xml:space="preserve">generation </w:t>
      </w:r>
      <w:r w:rsidR="00AF7BDB" w:rsidRPr="003E7ABD">
        <w:rPr>
          <w:rFonts w:cs="Arial"/>
        </w:rPr>
        <w:t>(</w:t>
      </w:r>
      <w:r w:rsidR="004672B0" w:rsidRPr="003E7ABD">
        <w:rPr>
          <w:rFonts w:cs="Arial"/>
        </w:rPr>
        <w:t>namely biomass, sol</w:t>
      </w:r>
      <w:r w:rsidR="004672B0">
        <w:rPr>
          <w:rFonts w:cs="Arial"/>
        </w:rPr>
        <w:t xml:space="preserve">ar and wind). </w:t>
      </w:r>
    </w:p>
    <w:p w:rsidR="004672B0" w:rsidRPr="003E7ABD" w:rsidRDefault="008C4059" w:rsidP="004672B0">
      <w:pPr>
        <w:rPr>
          <w:rFonts w:cs="Arial"/>
        </w:rPr>
      </w:pPr>
      <w:r>
        <w:rPr>
          <w:rFonts w:cs="Arial"/>
        </w:rPr>
        <w:t xml:space="preserve">On that basis of the constructive discussion, </w:t>
      </w:r>
      <w:r w:rsidR="004672B0">
        <w:rPr>
          <w:rFonts w:cs="Arial"/>
        </w:rPr>
        <w:t xml:space="preserve"> the</w:t>
      </w:r>
      <w:r w:rsidR="004672B0" w:rsidRPr="003E7ABD">
        <w:rPr>
          <w:rFonts w:cs="Arial"/>
        </w:rPr>
        <w:t xml:space="preserve"> </w:t>
      </w:r>
      <w:r w:rsidR="004672B0">
        <w:rPr>
          <w:rFonts w:cs="Arial"/>
        </w:rPr>
        <w:t>TSO indicated that the M</w:t>
      </w:r>
      <w:r w:rsidR="004672B0" w:rsidRPr="003E7ABD">
        <w:rPr>
          <w:rFonts w:cs="Arial"/>
        </w:rPr>
        <w:t xml:space="preserve">odification </w:t>
      </w:r>
      <w:r w:rsidR="004672B0">
        <w:rPr>
          <w:rFonts w:cs="Arial"/>
        </w:rPr>
        <w:t>Proposal would need further development before proceeding further</w:t>
      </w:r>
      <w:r w:rsidR="00DC6C78">
        <w:rPr>
          <w:rFonts w:cs="Arial"/>
        </w:rPr>
        <w:t>.</w:t>
      </w:r>
    </w:p>
    <w:p w:rsidR="00640760" w:rsidRDefault="00640760" w:rsidP="00640760">
      <w:r>
        <w:t xml:space="preserve">Presentation Material available </w:t>
      </w:r>
      <w:hyperlink r:id="rId27" w:history="1">
        <w:r w:rsidRPr="00831077">
          <w:rPr>
            <w:rStyle w:val="Hyperlink"/>
          </w:rPr>
          <w:t>here</w:t>
        </w:r>
      </w:hyperlink>
      <w:r>
        <w:t>.</w:t>
      </w:r>
    </w:p>
    <w:p w:rsidR="004C359D" w:rsidRDefault="004C359D" w:rsidP="004C359D">
      <w:pPr>
        <w:pStyle w:val="Heading1"/>
        <w:pageBreakBefore w:val="0"/>
      </w:pPr>
      <w:bookmarkStart w:id="11" w:name="_Toc514764239"/>
      <w:r>
        <w:lastRenderedPageBreak/>
        <w:t>CMC_04_18 F.2.1.1 – Capacity Auction Participation</w:t>
      </w:r>
      <w:bookmarkEnd w:id="11"/>
    </w:p>
    <w:p w:rsidR="004C359D" w:rsidRPr="00932AB7" w:rsidRDefault="004C359D" w:rsidP="004C359D">
      <w:pPr>
        <w:pStyle w:val="Heading2"/>
        <w:jc w:val="both"/>
      </w:pPr>
      <w:bookmarkStart w:id="12" w:name="_Toc514764240"/>
      <w:r w:rsidRPr="00932AB7">
        <w:t>Discussion</w:t>
      </w:r>
      <w:bookmarkEnd w:id="12"/>
    </w:p>
    <w:p w:rsidR="008F5A96" w:rsidRDefault="008F5A96" w:rsidP="008F5A96">
      <w:r>
        <w:t>The RAs explained the role of Firm Offer Requirement and its relationship to Existing and New Capacity.</w:t>
      </w:r>
    </w:p>
    <w:p w:rsidR="008F5A96" w:rsidRDefault="008F5A96" w:rsidP="008F5A96">
      <w:r>
        <w:t>The SOs noted that the use of Net De-Rated Capacity (Existing Capacity) in F.7.1.1(h) is an unusual coinage, more normal would be Net De-Rated Capacity (Existing).  This could sensibly be fixed in F.7.1.1(h) and used correctly in F.2.1.1.</w:t>
      </w:r>
    </w:p>
    <w:p w:rsidR="00AF7BDB" w:rsidRDefault="00640760" w:rsidP="00640760">
      <w:r>
        <w:t xml:space="preserve">Presentation Material available </w:t>
      </w:r>
      <w:hyperlink r:id="rId28" w:history="1">
        <w:r w:rsidRPr="00831077">
          <w:rPr>
            <w:rStyle w:val="Hyperlink"/>
          </w:rPr>
          <w:t>here</w:t>
        </w:r>
      </w:hyperlink>
      <w:r>
        <w:t>.</w:t>
      </w:r>
    </w:p>
    <w:p w:rsidR="004C359D" w:rsidRPr="008F5A96" w:rsidRDefault="004C359D" w:rsidP="008F5A96">
      <w:pPr>
        <w:pStyle w:val="Heading1"/>
        <w:pageBreakBefore w:val="0"/>
      </w:pPr>
      <w:bookmarkStart w:id="13" w:name="_Toc514764242"/>
      <w:r>
        <w:t>CMC_05_18 Combining candidate Units into a CApacity Market</w:t>
      </w:r>
      <w:bookmarkEnd w:id="13"/>
      <w:r>
        <w:t xml:space="preserve"> </w:t>
      </w:r>
    </w:p>
    <w:p w:rsidR="004C359D" w:rsidRPr="00932AB7" w:rsidRDefault="004C359D" w:rsidP="004C359D">
      <w:pPr>
        <w:pStyle w:val="Heading2"/>
        <w:jc w:val="both"/>
      </w:pPr>
      <w:bookmarkStart w:id="14" w:name="_Toc514764243"/>
      <w:r w:rsidRPr="00932AB7">
        <w:t>Discussion</w:t>
      </w:r>
      <w:bookmarkEnd w:id="14"/>
    </w:p>
    <w:p w:rsidR="00745810" w:rsidRDefault="00583FB9" w:rsidP="00745810">
      <w:r>
        <w:t>Participant presented Modification Proposal and</w:t>
      </w:r>
      <w:r w:rsidR="00745810">
        <w:t xml:space="preserve"> stated that to qualify for combination, Candidate Units should share both a site and significant generating assets.</w:t>
      </w:r>
    </w:p>
    <w:p w:rsidR="00745810" w:rsidRDefault="00745810" w:rsidP="00745810">
      <w:r>
        <w:t>There were concerns that both the definition of site and significant generating assets were unclear, making it difficult for Participants to know whether to seek combination and for the RAs to make a decision.</w:t>
      </w:r>
    </w:p>
    <w:p w:rsidR="00DC6C78" w:rsidRDefault="00DC6C78" w:rsidP="00DC6C78">
      <w:r>
        <w:t xml:space="preserve">There was concern that the proposal only applied to </w:t>
      </w:r>
      <w:proofErr w:type="spellStart"/>
      <w:r>
        <w:t>Poolbeg</w:t>
      </w:r>
      <w:proofErr w:type="spellEnd"/>
      <w:r>
        <w:t xml:space="preserve"> and it was unclear how it might apply to other units.  It was noted the </w:t>
      </w:r>
      <w:proofErr w:type="spellStart"/>
      <w:r>
        <w:t>Ballylumford</w:t>
      </w:r>
      <w:proofErr w:type="spellEnd"/>
      <w:r>
        <w:t xml:space="preserve"> was a similar 2+1 unit.  There were serious concerns about the equity of the proposal as it was drafted purely to cover </w:t>
      </w:r>
      <w:proofErr w:type="spellStart"/>
      <w:r>
        <w:t>Poolbeg</w:t>
      </w:r>
      <w:proofErr w:type="spellEnd"/>
      <w:r>
        <w:t xml:space="preserve">.  Several attendees made the point that the issue of shared costs at a station arises for many sites, though the specific justification around reduced </w:t>
      </w:r>
      <w:proofErr w:type="spellStart"/>
      <w:r>
        <w:t>MinGen</w:t>
      </w:r>
      <w:proofErr w:type="spellEnd"/>
      <w:r>
        <w:t xml:space="preserve"> may be </w:t>
      </w:r>
      <w:proofErr w:type="spellStart"/>
      <w:r>
        <w:t>Poolbeg</w:t>
      </w:r>
      <w:proofErr w:type="spellEnd"/>
      <w:r>
        <w:t xml:space="preserve"> specific.</w:t>
      </w:r>
    </w:p>
    <w:p w:rsidR="00745810" w:rsidRDefault="00745810" w:rsidP="00745810">
      <w:r>
        <w:t>There was concern about units being treated differently in the energy, capacity and DS3 markets in terms of aggregation.</w:t>
      </w:r>
    </w:p>
    <w:p w:rsidR="00745810" w:rsidRDefault="00745810" w:rsidP="00745810">
      <w:r>
        <w:t xml:space="preserve">It was observed that depending on the degree of application of the principle of combination, the CRM could be left with a small number of large units.  This would impact the lumpiness </w:t>
      </w:r>
      <w:r w:rsidR="00583FB9">
        <w:t xml:space="preserve">of the auction </w:t>
      </w:r>
      <w:r>
        <w:t>and while this would not necessarily lead to a worse economic outcome as using a combined unit could increase the risk of all its capacity being rejected in favour of a smaller, more expensive alternative unit.  However, there were significant concerns for the resolution of lumpiness in constrained zones.</w:t>
      </w:r>
    </w:p>
    <w:p w:rsidR="00640760" w:rsidRDefault="00640760" w:rsidP="00640760">
      <w:r>
        <w:t xml:space="preserve">Presentation Material available </w:t>
      </w:r>
      <w:hyperlink r:id="rId29" w:history="1">
        <w:r w:rsidRPr="00831077">
          <w:rPr>
            <w:rStyle w:val="Hyperlink"/>
          </w:rPr>
          <w:t>here</w:t>
        </w:r>
      </w:hyperlink>
      <w:r>
        <w:t>.</w:t>
      </w:r>
    </w:p>
    <w:p w:rsidR="00AF7BDB" w:rsidRDefault="00AF7BDB" w:rsidP="00640760"/>
    <w:p w:rsidR="004C359D" w:rsidRPr="00745810" w:rsidRDefault="004C359D" w:rsidP="00745810">
      <w:pPr>
        <w:pStyle w:val="Heading1"/>
        <w:pageBreakBefore w:val="0"/>
      </w:pPr>
      <w:bookmarkStart w:id="15" w:name="_Toc514764245"/>
      <w:r>
        <w:t>CMC_06_18 Dissagregation of Performance Security Requirements to Capacity Market Units</w:t>
      </w:r>
      <w:bookmarkEnd w:id="15"/>
      <w:r>
        <w:t xml:space="preserve"> </w:t>
      </w:r>
    </w:p>
    <w:p w:rsidR="004C359D" w:rsidRPr="00932AB7" w:rsidRDefault="004C359D" w:rsidP="004C359D">
      <w:pPr>
        <w:pStyle w:val="Heading2"/>
        <w:jc w:val="both"/>
      </w:pPr>
      <w:bookmarkStart w:id="16" w:name="_Toc514764246"/>
      <w:r w:rsidRPr="00932AB7">
        <w:t>Discussion</w:t>
      </w:r>
      <w:bookmarkEnd w:id="16"/>
    </w:p>
    <w:p w:rsidR="00745810" w:rsidRDefault="003A014A" w:rsidP="00745810">
      <w:r>
        <w:t xml:space="preserve">Participant presented Modification Proposal and </w:t>
      </w:r>
      <w:r w:rsidR="00745810">
        <w:t>clarified that the proposal is to deal with the situation where a Participant transfers a CMU (specifically a DSU) and concerns that the CMC did not release the requirement to post the Performance Security from the transferor.  They recognised that the proposed approach may be rather a blunt tool and create unnecessary administrative burden.</w:t>
      </w:r>
    </w:p>
    <w:p w:rsidR="004C359D" w:rsidRDefault="00745810" w:rsidP="00745810">
      <w:r>
        <w:t>It was thought possible that CMC already covers this situation adequately.  The SOs and RAs will liaise to check robustness of existing CMC drafting to the issue.</w:t>
      </w:r>
    </w:p>
    <w:p w:rsidR="00AF7BDB" w:rsidRDefault="00AF7BDB" w:rsidP="00745810"/>
    <w:p w:rsidR="00AF7BDB" w:rsidRDefault="00AF7BDB" w:rsidP="00745810"/>
    <w:p w:rsidR="00AF7BDB" w:rsidRDefault="00AF7BDB" w:rsidP="00745810"/>
    <w:p w:rsidR="004C359D" w:rsidRPr="00745810" w:rsidRDefault="004C359D" w:rsidP="00745810">
      <w:pPr>
        <w:pStyle w:val="Heading1"/>
        <w:pageBreakBefore w:val="0"/>
      </w:pPr>
      <w:bookmarkStart w:id="17" w:name="_Toc514764248"/>
      <w:r>
        <w:lastRenderedPageBreak/>
        <w:t>CMC_07_18 Subsection F.9.5 – Information Published Following a Capacity Auction</w:t>
      </w:r>
      <w:bookmarkEnd w:id="17"/>
      <w:r>
        <w:t xml:space="preserve"> </w:t>
      </w:r>
    </w:p>
    <w:p w:rsidR="004C359D" w:rsidRPr="00932AB7" w:rsidRDefault="004C359D" w:rsidP="004C359D">
      <w:pPr>
        <w:pStyle w:val="Heading2"/>
        <w:jc w:val="both"/>
      </w:pPr>
      <w:bookmarkStart w:id="18" w:name="_Toc514764249"/>
      <w:r w:rsidRPr="00932AB7">
        <w:t>Discussion</w:t>
      </w:r>
      <w:bookmarkEnd w:id="18"/>
    </w:p>
    <w:p w:rsidR="004C359D" w:rsidRDefault="00745810" w:rsidP="00745810">
      <w:r>
        <w:t>There was a request to allow 3WD between notification to Participant and publishing of data, in line with GB practice.</w:t>
      </w:r>
    </w:p>
    <w:p w:rsidR="00640760" w:rsidRDefault="00640760" w:rsidP="00640760">
      <w:r>
        <w:t xml:space="preserve">Presentation Material available </w:t>
      </w:r>
      <w:hyperlink r:id="rId30" w:history="1">
        <w:r w:rsidRPr="00EB5D95">
          <w:rPr>
            <w:rStyle w:val="Hyperlink"/>
          </w:rPr>
          <w:t>here</w:t>
        </w:r>
      </w:hyperlink>
      <w:r>
        <w:t>.</w:t>
      </w:r>
    </w:p>
    <w:p w:rsidR="004C359D" w:rsidRDefault="00745810" w:rsidP="004C359D">
      <w:pPr>
        <w:pStyle w:val="Heading1"/>
        <w:pageBreakBefore w:val="0"/>
      </w:pPr>
      <w:bookmarkStart w:id="19" w:name="_Toc514764251"/>
      <w:r>
        <w:t>CMC_08_18 Ty</w:t>
      </w:r>
      <w:r w:rsidR="004C359D">
        <w:t>pographical Correction – E.8.2.4</w:t>
      </w:r>
      <w:bookmarkEnd w:id="19"/>
      <w:r w:rsidR="004C359D">
        <w:t xml:space="preserve"> </w:t>
      </w:r>
    </w:p>
    <w:p w:rsidR="004C359D" w:rsidRPr="00932AB7" w:rsidRDefault="004C359D" w:rsidP="004C359D">
      <w:pPr>
        <w:pStyle w:val="Heading2"/>
        <w:jc w:val="both"/>
      </w:pPr>
      <w:bookmarkStart w:id="20" w:name="_Toc514764252"/>
      <w:r w:rsidRPr="00932AB7">
        <w:t>Discussion</w:t>
      </w:r>
      <w:bookmarkEnd w:id="20"/>
    </w:p>
    <w:p w:rsidR="004C359D" w:rsidRDefault="00745810" w:rsidP="004C359D">
      <w:pPr>
        <w:tabs>
          <w:tab w:val="left" w:pos="1575"/>
        </w:tabs>
        <w:rPr>
          <w:lang w:bidi="ar-SA"/>
        </w:rPr>
      </w:pPr>
      <w:r>
        <w:rPr>
          <w:lang w:bidi="ar-SA"/>
        </w:rPr>
        <w:t>Agr</w:t>
      </w:r>
      <w:r w:rsidR="003A014A">
        <w:rPr>
          <w:lang w:bidi="ar-SA"/>
        </w:rPr>
        <w:t>e</w:t>
      </w:r>
      <w:r>
        <w:rPr>
          <w:lang w:bidi="ar-SA"/>
        </w:rPr>
        <w:t xml:space="preserve">ement that this multiplication error should be </w:t>
      </w:r>
      <w:r w:rsidR="00D93040">
        <w:rPr>
          <w:lang w:bidi="ar-SA"/>
        </w:rPr>
        <w:t>corrected</w:t>
      </w:r>
      <w:r w:rsidR="00207C90">
        <w:rPr>
          <w:lang w:bidi="ar-SA"/>
        </w:rPr>
        <w:t xml:space="preserve"> as proposed.</w:t>
      </w:r>
    </w:p>
    <w:p w:rsidR="004C359D" w:rsidRDefault="004C359D" w:rsidP="004C359D">
      <w:pPr>
        <w:pStyle w:val="Heading1"/>
        <w:pageBreakBefore w:val="0"/>
      </w:pPr>
      <w:bookmarkStart w:id="21" w:name="_Toc514764254"/>
      <w:r>
        <w:t>CMC_09_18 Paragraph E.9.5.1 – Publication of Qualification Results</w:t>
      </w:r>
      <w:bookmarkEnd w:id="21"/>
      <w:r>
        <w:t xml:space="preserve"> </w:t>
      </w:r>
    </w:p>
    <w:p w:rsidR="004C359D" w:rsidRPr="00932AB7" w:rsidRDefault="004C359D" w:rsidP="004C359D">
      <w:pPr>
        <w:pStyle w:val="Heading2"/>
        <w:jc w:val="both"/>
      </w:pPr>
      <w:bookmarkStart w:id="22" w:name="_Toc514764255"/>
      <w:r w:rsidRPr="00932AB7">
        <w:t>Discussion</w:t>
      </w:r>
      <w:bookmarkEnd w:id="22"/>
    </w:p>
    <w:p w:rsidR="00207C90" w:rsidRDefault="00207C90" w:rsidP="00207C90">
      <w:pPr>
        <w:tabs>
          <w:tab w:val="left" w:pos="1575"/>
        </w:tabs>
        <w:rPr>
          <w:lang w:bidi="ar-SA"/>
        </w:rPr>
      </w:pPr>
      <w:r>
        <w:rPr>
          <w:lang w:bidi="ar-SA"/>
        </w:rPr>
        <w:t>Agreement that paragraph E.9.5.1 should be corrected as proposed..</w:t>
      </w:r>
    </w:p>
    <w:p w:rsidR="00640760" w:rsidRDefault="00640760" w:rsidP="00640760">
      <w:r>
        <w:t xml:space="preserve">Presentation Material available </w:t>
      </w:r>
      <w:hyperlink r:id="rId31" w:history="1">
        <w:r w:rsidRPr="00EB5D95">
          <w:rPr>
            <w:rStyle w:val="Hyperlink"/>
          </w:rPr>
          <w:t>here</w:t>
        </w:r>
      </w:hyperlink>
      <w:r>
        <w:t>.</w:t>
      </w:r>
    </w:p>
    <w:p w:rsidR="004C359D" w:rsidRDefault="004C359D" w:rsidP="004C359D">
      <w:pPr>
        <w:pStyle w:val="Heading1"/>
        <w:pageBreakBefore w:val="0"/>
      </w:pPr>
      <w:bookmarkStart w:id="23" w:name="_Toc514764257"/>
      <w:r>
        <w:t>CMC_10_18 Paragraph B.10.4.1 - Report on Capacity Auction</w:t>
      </w:r>
      <w:bookmarkEnd w:id="23"/>
      <w:r>
        <w:t xml:space="preserve"> </w:t>
      </w:r>
    </w:p>
    <w:p w:rsidR="004C359D" w:rsidRPr="00932AB7" w:rsidRDefault="004C359D" w:rsidP="004C359D">
      <w:pPr>
        <w:pStyle w:val="Heading2"/>
        <w:jc w:val="both"/>
      </w:pPr>
      <w:bookmarkStart w:id="24" w:name="_Toc514764258"/>
      <w:r w:rsidRPr="00932AB7">
        <w:t>Discussion</w:t>
      </w:r>
      <w:bookmarkEnd w:id="24"/>
    </w:p>
    <w:p w:rsidR="004C359D" w:rsidRDefault="00745810" w:rsidP="004C359D">
      <w:pPr>
        <w:tabs>
          <w:tab w:val="left" w:pos="1575"/>
        </w:tabs>
        <w:rPr>
          <w:lang w:bidi="ar-SA"/>
        </w:rPr>
      </w:pPr>
      <w:r>
        <w:rPr>
          <w:lang w:bidi="ar-SA"/>
        </w:rPr>
        <w:t>Agreement that Paragraph</w:t>
      </w:r>
      <w:r w:rsidR="00207C90">
        <w:rPr>
          <w:lang w:bidi="ar-SA"/>
        </w:rPr>
        <w:t xml:space="preserve"> B.10.4.1</w:t>
      </w:r>
      <w:r>
        <w:rPr>
          <w:lang w:bidi="ar-SA"/>
        </w:rPr>
        <w:t xml:space="preserve"> should be change</w:t>
      </w:r>
      <w:r w:rsidR="004524E3">
        <w:rPr>
          <w:lang w:bidi="ar-SA"/>
        </w:rPr>
        <w:t>d</w:t>
      </w:r>
      <w:r w:rsidR="00207C90">
        <w:rPr>
          <w:lang w:bidi="ar-SA"/>
        </w:rPr>
        <w:t xml:space="preserve"> to refer to paragraph</w:t>
      </w:r>
      <w:r>
        <w:rPr>
          <w:lang w:bidi="ar-SA"/>
        </w:rPr>
        <w:t xml:space="preserve"> F.9.3.1</w:t>
      </w:r>
      <w:r w:rsidR="00207C90">
        <w:rPr>
          <w:lang w:bidi="ar-SA"/>
        </w:rPr>
        <w:t xml:space="preserve"> instead of F.9.2.1.</w:t>
      </w:r>
    </w:p>
    <w:p w:rsidR="00640760" w:rsidRDefault="00640760" w:rsidP="00640760">
      <w:r>
        <w:t xml:space="preserve">Presentation Material available </w:t>
      </w:r>
      <w:hyperlink r:id="rId32" w:history="1">
        <w:r w:rsidRPr="00EB5D95">
          <w:rPr>
            <w:rStyle w:val="Hyperlink"/>
          </w:rPr>
          <w:t>here</w:t>
        </w:r>
      </w:hyperlink>
      <w:r>
        <w:t>.</w:t>
      </w:r>
    </w:p>
    <w:p w:rsidR="00835D9B" w:rsidRDefault="00835D9B" w:rsidP="00835D9B">
      <w:pPr>
        <w:pStyle w:val="Heading1"/>
        <w:pageBreakBefore w:val="0"/>
      </w:pPr>
      <w:r>
        <w:t>NEXT STEPS</w:t>
      </w:r>
    </w:p>
    <w:p w:rsidR="00745810" w:rsidRDefault="00745810" w:rsidP="00745810">
      <w:pPr>
        <w:pStyle w:val="ListParagraph"/>
        <w:numPr>
          <w:ilvl w:val="0"/>
          <w:numId w:val="34"/>
        </w:numPr>
        <w:jc w:val="both"/>
        <w:rPr>
          <w:rFonts w:cs="Arial"/>
        </w:rPr>
      </w:pPr>
      <w:r w:rsidRPr="00802DBD">
        <w:rPr>
          <w:rFonts w:cs="Arial"/>
        </w:rPr>
        <w:t>TSO to publish Working Group Report</w:t>
      </w:r>
    </w:p>
    <w:p w:rsidR="00835D9B" w:rsidRDefault="00835D9B" w:rsidP="00835D9B">
      <w:pPr>
        <w:pStyle w:val="ListParagraph"/>
        <w:jc w:val="both"/>
        <w:rPr>
          <w:rFonts w:cs="Arial"/>
        </w:rPr>
      </w:pPr>
    </w:p>
    <w:p w:rsidR="00835D9B" w:rsidRPr="00DC5DE6" w:rsidRDefault="00745810" w:rsidP="00DC5DE6">
      <w:pPr>
        <w:pStyle w:val="ListParagraph"/>
        <w:numPr>
          <w:ilvl w:val="0"/>
          <w:numId w:val="34"/>
        </w:numPr>
        <w:jc w:val="both"/>
        <w:rPr>
          <w:rFonts w:cs="Arial"/>
        </w:rPr>
      </w:pPr>
      <w:r w:rsidRPr="00745810">
        <w:rPr>
          <w:rFonts w:cs="Arial"/>
        </w:rPr>
        <w:t>RAs publish</w:t>
      </w:r>
      <w:r w:rsidR="00747743">
        <w:rPr>
          <w:rFonts w:cs="Arial"/>
        </w:rPr>
        <w:t>ed</w:t>
      </w:r>
      <w:r w:rsidRPr="00745810">
        <w:rPr>
          <w:rFonts w:cs="Arial"/>
        </w:rPr>
        <w:t xml:space="preserve"> </w:t>
      </w:r>
      <w:hyperlink r:id="rId33" w:history="1">
        <w:r w:rsidRPr="00835D9B">
          <w:rPr>
            <w:rStyle w:val="Hyperlink"/>
            <w:rFonts w:cs="Arial"/>
          </w:rPr>
          <w:t>consultation timeline</w:t>
        </w:r>
      </w:hyperlink>
      <w:r w:rsidR="00835D9B">
        <w:rPr>
          <w:rFonts w:cs="Arial"/>
        </w:rPr>
        <w:t>.</w:t>
      </w:r>
    </w:p>
    <w:p w:rsidR="004C359D" w:rsidRPr="004C359D" w:rsidRDefault="004C359D" w:rsidP="004C359D">
      <w:pPr>
        <w:rPr>
          <w:lang w:bidi="ar-SA"/>
        </w:rPr>
      </w:pPr>
    </w:p>
    <w:p w:rsidR="008B573F" w:rsidRPr="004C359D" w:rsidRDefault="008B573F" w:rsidP="004C359D">
      <w:pPr>
        <w:rPr>
          <w:lang w:bidi="ar-SA"/>
        </w:rPr>
        <w:sectPr w:rsidR="008B573F" w:rsidRPr="004C359D" w:rsidSect="00B903C3">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68" w:right="1287" w:bottom="544" w:left="1077" w:header="709" w:footer="709" w:gutter="0"/>
          <w:cols w:space="708"/>
          <w:docGrid w:linePitch="360"/>
        </w:sectPr>
      </w:pPr>
    </w:p>
    <w:p w:rsidR="008B573F" w:rsidRDefault="008B573F" w:rsidP="008C4059">
      <w:pPr>
        <w:spacing w:before="0" w:after="0"/>
        <w:jc w:val="both"/>
        <w:rPr>
          <w:rStyle w:val="TableText"/>
          <w:sz w:val="22"/>
          <w:szCs w:val="22"/>
        </w:rPr>
      </w:pPr>
    </w:p>
    <w:sectPr w:rsidR="008B573F" w:rsidSect="00745810">
      <w:type w:val="continuous"/>
      <w:pgSz w:w="11906" w:h="16838" w:code="9"/>
      <w:pgMar w:top="255" w:right="1287" w:bottom="544" w:left="107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58DAC" w15:done="0"/>
  <w15:commentEx w15:paraId="2CB8BF73" w15:done="0"/>
  <w15:commentEx w15:paraId="13BDE6F5" w15:done="0"/>
  <w15:commentEx w15:paraId="77520B82" w15:done="0"/>
  <w15:commentEx w15:paraId="3C2DF297" w15:done="0"/>
  <w15:commentEx w15:paraId="25B42DB2" w15:done="0"/>
  <w15:commentEx w15:paraId="2BA55EF1" w15:done="0"/>
  <w15:commentEx w15:paraId="020BC861" w15:done="0"/>
  <w15:commentEx w15:paraId="18FB8A25" w15:done="0"/>
  <w15:commentEx w15:paraId="2A3254A8" w15:done="0"/>
  <w15:commentEx w15:paraId="4134757D" w15:done="0"/>
  <w15:commentEx w15:paraId="31A450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58DAC" w16cid:durableId="1EC271F7"/>
  <w16cid:commentId w16cid:paraId="2CB8BF73" w16cid:durableId="1EC27224"/>
  <w16cid:commentId w16cid:paraId="13BDE6F5" w16cid:durableId="1EC2714F"/>
  <w16cid:commentId w16cid:paraId="77520B82" w16cid:durableId="1EC27150"/>
  <w16cid:commentId w16cid:paraId="3C2DF297" w16cid:durableId="1EC271CB"/>
  <w16cid:commentId w16cid:paraId="25B42DB2" w16cid:durableId="1EC27283"/>
  <w16cid:commentId w16cid:paraId="2BA55EF1" w16cid:durableId="1EC272C7"/>
  <w16cid:commentId w16cid:paraId="020BC861" w16cid:durableId="1EC273AC"/>
  <w16cid:commentId w16cid:paraId="18FB8A25" w16cid:durableId="1EC2730E"/>
  <w16cid:commentId w16cid:paraId="2A3254A8" w16cid:durableId="1EC2733B"/>
  <w16cid:commentId w16cid:paraId="4134757D" w16cid:durableId="1EC27399"/>
  <w16cid:commentId w16cid:paraId="31A450CC" w16cid:durableId="1EC273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E71" w:rsidRDefault="00B11E71">
      <w:r>
        <w:separator/>
      </w:r>
    </w:p>
  </w:endnote>
  <w:endnote w:type="continuationSeparator" w:id="0">
    <w:p w:rsidR="00B11E71" w:rsidRDefault="00B11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EC" w:rsidRDefault="00E403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10" w:rsidRPr="0019258D" w:rsidRDefault="00745810" w:rsidP="00DD19DF">
    <w:pPr>
      <w:pStyle w:val="Footer"/>
      <w:spacing w:before="0" w:after="0"/>
      <w:rPr>
        <w:sz w:val="12"/>
        <w:szCs w:val="12"/>
      </w:rPr>
    </w:pPr>
  </w:p>
  <w:p w:rsidR="00745810" w:rsidRPr="00A53010" w:rsidRDefault="00745810" w:rsidP="00DD19DF">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2E70DF" w:rsidRPr="00A53010">
      <w:rPr>
        <w:rStyle w:val="PageNumber"/>
        <w:sz w:val="18"/>
        <w:szCs w:val="18"/>
      </w:rPr>
      <w:fldChar w:fldCharType="begin"/>
    </w:r>
    <w:r w:rsidRPr="00A53010">
      <w:rPr>
        <w:rStyle w:val="PageNumber"/>
        <w:sz w:val="18"/>
        <w:szCs w:val="18"/>
      </w:rPr>
      <w:instrText xml:space="preserve">PAGE  </w:instrText>
    </w:r>
    <w:r w:rsidR="002E70DF" w:rsidRPr="00A53010">
      <w:rPr>
        <w:rStyle w:val="PageNumber"/>
        <w:sz w:val="18"/>
        <w:szCs w:val="18"/>
      </w:rPr>
      <w:fldChar w:fldCharType="separate"/>
    </w:r>
    <w:r w:rsidR="00AF7BDB">
      <w:rPr>
        <w:rStyle w:val="PageNumber"/>
        <w:noProof/>
        <w:sz w:val="18"/>
        <w:szCs w:val="18"/>
      </w:rPr>
      <w:t>2</w:t>
    </w:r>
    <w:r w:rsidR="002E70DF" w:rsidRPr="00A53010">
      <w:rPr>
        <w:rStyle w:val="PageNumber"/>
        <w:sz w:val="18"/>
        <w:szCs w:val="18"/>
      </w:rPr>
      <w:fldChar w:fldCharType="end"/>
    </w:r>
    <w:r w:rsidRPr="00A53010">
      <w:rPr>
        <w:rStyle w:val="PageNumber"/>
        <w:sz w:val="18"/>
        <w:szCs w:val="18"/>
      </w:rPr>
      <w:t xml:space="preserve"> of </w:t>
    </w:r>
    <w:r w:rsidR="002E70DF" w:rsidRPr="00A53010">
      <w:rPr>
        <w:rStyle w:val="PageNumber"/>
        <w:sz w:val="18"/>
        <w:szCs w:val="18"/>
      </w:rPr>
      <w:fldChar w:fldCharType="begin"/>
    </w:r>
    <w:r w:rsidRPr="00A53010">
      <w:rPr>
        <w:rStyle w:val="PageNumber"/>
        <w:sz w:val="18"/>
        <w:szCs w:val="18"/>
      </w:rPr>
      <w:instrText xml:space="preserve"> NUMPAGES </w:instrText>
    </w:r>
    <w:r w:rsidR="002E70DF" w:rsidRPr="00A53010">
      <w:rPr>
        <w:rStyle w:val="PageNumber"/>
        <w:sz w:val="18"/>
        <w:szCs w:val="18"/>
      </w:rPr>
      <w:fldChar w:fldCharType="separate"/>
    </w:r>
    <w:r w:rsidR="00AF7BDB">
      <w:rPr>
        <w:rStyle w:val="PageNumber"/>
        <w:noProof/>
        <w:sz w:val="18"/>
        <w:szCs w:val="18"/>
      </w:rPr>
      <w:t>7</w:t>
    </w:r>
    <w:r w:rsidR="002E70DF" w:rsidRPr="00A53010">
      <w:rPr>
        <w:rStyle w:val="PageNumber"/>
        <w:sz w:val="18"/>
        <w:szCs w:val="18"/>
      </w:rPr>
      <w:fldChar w:fldCharType="end"/>
    </w:r>
  </w:p>
  <w:p w:rsidR="00745810" w:rsidRPr="00A53010" w:rsidRDefault="00745810" w:rsidP="00DD19DF">
    <w:pPr>
      <w:pStyle w:val="Footer"/>
      <w:pBdr>
        <w:top w:val="single" w:sz="4" w:space="1" w:color="auto"/>
      </w:pBdr>
      <w:rPr>
        <w:sz w:val="16"/>
        <w:szCs w:val="16"/>
      </w:rPr>
    </w:pPr>
    <w:r>
      <w:rPr>
        <w:noProof/>
        <w:sz w:val="16"/>
        <w:szCs w:val="16"/>
        <w:lang w:val="en-IE" w:eastAsia="en-IE" w:bidi="ar-SA"/>
      </w:rPr>
      <w:drawing>
        <wp:inline distT="0" distB="0" distL="0" distR="0">
          <wp:extent cx="571500" cy="273050"/>
          <wp:effectExtent l="1905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3" t="26605" r="20000" b="24083"/>
                  <a:stretch>
                    <a:fillRect/>
                  </a:stretch>
                </pic:blipFill>
                <pic:spPr bwMode="auto">
                  <a:xfrm>
                    <a:off x="0" y="0"/>
                    <a:ext cx="571500" cy="27305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EC" w:rsidRDefault="00E40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E71" w:rsidRDefault="00B11E71">
      <w:r>
        <w:separator/>
      </w:r>
    </w:p>
  </w:footnote>
  <w:footnote w:type="continuationSeparator" w:id="0">
    <w:p w:rsidR="00B11E71" w:rsidRDefault="00B11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EC" w:rsidRDefault="00E403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10" w:rsidRPr="00160A78" w:rsidRDefault="00745810" w:rsidP="00103FA8">
    <w:pPr>
      <w:pBdr>
        <w:bottom w:val="single" w:sz="4" w:space="1" w:color="auto"/>
      </w:pBdr>
      <w:autoSpaceDE w:val="0"/>
      <w:autoSpaceDN w:val="0"/>
      <w:adjustRightInd w:val="0"/>
      <w:spacing w:after="0" w:line="240" w:lineRule="auto"/>
      <w:rPr>
        <w:rFonts w:cs="Arial"/>
        <w:bCs/>
        <w:sz w:val="18"/>
        <w:szCs w:val="18"/>
      </w:rPr>
    </w:pPr>
    <w:r>
      <w:rPr>
        <w:rFonts w:cs="Arial"/>
        <w:bCs/>
        <w:sz w:val="18"/>
        <w:szCs w:val="18"/>
      </w:rPr>
      <w:t>Working Group 1</w:t>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t xml:space="preserve">        24 May 2018</w:t>
    </w:r>
  </w:p>
  <w:p w:rsidR="00745810" w:rsidRDefault="00745810" w:rsidP="00DE2A12">
    <w:pPr>
      <w:tabs>
        <w:tab w:val="right" w:pos="9542"/>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EC" w:rsidRDefault="00E403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4DD"/>
    <w:multiLevelType w:val="hybridMultilevel"/>
    <w:tmpl w:val="76B8E584"/>
    <w:lvl w:ilvl="0" w:tplc="FC26FD8C">
      <w:start w:val="2018"/>
      <w:numFmt w:val="bullet"/>
      <w:lvlText w:val="-"/>
      <w:lvlJc w:val="left"/>
      <w:pPr>
        <w:ind w:left="360" w:hanging="360"/>
      </w:pPr>
      <w:rPr>
        <w:rFonts w:ascii="Times New Roman" w:eastAsiaTheme="minorHAnsi"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D007C99"/>
    <w:multiLevelType w:val="hybridMultilevel"/>
    <w:tmpl w:val="8AB85B44"/>
    <w:lvl w:ilvl="0" w:tplc="C41C1FF6">
      <w:start w:val="1"/>
      <w:numFmt w:val="bullet"/>
      <w:lvlText w:val="•"/>
      <w:lvlJc w:val="left"/>
      <w:pPr>
        <w:tabs>
          <w:tab w:val="num" w:pos="720"/>
        </w:tabs>
        <w:ind w:left="720" w:hanging="360"/>
      </w:pPr>
      <w:rPr>
        <w:rFonts w:ascii="Arial" w:hAnsi="Arial" w:hint="default"/>
      </w:rPr>
    </w:lvl>
    <w:lvl w:ilvl="1" w:tplc="ACB8BB82">
      <w:start w:val="1"/>
      <w:numFmt w:val="bullet"/>
      <w:lvlText w:val="•"/>
      <w:lvlJc w:val="left"/>
      <w:pPr>
        <w:tabs>
          <w:tab w:val="num" w:pos="1440"/>
        </w:tabs>
        <w:ind w:left="1440" w:hanging="360"/>
      </w:pPr>
      <w:rPr>
        <w:rFonts w:ascii="Arial" w:hAnsi="Arial" w:hint="default"/>
      </w:rPr>
    </w:lvl>
    <w:lvl w:ilvl="2" w:tplc="E02EEBB2">
      <w:start w:val="1"/>
      <w:numFmt w:val="bullet"/>
      <w:lvlText w:val="•"/>
      <w:lvlJc w:val="left"/>
      <w:pPr>
        <w:tabs>
          <w:tab w:val="num" w:pos="2160"/>
        </w:tabs>
        <w:ind w:left="2160" w:hanging="360"/>
      </w:pPr>
      <w:rPr>
        <w:rFonts w:ascii="Arial" w:hAnsi="Arial" w:hint="default"/>
      </w:rPr>
    </w:lvl>
    <w:lvl w:ilvl="3" w:tplc="991EBC70" w:tentative="1">
      <w:start w:val="1"/>
      <w:numFmt w:val="bullet"/>
      <w:lvlText w:val="•"/>
      <w:lvlJc w:val="left"/>
      <w:pPr>
        <w:tabs>
          <w:tab w:val="num" w:pos="2880"/>
        </w:tabs>
        <w:ind w:left="2880" w:hanging="360"/>
      </w:pPr>
      <w:rPr>
        <w:rFonts w:ascii="Arial" w:hAnsi="Arial" w:hint="default"/>
      </w:rPr>
    </w:lvl>
    <w:lvl w:ilvl="4" w:tplc="9286BDDA" w:tentative="1">
      <w:start w:val="1"/>
      <w:numFmt w:val="bullet"/>
      <w:lvlText w:val="•"/>
      <w:lvlJc w:val="left"/>
      <w:pPr>
        <w:tabs>
          <w:tab w:val="num" w:pos="3600"/>
        </w:tabs>
        <w:ind w:left="3600" w:hanging="360"/>
      </w:pPr>
      <w:rPr>
        <w:rFonts w:ascii="Arial" w:hAnsi="Arial" w:hint="default"/>
      </w:rPr>
    </w:lvl>
    <w:lvl w:ilvl="5" w:tplc="00121306" w:tentative="1">
      <w:start w:val="1"/>
      <w:numFmt w:val="bullet"/>
      <w:lvlText w:val="•"/>
      <w:lvlJc w:val="left"/>
      <w:pPr>
        <w:tabs>
          <w:tab w:val="num" w:pos="4320"/>
        </w:tabs>
        <w:ind w:left="4320" w:hanging="360"/>
      </w:pPr>
      <w:rPr>
        <w:rFonts w:ascii="Arial" w:hAnsi="Arial" w:hint="default"/>
      </w:rPr>
    </w:lvl>
    <w:lvl w:ilvl="6" w:tplc="225A3DD6" w:tentative="1">
      <w:start w:val="1"/>
      <w:numFmt w:val="bullet"/>
      <w:lvlText w:val="•"/>
      <w:lvlJc w:val="left"/>
      <w:pPr>
        <w:tabs>
          <w:tab w:val="num" w:pos="5040"/>
        </w:tabs>
        <w:ind w:left="5040" w:hanging="360"/>
      </w:pPr>
      <w:rPr>
        <w:rFonts w:ascii="Arial" w:hAnsi="Arial" w:hint="default"/>
      </w:rPr>
    </w:lvl>
    <w:lvl w:ilvl="7" w:tplc="C96A91F2" w:tentative="1">
      <w:start w:val="1"/>
      <w:numFmt w:val="bullet"/>
      <w:lvlText w:val="•"/>
      <w:lvlJc w:val="left"/>
      <w:pPr>
        <w:tabs>
          <w:tab w:val="num" w:pos="5760"/>
        </w:tabs>
        <w:ind w:left="5760" w:hanging="360"/>
      </w:pPr>
      <w:rPr>
        <w:rFonts w:ascii="Arial" w:hAnsi="Arial" w:hint="default"/>
      </w:rPr>
    </w:lvl>
    <w:lvl w:ilvl="8" w:tplc="7BD4DCA4" w:tentative="1">
      <w:start w:val="1"/>
      <w:numFmt w:val="bullet"/>
      <w:lvlText w:val="•"/>
      <w:lvlJc w:val="left"/>
      <w:pPr>
        <w:tabs>
          <w:tab w:val="num" w:pos="6480"/>
        </w:tabs>
        <w:ind w:left="6480" w:hanging="360"/>
      </w:pPr>
      <w:rPr>
        <w:rFonts w:ascii="Arial" w:hAnsi="Arial" w:hint="default"/>
      </w:rPr>
    </w:lvl>
  </w:abstractNum>
  <w:abstractNum w:abstractNumId="2">
    <w:nsid w:val="0F723C8E"/>
    <w:multiLevelType w:val="hybridMultilevel"/>
    <w:tmpl w:val="A66270AC"/>
    <w:lvl w:ilvl="0" w:tplc="8F02D3D8">
      <w:start w:val="1"/>
      <w:numFmt w:val="bullet"/>
      <w:pStyle w:val="Bullet1"/>
      <w:lvlText w:val=""/>
      <w:lvlJc w:val="left"/>
      <w:pPr>
        <w:tabs>
          <w:tab w:val="num" w:pos="360"/>
        </w:tabs>
        <w:ind w:left="360" w:hanging="360"/>
      </w:pPr>
      <w:rPr>
        <w:rFonts w:ascii="Symbol" w:hAnsi="Symbol" w:hint="default"/>
      </w:rPr>
    </w:lvl>
    <w:lvl w:ilvl="1" w:tplc="8DC8A21E">
      <w:start w:val="1"/>
      <w:numFmt w:val="bullet"/>
      <w:lvlText w:val="o"/>
      <w:lvlJc w:val="left"/>
      <w:pPr>
        <w:tabs>
          <w:tab w:val="num" w:pos="1080"/>
        </w:tabs>
        <w:ind w:left="1080" w:hanging="360"/>
      </w:pPr>
      <w:rPr>
        <w:rFonts w:ascii="Courier New" w:hAnsi="Courier New" w:cs="Arial" w:hint="default"/>
      </w:rPr>
    </w:lvl>
    <w:lvl w:ilvl="2" w:tplc="FA7E541A">
      <w:start w:val="1"/>
      <w:numFmt w:val="bullet"/>
      <w:lvlText w:val=""/>
      <w:lvlJc w:val="left"/>
      <w:pPr>
        <w:tabs>
          <w:tab w:val="num" w:pos="1800"/>
        </w:tabs>
        <w:ind w:left="1800" w:hanging="360"/>
      </w:pPr>
      <w:rPr>
        <w:rFonts w:ascii="Wingdings" w:hAnsi="Wingdings" w:hint="default"/>
      </w:rPr>
    </w:lvl>
    <w:lvl w:ilvl="3" w:tplc="D95C2758" w:tentative="1">
      <w:start w:val="1"/>
      <w:numFmt w:val="bullet"/>
      <w:lvlText w:val=""/>
      <w:lvlJc w:val="left"/>
      <w:pPr>
        <w:tabs>
          <w:tab w:val="num" w:pos="2520"/>
        </w:tabs>
        <w:ind w:left="2520" w:hanging="360"/>
      </w:pPr>
      <w:rPr>
        <w:rFonts w:ascii="Symbol" w:hAnsi="Symbol" w:hint="default"/>
      </w:rPr>
    </w:lvl>
    <w:lvl w:ilvl="4" w:tplc="AE8E1752" w:tentative="1">
      <w:start w:val="1"/>
      <w:numFmt w:val="bullet"/>
      <w:lvlText w:val="o"/>
      <w:lvlJc w:val="left"/>
      <w:pPr>
        <w:tabs>
          <w:tab w:val="num" w:pos="3240"/>
        </w:tabs>
        <w:ind w:left="3240" w:hanging="360"/>
      </w:pPr>
      <w:rPr>
        <w:rFonts w:ascii="Courier New" w:hAnsi="Courier New" w:cs="Arial" w:hint="default"/>
      </w:rPr>
    </w:lvl>
    <w:lvl w:ilvl="5" w:tplc="24F0641A" w:tentative="1">
      <w:start w:val="1"/>
      <w:numFmt w:val="bullet"/>
      <w:lvlText w:val=""/>
      <w:lvlJc w:val="left"/>
      <w:pPr>
        <w:tabs>
          <w:tab w:val="num" w:pos="3960"/>
        </w:tabs>
        <w:ind w:left="3960" w:hanging="360"/>
      </w:pPr>
      <w:rPr>
        <w:rFonts w:ascii="Wingdings" w:hAnsi="Wingdings" w:hint="default"/>
      </w:rPr>
    </w:lvl>
    <w:lvl w:ilvl="6" w:tplc="C3A07F00" w:tentative="1">
      <w:start w:val="1"/>
      <w:numFmt w:val="bullet"/>
      <w:lvlText w:val=""/>
      <w:lvlJc w:val="left"/>
      <w:pPr>
        <w:tabs>
          <w:tab w:val="num" w:pos="4680"/>
        </w:tabs>
        <w:ind w:left="4680" w:hanging="360"/>
      </w:pPr>
      <w:rPr>
        <w:rFonts w:ascii="Symbol" w:hAnsi="Symbol" w:hint="default"/>
      </w:rPr>
    </w:lvl>
    <w:lvl w:ilvl="7" w:tplc="932A1DDE" w:tentative="1">
      <w:start w:val="1"/>
      <w:numFmt w:val="bullet"/>
      <w:lvlText w:val="o"/>
      <w:lvlJc w:val="left"/>
      <w:pPr>
        <w:tabs>
          <w:tab w:val="num" w:pos="5400"/>
        </w:tabs>
        <w:ind w:left="5400" w:hanging="360"/>
      </w:pPr>
      <w:rPr>
        <w:rFonts w:ascii="Courier New" w:hAnsi="Courier New" w:cs="Arial" w:hint="default"/>
      </w:rPr>
    </w:lvl>
    <w:lvl w:ilvl="8" w:tplc="2EDC17E4" w:tentative="1">
      <w:start w:val="1"/>
      <w:numFmt w:val="bullet"/>
      <w:lvlText w:val=""/>
      <w:lvlJc w:val="left"/>
      <w:pPr>
        <w:tabs>
          <w:tab w:val="num" w:pos="6120"/>
        </w:tabs>
        <w:ind w:left="6120" w:hanging="360"/>
      </w:pPr>
      <w:rPr>
        <w:rFonts w:ascii="Wingdings" w:hAnsi="Wingdings" w:hint="default"/>
      </w:rPr>
    </w:lvl>
  </w:abstractNum>
  <w:abstractNum w:abstractNumId="3">
    <w:nsid w:val="119C4BA4"/>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2E46472"/>
    <w:multiLevelType w:val="hybridMultilevel"/>
    <w:tmpl w:val="C8B0A528"/>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AB37A43"/>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FCD357A"/>
    <w:multiLevelType w:val="hybridMultilevel"/>
    <w:tmpl w:val="C1BE30D6"/>
    <w:lvl w:ilvl="0" w:tplc="08090001">
      <w:start w:val="1"/>
      <w:numFmt w:val="decimal"/>
      <w:pStyle w:val="NumberedList"/>
      <w:lvlText w:val="%1."/>
      <w:lvlJc w:val="left"/>
      <w:pPr>
        <w:tabs>
          <w:tab w:val="num" w:pos="360"/>
        </w:tabs>
        <w:ind w:left="360" w:hanging="360"/>
      </w:pPr>
      <w:rPr>
        <w:rFonts w:ascii="Arial" w:hAnsi="Arial" w:hint="default"/>
        <w:sz w:val="20"/>
      </w:rPr>
    </w:lvl>
    <w:lvl w:ilvl="1" w:tplc="08090003" w:tentative="1">
      <w:start w:val="1"/>
      <w:numFmt w:val="lowerLetter"/>
      <w:lvlText w:val="%2."/>
      <w:lvlJc w:val="left"/>
      <w:pPr>
        <w:tabs>
          <w:tab w:val="num" w:pos="0"/>
        </w:tabs>
        <w:ind w:left="0" w:hanging="360"/>
      </w:pPr>
    </w:lvl>
    <w:lvl w:ilvl="2" w:tplc="08090005" w:tentative="1">
      <w:start w:val="1"/>
      <w:numFmt w:val="lowerRoman"/>
      <w:lvlText w:val="%3."/>
      <w:lvlJc w:val="right"/>
      <w:pPr>
        <w:tabs>
          <w:tab w:val="num" w:pos="720"/>
        </w:tabs>
        <w:ind w:left="720" w:hanging="180"/>
      </w:pPr>
    </w:lvl>
    <w:lvl w:ilvl="3" w:tplc="08090001" w:tentative="1">
      <w:start w:val="1"/>
      <w:numFmt w:val="decimal"/>
      <w:lvlText w:val="%4."/>
      <w:lvlJc w:val="left"/>
      <w:pPr>
        <w:tabs>
          <w:tab w:val="num" w:pos="1440"/>
        </w:tabs>
        <w:ind w:left="1440" w:hanging="360"/>
      </w:pPr>
    </w:lvl>
    <w:lvl w:ilvl="4" w:tplc="08090003" w:tentative="1">
      <w:start w:val="1"/>
      <w:numFmt w:val="lowerLetter"/>
      <w:lvlText w:val="%5."/>
      <w:lvlJc w:val="left"/>
      <w:pPr>
        <w:tabs>
          <w:tab w:val="num" w:pos="2160"/>
        </w:tabs>
        <w:ind w:left="2160" w:hanging="360"/>
      </w:pPr>
    </w:lvl>
    <w:lvl w:ilvl="5" w:tplc="08090005" w:tentative="1">
      <w:start w:val="1"/>
      <w:numFmt w:val="lowerRoman"/>
      <w:lvlText w:val="%6."/>
      <w:lvlJc w:val="right"/>
      <w:pPr>
        <w:tabs>
          <w:tab w:val="num" w:pos="2880"/>
        </w:tabs>
        <w:ind w:left="2880" w:hanging="180"/>
      </w:pPr>
    </w:lvl>
    <w:lvl w:ilvl="6" w:tplc="08090001" w:tentative="1">
      <w:start w:val="1"/>
      <w:numFmt w:val="decimal"/>
      <w:lvlText w:val="%7."/>
      <w:lvlJc w:val="left"/>
      <w:pPr>
        <w:tabs>
          <w:tab w:val="num" w:pos="3600"/>
        </w:tabs>
        <w:ind w:left="3600" w:hanging="360"/>
      </w:pPr>
    </w:lvl>
    <w:lvl w:ilvl="7" w:tplc="08090003" w:tentative="1">
      <w:start w:val="1"/>
      <w:numFmt w:val="lowerLetter"/>
      <w:lvlText w:val="%8."/>
      <w:lvlJc w:val="left"/>
      <w:pPr>
        <w:tabs>
          <w:tab w:val="num" w:pos="4320"/>
        </w:tabs>
        <w:ind w:left="4320" w:hanging="360"/>
      </w:pPr>
    </w:lvl>
    <w:lvl w:ilvl="8" w:tplc="08090005" w:tentative="1">
      <w:start w:val="1"/>
      <w:numFmt w:val="lowerRoman"/>
      <w:lvlText w:val="%9."/>
      <w:lvlJc w:val="right"/>
      <w:pPr>
        <w:tabs>
          <w:tab w:val="num" w:pos="5040"/>
        </w:tabs>
        <w:ind w:left="5040" w:hanging="180"/>
      </w:pPr>
    </w:lvl>
  </w:abstractNum>
  <w:abstractNum w:abstractNumId="7">
    <w:nsid w:val="24074E7E"/>
    <w:multiLevelType w:val="hybridMultilevel"/>
    <w:tmpl w:val="D7348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4BD1D73"/>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79D6CAA"/>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AEB2CCB"/>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EDD22A4"/>
    <w:multiLevelType w:val="hybridMultilevel"/>
    <w:tmpl w:val="35382E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2FE654CE"/>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Arial"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3A522A2F"/>
    <w:multiLevelType w:val="hybridMultilevel"/>
    <w:tmpl w:val="2E3648CC"/>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15">
    <w:nsid w:val="3C164D6E"/>
    <w:multiLevelType w:val="hybridMultilevel"/>
    <w:tmpl w:val="FF94927E"/>
    <w:lvl w:ilvl="0" w:tplc="3F7829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E70492"/>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8A05447"/>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9132991"/>
    <w:multiLevelType w:val="hybridMultilevel"/>
    <w:tmpl w:val="B648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E1310C"/>
    <w:multiLevelType w:val="hybridMultilevel"/>
    <w:tmpl w:val="86889D86"/>
    <w:lvl w:ilvl="0" w:tplc="87623E7A">
      <w:start w:val="1"/>
      <w:numFmt w:val="bullet"/>
      <w:lvlText w:val="•"/>
      <w:lvlJc w:val="left"/>
      <w:pPr>
        <w:tabs>
          <w:tab w:val="num" w:pos="720"/>
        </w:tabs>
        <w:ind w:left="720" w:hanging="360"/>
      </w:pPr>
      <w:rPr>
        <w:rFonts w:ascii="Arial" w:hAnsi="Arial" w:hint="default"/>
      </w:rPr>
    </w:lvl>
    <w:lvl w:ilvl="1" w:tplc="24321430">
      <w:start w:val="1"/>
      <w:numFmt w:val="bullet"/>
      <w:lvlText w:val="•"/>
      <w:lvlJc w:val="left"/>
      <w:pPr>
        <w:tabs>
          <w:tab w:val="num" w:pos="1440"/>
        </w:tabs>
        <w:ind w:left="1440" w:hanging="360"/>
      </w:pPr>
      <w:rPr>
        <w:rFonts w:ascii="Arial" w:hAnsi="Arial" w:hint="default"/>
      </w:rPr>
    </w:lvl>
    <w:lvl w:ilvl="2" w:tplc="E7868F3A">
      <w:start w:val="1192"/>
      <w:numFmt w:val="bullet"/>
      <w:lvlText w:val="•"/>
      <w:lvlJc w:val="left"/>
      <w:pPr>
        <w:tabs>
          <w:tab w:val="num" w:pos="2160"/>
        </w:tabs>
        <w:ind w:left="2160" w:hanging="360"/>
      </w:pPr>
      <w:rPr>
        <w:rFonts w:ascii="Arial" w:hAnsi="Arial" w:hint="default"/>
      </w:rPr>
    </w:lvl>
    <w:lvl w:ilvl="3" w:tplc="0CB4AC88" w:tentative="1">
      <w:start w:val="1"/>
      <w:numFmt w:val="bullet"/>
      <w:lvlText w:val="•"/>
      <w:lvlJc w:val="left"/>
      <w:pPr>
        <w:tabs>
          <w:tab w:val="num" w:pos="2880"/>
        </w:tabs>
        <w:ind w:left="2880" w:hanging="360"/>
      </w:pPr>
      <w:rPr>
        <w:rFonts w:ascii="Arial" w:hAnsi="Arial" w:hint="default"/>
      </w:rPr>
    </w:lvl>
    <w:lvl w:ilvl="4" w:tplc="6A56EBEA" w:tentative="1">
      <w:start w:val="1"/>
      <w:numFmt w:val="bullet"/>
      <w:lvlText w:val="•"/>
      <w:lvlJc w:val="left"/>
      <w:pPr>
        <w:tabs>
          <w:tab w:val="num" w:pos="3600"/>
        </w:tabs>
        <w:ind w:left="3600" w:hanging="360"/>
      </w:pPr>
      <w:rPr>
        <w:rFonts w:ascii="Arial" w:hAnsi="Arial" w:hint="default"/>
      </w:rPr>
    </w:lvl>
    <w:lvl w:ilvl="5" w:tplc="3324522C" w:tentative="1">
      <w:start w:val="1"/>
      <w:numFmt w:val="bullet"/>
      <w:lvlText w:val="•"/>
      <w:lvlJc w:val="left"/>
      <w:pPr>
        <w:tabs>
          <w:tab w:val="num" w:pos="4320"/>
        </w:tabs>
        <w:ind w:left="4320" w:hanging="360"/>
      </w:pPr>
      <w:rPr>
        <w:rFonts w:ascii="Arial" w:hAnsi="Arial" w:hint="default"/>
      </w:rPr>
    </w:lvl>
    <w:lvl w:ilvl="6" w:tplc="B42A40CC" w:tentative="1">
      <w:start w:val="1"/>
      <w:numFmt w:val="bullet"/>
      <w:lvlText w:val="•"/>
      <w:lvlJc w:val="left"/>
      <w:pPr>
        <w:tabs>
          <w:tab w:val="num" w:pos="5040"/>
        </w:tabs>
        <w:ind w:left="5040" w:hanging="360"/>
      </w:pPr>
      <w:rPr>
        <w:rFonts w:ascii="Arial" w:hAnsi="Arial" w:hint="default"/>
      </w:rPr>
    </w:lvl>
    <w:lvl w:ilvl="7" w:tplc="51603934" w:tentative="1">
      <w:start w:val="1"/>
      <w:numFmt w:val="bullet"/>
      <w:lvlText w:val="•"/>
      <w:lvlJc w:val="left"/>
      <w:pPr>
        <w:tabs>
          <w:tab w:val="num" w:pos="5760"/>
        </w:tabs>
        <w:ind w:left="5760" w:hanging="360"/>
      </w:pPr>
      <w:rPr>
        <w:rFonts w:ascii="Arial" w:hAnsi="Arial" w:hint="default"/>
      </w:rPr>
    </w:lvl>
    <w:lvl w:ilvl="8" w:tplc="FA367DD6" w:tentative="1">
      <w:start w:val="1"/>
      <w:numFmt w:val="bullet"/>
      <w:lvlText w:val="•"/>
      <w:lvlJc w:val="left"/>
      <w:pPr>
        <w:tabs>
          <w:tab w:val="num" w:pos="6480"/>
        </w:tabs>
        <w:ind w:left="6480" w:hanging="360"/>
      </w:pPr>
      <w:rPr>
        <w:rFonts w:ascii="Arial" w:hAnsi="Arial" w:hint="default"/>
      </w:rPr>
    </w:lvl>
  </w:abstractNum>
  <w:abstractNum w:abstractNumId="21">
    <w:nsid w:val="5FAA57FA"/>
    <w:multiLevelType w:val="hybridMultilevel"/>
    <w:tmpl w:val="D1506C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21748FE"/>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49D27E1"/>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B3E71E7"/>
    <w:multiLevelType w:val="hybridMultilevel"/>
    <w:tmpl w:val="EBF816B6"/>
    <w:lvl w:ilvl="0" w:tplc="DAB4B5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Arial"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6">
    <w:nsid w:val="74C1731F"/>
    <w:multiLevelType w:val="hybridMultilevel"/>
    <w:tmpl w:val="A87E9D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7B456C50"/>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7"/>
  </w:num>
  <w:num w:numId="2">
    <w:abstractNumId w:val="16"/>
  </w:num>
  <w:num w:numId="3">
    <w:abstractNumId w:val="25"/>
  </w:num>
  <w:num w:numId="4">
    <w:abstractNumId w:val="6"/>
  </w:num>
  <w:num w:numId="5">
    <w:abstractNumId w:val="2"/>
  </w:num>
  <w:num w:numId="6">
    <w:abstractNumId w:val="13"/>
  </w:num>
  <w:num w:numId="7">
    <w:abstractNumId w:val="14"/>
  </w:num>
  <w:num w:numId="8">
    <w:abstractNumId w:val="19"/>
  </w:num>
  <w:num w:numId="9">
    <w:abstractNumId w:val="20"/>
  </w:num>
  <w:num w:numId="10">
    <w:abstractNumId w:val="1"/>
  </w:num>
  <w:num w:numId="11">
    <w:abstractNumId w:val="7"/>
  </w:num>
  <w:num w:numId="12">
    <w:abstractNumId w:val="4"/>
  </w:num>
  <w:num w:numId="13">
    <w:abstractNumId w:val="21"/>
  </w:num>
  <w:num w:numId="14">
    <w:abstractNumId w:val="11"/>
  </w:num>
  <w:num w:numId="15">
    <w:abstractNumId w:val="27"/>
  </w:num>
  <w:num w:numId="16">
    <w:abstractNumId w:val="27"/>
  </w:num>
  <w:num w:numId="17">
    <w:abstractNumId w:val="27"/>
  </w:num>
  <w:num w:numId="18">
    <w:abstractNumId w:val="27"/>
  </w:num>
  <w:num w:numId="19">
    <w:abstractNumId w:val="27"/>
  </w:num>
  <w:num w:numId="20">
    <w:abstractNumId w:val="27"/>
  </w:num>
  <w:num w:numId="21">
    <w:abstractNumId w:val="27"/>
  </w:num>
  <w:num w:numId="22">
    <w:abstractNumId w:val="18"/>
  </w:num>
  <w:num w:numId="23">
    <w:abstractNumId w:val="5"/>
  </w:num>
  <w:num w:numId="24">
    <w:abstractNumId w:val="27"/>
  </w:num>
  <w:num w:numId="25">
    <w:abstractNumId w:val="23"/>
  </w:num>
  <w:num w:numId="26">
    <w:abstractNumId w:val="8"/>
  </w:num>
  <w:num w:numId="27">
    <w:abstractNumId w:val="28"/>
  </w:num>
  <w:num w:numId="28">
    <w:abstractNumId w:val="9"/>
  </w:num>
  <w:num w:numId="29">
    <w:abstractNumId w:val="3"/>
  </w:num>
  <w:num w:numId="30">
    <w:abstractNumId w:val="12"/>
  </w:num>
  <w:num w:numId="31">
    <w:abstractNumId w:val="10"/>
  </w:num>
  <w:num w:numId="32">
    <w:abstractNumId w:val="17"/>
  </w:num>
  <w:num w:numId="33">
    <w:abstractNumId w:val="22"/>
  </w:num>
  <w:num w:numId="34">
    <w:abstractNumId w:val="26"/>
  </w:num>
  <w:num w:numId="35">
    <w:abstractNumId w:val="0"/>
  </w:num>
  <w:num w:numId="36">
    <w:abstractNumId w:val="15"/>
  </w:num>
  <w:num w:numId="37">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proofState w:spelling="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7481"/>
    <w:rsid w:val="00001022"/>
    <w:rsid w:val="00003A82"/>
    <w:rsid w:val="00004341"/>
    <w:rsid w:val="00006B52"/>
    <w:rsid w:val="00014E42"/>
    <w:rsid w:val="0002333C"/>
    <w:rsid w:val="00025D58"/>
    <w:rsid w:val="0003280D"/>
    <w:rsid w:val="00033E1F"/>
    <w:rsid w:val="000346A1"/>
    <w:rsid w:val="000357C7"/>
    <w:rsid w:val="00042B57"/>
    <w:rsid w:val="00045059"/>
    <w:rsid w:val="00045BE9"/>
    <w:rsid w:val="00051F0D"/>
    <w:rsid w:val="00053EF3"/>
    <w:rsid w:val="00055D86"/>
    <w:rsid w:val="000616DD"/>
    <w:rsid w:val="00063EF9"/>
    <w:rsid w:val="0006599D"/>
    <w:rsid w:val="00071900"/>
    <w:rsid w:val="00071A3B"/>
    <w:rsid w:val="000807B8"/>
    <w:rsid w:val="00086C3A"/>
    <w:rsid w:val="000977FE"/>
    <w:rsid w:val="000A5694"/>
    <w:rsid w:val="000A7184"/>
    <w:rsid w:val="000A7FC1"/>
    <w:rsid w:val="000B2D91"/>
    <w:rsid w:val="000B3263"/>
    <w:rsid w:val="000B734F"/>
    <w:rsid w:val="000C018D"/>
    <w:rsid w:val="000C11CC"/>
    <w:rsid w:val="000E1297"/>
    <w:rsid w:val="000E7272"/>
    <w:rsid w:val="000F148B"/>
    <w:rsid w:val="000F33A0"/>
    <w:rsid w:val="000F7856"/>
    <w:rsid w:val="001013BD"/>
    <w:rsid w:val="00103FA8"/>
    <w:rsid w:val="00105D40"/>
    <w:rsid w:val="00106178"/>
    <w:rsid w:val="001062E8"/>
    <w:rsid w:val="0011371E"/>
    <w:rsid w:val="00116586"/>
    <w:rsid w:val="00120ACF"/>
    <w:rsid w:val="00122EBF"/>
    <w:rsid w:val="00126689"/>
    <w:rsid w:val="001267B3"/>
    <w:rsid w:val="00133EE3"/>
    <w:rsid w:val="001349CB"/>
    <w:rsid w:val="00137D3E"/>
    <w:rsid w:val="00140A8D"/>
    <w:rsid w:val="001458F8"/>
    <w:rsid w:val="00146F31"/>
    <w:rsid w:val="00152A77"/>
    <w:rsid w:val="00155A28"/>
    <w:rsid w:val="00160591"/>
    <w:rsid w:val="0016186D"/>
    <w:rsid w:val="001730DD"/>
    <w:rsid w:val="00187BD7"/>
    <w:rsid w:val="00190C51"/>
    <w:rsid w:val="001946B2"/>
    <w:rsid w:val="001C05B1"/>
    <w:rsid w:val="001C0B35"/>
    <w:rsid w:val="001C5154"/>
    <w:rsid w:val="001C6B0A"/>
    <w:rsid w:val="001D07DE"/>
    <w:rsid w:val="001D18BD"/>
    <w:rsid w:val="001E394D"/>
    <w:rsid w:val="001F0B92"/>
    <w:rsid w:val="001F38CA"/>
    <w:rsid w:val="001F5CA4"/>
    <w:rsid w:val="0020263F"/>
    <w:rsid w:val="00202A98"/>
    <w:rsid w:val="00203E80"/>
    <w:rsid w:val="002040C8"/>
    <w:rsid w:val="00204A2B"/>
    <w:rsid w:val="00204AC5"/>
    <w:rsid w:val="00207C90"/>
    <w:rsid w:val="00211C3F"/>
    <w:rsid w:val="00214168"/>
    <w:rsid w:val="00222B6B"/>
    <w:rsid w:val="0022680C"/>
    <w:rsid w:val="00231DDD"/>
    <w:rsid w:val="00233329"/>
    <w:rsid w:val="00234723"/>
    <w:rsid w:val="00244075"/>
    <w:rsid w:val="00245F59"/>
    <w:rsid w:val="002505CF"/>
    <w:rsid w:val="00261014"/>
    <w:rsid w:val="00266BE6"/>
    <w:rsid w:val="00271A57"/>
    <w:rsid w:val="00273B5D"/>
    <w:rsid w:val="0027676A"/>
    <w:rsid w:val="002B5920"/>
    <w:rsid w:val="002C0034"/>
    <w:rsid w:val="002C0064"/>
    <w:rsid w:val="002C1A23"/>
    <w:rsid w:val="002C318D"/>
    <w:rsid w:val="002C4189"/>
    <w:rsid w:val="002D3AB5"/>
    <w:rsid w:val="002D5340"/>
    <w:rsid w:val="002D6B6A"/>
    <w:rsid w:val="002E541A"/>
    <w:rsid w:val="002E70DF"/>
    <w:rsid w:val="002E7D7D"/>
    <w:rsid w:val="002F2D7B"/>
    <w:rsid w:val="002F4878"/>
    <w:rsid w:val="00310A9E"/>
    <w:rsid w:val="00311BC2"/>
    <w:rsid w:val="00314427"/>
    <w:rsid w:val="00315B85"/>
    <w:rsid w:val="003160ED"/>
    <w:rsid w:val="003207EC"/>
    <w:rsid w:val="00321034"/>
    <w:rsid w:val="00321F9F"/>
    <w:rsid w:val="0033225B"/>
    <w:rsid w:val="003353F6"/>
    <w:rsid w:val="00335926"/>
    <w:rsid w:val="00340BA0"/>
    <w:rsid w:val="0034522C"/>
    <w:rsid w:val="00351860"/>
    <w:rsid w:val="00351F43"/>
    <w:rsid w:val="00360C18"/>
    <w:rsid w:val="00362D87"/>
    <w:rsid w:val="00364203"/>
    <w:rsid w:val="0036561E"/>
    <w:rsid w:val="0037054B"/>
    <w:rsid w:val="00371F5A"/>
    <w:rsid w:val="00376AE2"/>
    <w:rsid w:val="00377431"/>
    <w:rsid w:val="003808E7"/>
    <w:rsid w:val="003862F5"/>
    <w:rsid w:val="003928A2"/>
    <w:rsid w:val="003A014A"/>
    <w:rsid w:val="003A0870"/>
    <w:rsid w:val="003A15A3"/>
    <w:rsid w:val="003B33D5"/>
    <w:rsid w:val="003B757F"/>
    <w:rsid w:val="003C222E"/>
    <w:rsid w:val="003C2624"/>
    <w:rsid w:val="003D0EA7"/>
    <w:rsid w:val="003D7782"/>
    <w:rsid w:val="003E1EB5"/>
    <w:rsid w:val="003F3567"/>
    <w:rsid w:val="003F479C"/>
    <w:rsid w:val="00400C6C"/>
    <w:rsid w:val="00403461"/>
    <w:rsid w:val="00404977"/>
    <w:rsid w:val="004162D5"/>
    <w:rsid w:val="004162E1"/>
    <w:rsid w:val="00420E1E"/>
    <w:rsid w:val="004243EB"/>
    <w:rsid w:val="00425CEE"/>
    <w:rsid w:val="00430C07"/>
    <w:rsid w:val="00432BF4"/>
    <w:rsid w:val="0044088F"/>
    <w:rsid w:val="0044093A"/>
    <w:rsid w:val="0044416B"/>
    <w:rsid w:val="00444620"/>
    <w:rsid w:val="00447976"/>
    <w:rsid w:val="0045213F"/>
    <w:rsid w:val="004524E3"/>
    <w:rsid w:val="004544A9"/>
    <w:rsid w:val="004606FB"/>
    <w:rsid w:val="00463E15"/>
    <w:rsid w:val="004672B0"/>
    <w:rsid w:val="00470863"/>
    <w:rsid w:val="004714B4"/>
    <w:rsid w:val="0047176C"/>
    <w:rsid w:val="00474107"/>
    <w:rsid w:val="0047650C"/>
    <w:rsid w:val="00480332"/>
    <w:rsid w:val="00482D8D"/>
    <w:rsid w:val="00484D08"/>
    <w:rsid w:val="00487F80"/>
    <w:rsid w:val="00491965"/>
    <w:rsid w:val="00492127"/>
    <w:rsid w:val="004924B4"/>
    <w:rsid w:val="00492F3D"/>
    <w:rsid w:val="00495989"/>
    <w:rsid w:val="004A0D8A"/>
    <w:rsid w:val="004A1845"/>
    <w:rsid w:val="004A2948"/>
    <w:rsid w:val="004A2B03"/>
    <w:rsid w:val="004B060F"/>
    <w:rsid w:val="004B2FD8"/>
    <w:rsid w:val="004B37BB"/>
    <w:rsid w:val="004B6E68"/>
    <w:rsid w:val="004B7653"/>
    <w:rsid w:val="004C359D"/>
    <w:rsid w:val="004D1820"/>
    <w:rsid w:val="004D47C6"/>
    <w:rsid w:val="004D555F"/>
    <w:rsid w:val="004E11E5"/>
    <w:rsid w:val="004E14A5"/>
    <w:rsid w:val="004E35CE"/>
    <w:rsid w:val="004E3F4A"/>
    <w:rsid w:val="004E6CA4"/>
    <w:rsid w:val="004F2B16"/>
    <w:rsid w:val="004F6F8C"/>
    <w:rsid w:val="00500ED0"/>
    <w:rsid w:val="00503623"/>
    <w:rsid w:val="00503911"/>
    <w:rsid w:val="005100A9"/>
    <w:rsid w:val="005130AB"/>
    <w:rsid w:val="00513305"/>
    <w:rsid w:val="00513CC4"/>
    <w:rsid w:val="0052081A"/>
    <w:rsid w:val="00520F0C"/>
    <w:rsid w:val="00521673"/>
    <w:rsid w:val="00523302"/>
    <w:rsid w:val="00523590"/>
    <w:rsid w:val="005240BF"/>
    <w:rsid w:val="00524146"/>
    <w:rsid w:val="00524392"/>
    <w:rsid w:val="00540095"/>
    <w:rsid w:val="00540630"/>
    <w:rsid w:val="00541CF2"/>
    <w:rsid w:val="00545C4B"/>
    <w:rsid w:val="00545FD3"/>
    <w:rsid w:val="0055088A"/>
    <w:rsid w:val="00552E24"/>
    <w:rsid w:val="00556307"/>
    <w:rsid w:val="00562F89"/>
    <w:rsid w:val="00563215"/>
    <w:rsid w:val="00564067"/>
    <w:rsid w:val="005641F1"/>
    <w:rsid w:val="00565963"/>
    <w:rsid w:val="00565BD1"/>
    <w:rsid w:val="005664C3"/>
    <w:rsid w:val="00573876"/>
    <w:rsid w:val="0057487A"/>
    <w:rsid w:val="00576AC0"/>
    <w:rsid w:val="0058227B"/>
    <w:rsid w:val="00582E50"/>
    <w:rsid w:val="00583FB9"/>
    <w:rsid w:val="00591BCB"/>
    <w:rsid w:val="005968AB"/>
    <w:rsid w:val="005A0079"/>
    <w:rsid w:val="005A2140"/>
    <w:rsid w:val="005A3010"/>
    <w:rsid w:val="005B3396"/>
    <w:rsid w:val="005C36BD"/>
    <w:rsid w:val="005E2A7E"/>
    <w:rsid w:val="005E2E4D"/>
    <w:rsid w:val="005F57CD"/>
    <w:rsid w:val="005F5DA0"/>
    <w:rsid w:val="006010BE"/>
    <w:rsid w:val="006011D0"/>
    <w:rsid w:val="0060423A"/>
    <w:rsid w:val="006115D2"/>
    <w:rsid w:val="00613744"/>
    <w:rsid w:val="006164DB"/>
    <w:rsid w:val="00620C27"/>
    <w:rsid w:val="00622322"/>
    <w:rsid w:val="00623027"/>
    <w:rsid w:val="00623B34"/>
    <w:rsid w:val="00624437"/>
    <w:rsid w:val="0062658E"/>
    <w:rsid w:val="00627161"/>
    <w:rsid w:val="006308E1"/>
    <w:rsid w:val="00631BB8"/>
    <w:rsid w:val="00632A47"/>
    <w:rsid w:val="00634393"/>
    <w:rsid w:val="00635C53"/>
    <w:rsid w:val="006378EA"/>
    <w:rsid w:val="00640760"/>
    <w:rsid w:val="00642A3B"/>
    <w:rsid w:val="00653A62"/>
    <w:rsid w:val="00656AEF"/>
    <w:rsid w:val="00657177"/>
    <w:rsid w:val="00685808"/>
    <w:rsid w:val="00695DF2"/>
    <w:rsid w:val="00696AC9"/>
    <w:rsid w:val="00697079"/>
    <w:rsid w:val="00697F38"/>
    <w:rsid w:val="006A41D2"/>
    <w:rsid w:val="006A513D"/>
    <w:rsid w:val="006B15CD"/>
    <w:rsid w:val="006B1ED4"/>
    <w:rsid w:val="006B2AEA"/>
    <w:rsid w:val="006B375D"/>
    <w:rsid w:val="006B5D5F"/>
    <w:rsid w:val="006C34FB"/>
    <w:rsid w:val="006C3FB7"/>
    <w:rsid w:val="006C64B8"/>
    <w:rsid w:val="006C7CC6"/>
    <w:rsid w:val="006D2131"/>
    <w:rsid w:val="006D7481"/>
    <w:rsid w:val="006E057F"/>
    <w:rsid w:val="006E1FB5"/>
    <w:rsid w:val="006F059A"/>
    <w:rsid w:val="006F09DC"/>
    <w:rsid w:val="006F63E8"/>
    <w:rsid w:val="00701309"/>
    <w:rsid w:val="007031C5"/>
    <w:rsid w:val="00707406"/>
    <w:rsid w:val="00710882"/>
    <w:rsid w:val="0071352E"/>
    <w:rsid w:val="00717CB8"/>
    <w:rsid w:val="00723059"/>
    <w:rsid w:val="00723060"/>
    <w:rsid w:val="00730B72"/>
    <w:rsid w:val="00731A94"/>
    <w:rsid w:val="00732173"/>
    <w:rsid w:val="0073252C"/>
    <w:rsid w:val="007379D9"/>
    <w:rsid w:val="00741773"/>
    <w:rsid w:val="00741901"/>
    <w:rsid w:val="00742A79"/>
    <w:rsid w:val="00745810"/>
    <w:rsid w:val="00747743"/>
    <w:rsid w:val="0075539A"/>
    <w:rsid w:val="0076377E"/>
    <w:rsid w:val="00765571"/>
    <w:rsid w:val="00774811"/>
    <w:rsid w:val="00785B6A"/>
    <w:rsid w:val="00790240"/>
    <w:rsid w:val="00791AC5"/>
    <w:rsid w:val="007969DA"/>
    <w:rsid w:val="007978FE"/>
    <w:rsid w:val="007A009A"/>
    <w:rsid w:val="007A47EA"/>
    <w:rsid w:val="007B088D"/>
    <w:rsid w:val="007B1381"/>
    <w:rsid w:val="007B646F"/>
    <w:rsid w:val="007C113A"/>
    <w:rsid w:val="007D4E79"/>
    <w:rsid w:val="007D5E5C"/>
    <w:rsid w:val="007D77E9"/>
    <w:rsid w:val="007E4E31"/>
    <w:rsid w:val="007F31F4"/>
    <w:rsid w:val="007F7943"/>
    <w:rsid w:val="00802DBD"/>
    <w:rsid w:val="00803F73"/>
    <w:rsid w:val="00803FA5"/>
    <w:rsid w:val="00804114"/>
    <w:rsid w:val="008064CB"/>
    <w:rsid w:val="0081068D"/>
    <w:rsid w:val="00812BAC"/>
    <w:rsid w:val="00812C7A"/>
    <w:rsid w:val="00827667"/>
    <w:rsid w:val="00830054"/>
    <w:rsid w:val="00831077"/>
    <w:rsid w:val="00831521"/>
    <w:rsid w:val="00835D9B"/>
    <w:rsid w:val="00841DAD"/>
    <w:rsid w:val="00842291"/>
    <w:rsid w:val="00847227"/>
    <w:rsid w:val="008473E3"/>
    <w:rsid w:val="00851674"/>
    <w:rsid w:val="0085228C"/>
    <w:rsid w:val="008531E9"/>
    <w:rsid w:val="008548C7"/>
    <w:rsid w:val="00857E0A"/>
    <w:rsid w:val="0086605A"/>
    <w:rsid w:val="0087140B"/>
    <w:rsid w:val="00882CA7"/>
    <w:rsid w:val="008842BA"/>
    <w:rsid w:val="00890F60"/>
    <w:rsid w:val="008914E0"/>
    <w:rsid w:val="00896EA2"/>
    <w:rsid w:val="008A03D8"/>
    <w:rsid w:val="008A3736"/>
    <w:rsid w:val="008A4AFB"/>
    <w:rsid w:val="008B573F"/>
    <w:rsid w:val="008C4059"/>
    <w:rsid w:val="008C7B5A"/>
    <w:rsid w:val="008D117A"/>
    <w:rsid w:val="008D1BFC"/>
    <w:rsid w:val="008E067B"/>
    <w:rsid w:val="008F1182"/>
    <w:rsid w:val="008F1AAE"/>
    <w:rsid w:val="008F5A96"/>
    <w:rsid w:val="008F636D"/>
    <w:rsid w:val="00900A2E"/>
    <w:rsid w:val="009021F2"/>
    <w:rsid w:val="00904CBB"/>
    <w:rsid w:val="00905896"/>
    <w:rsid w:val="0091449D"/>
    <w:rsid w:val="00914A56"/>
    <w:rsid w:val="00915C1F"/>
    <w:rsid w:val="0092072E"/>
    <w:rsid w:val="009228E9"/>
    <w:rsid w:val="00922B4B"/>
    <w:rsid w:val="00923D19"/>
    <w:rsid w:val="0092412A"/>
    <w:rsid w:val="00925731"/>
    <w:rsid w:val="00930DE8"/>
    <w:rsid w:val="00932AB7"/>
    <w:rsid w:val="00936995"/>
    <w:rsid w:val="00942617"/>
    <w:rsid w:val="00961DF7"/>
    <w:rsid w:val="009630F8"/>
    <w:rsid w:val="00963145"/>
    <w:rsid w:val="00963863"/>
    <w:rsid w:val="00963BD6"/>
    <w:rsid w:val="0096479D"/>
    <w:rsid w:val="00965F88"/>
    <w:rsid w:val="00976BAA"/>
    <w:rsid w:val="009775A1"/>
    <w:rsid w:val="00981DF7"/>
    <w:rsid w:val="009915E8"/>
    <w:rsid w:val="009A0613"/>
    <w:rsid w:val="009A0E6E"/>
    <w:rsid w:val="009A39FF"/>
    <w:rsid w:val="009A4E12"/>
    <w:rsid w:val="009B4864"/>
    <w:rsid w:val="009B60F0"/>
    <w:rsid w:val="009C05CF"/>
    <w:rsid w:val="009C100D"/>
    <w:rsid w:val="009C3B0F"/>
    <w:rsid w:val="009C46B1"/>
    <w:rsid w:val="009C7168"/>
    <w:rsid w:val="009D2721"/>
    <w:rsid w:val="009D2999"/>
    <w:rsid w:val="009D3F36"/>
    <w:rsid w:val="009D4BF3"/>
    <w:rsid w:val="009D56A8"/>
    <w:rsid w:val="009D6DC0"/>
    <w:rsid w:val="009E0BD8"/>
    <w:rsid w:val="009E11EA"/>
    <w:rsid w:val="009E14FB"/>
    <w:rsid w:val="009E3098"/>
    <w:rsid w:val="009E6A6A"/>
    <w:rsid w:val="009E6C16"/>
    <w:rsid w:val="009E7529"/>
    <w:rsid w:val="00A070A2"/>
    <w:rsid w:val="00A07485"/>
    <w:rsid w:val="00A0790C"/>
    <w:rsid w:val="00A1760F"/>
    <w:rsid w:val="00A2212E"/>
    <w:rsid w:val="00A32543"/>
    <w:rsid w:val="00A3602B"/>
    <w:rsid w:val="00A3641B"/>
    <w:rsid w:val="00A41186"/>
    <w:rsid w:val="00A43A3B"/>
    <w:rsid w:val="00A442F6"/>
    <w:rsid w:val="00A535B3"/>
    <w:rsid w:val="00A63D97"/>
    <w:rsid w:val="00A6560D"/>
    <w:rsid w:val="00A744F4"/>
    <w:rsid w:val="00A7596F"/>
    <w:rsid w:val="00A7772C"/>
    <w:rsid w:val="00A81540"/>
    <w:rsid w:val="00A855F4"/>
    <w:rsid w:val="00A958F2"/>
    <w:rsid w:val="00AA2A78"/>
    <w:rsid w:val="00AA2B8F"/>
    <w:rsid w:val="00AA3D50"/>
    <w:rsid w:val="00AA4EFD"/>
    <w:rsid w:val="00AB026E"/>
    <w:rsid w:val="00AB1894"/>
    <w:rsid w:val="00AB2D6B"/>
    <w:rsid w:val="00AB4991"/>
    <w:rsid w:val="00AB4BBA"/>
    <w:rsid w:val="00AB742E"/>
    <w:rsid w:val="00AC0BE1"/>
    <w:rsid w:val="00AC3C80"/>
    <w:rsid w:val="00AC702D"/>
    <w:rsid w:val="00AE0305"/>
    <w:rsid w:val="00AE3BCF"/>
    <w:rsid w:val="00AE63AA"/>
    <w:rsid w:val="00AE6CCD"/>
    <w:rsid w:val="00AE7E51"/>
    <w:rsid w:val="00AF36D1"/>
    <w:rsid w:val="00AF5508"/>
    <w:rsid w:val="00AF58A9"/>
    <w:rsid w:val="00AF6007"/>
    <w:rsid w:val="00AF7BDB"/>
    <w:rsid w:val="00B05D9D"/>
    <w:rsid w:val="00B11E71"/>
    <w:rsid w:val="00B130FB"/>
    <w:rsid w:val="00B13E45"/>
    <w:rsid w:val="00B13FCD"/>
    <w:rsid w:val="00B144B2"/>
    <w:rsid w:val="00B1508A"/>
    <w:rsid w:val="00B15D16"/>
    <w:rsid w:val="00B15ED5"/>
    <w:rsid w:val="00B22E8D"/>
    <w:rsid w:val="00B25C4E"/>
    <w:rsid w:val="00B31F7D"/>
    <w:rsid w:val="00B35AB2"/>
    <w:rsid w:val="00B373B0"/>
    <w:rsid w:val="00B37A24"/>
    <w:rsid w:val="00B436E8"/>
    <w:rsid w:val="00B440B9"/>
    <w:rsid w:val="00B5398B"/>
    <w:rsid w:val="00B559DF"/>
    <w:rsid w:val="00B565AC"/>
    <w:rsid w:val="00B56A22"/>
    <w:rsid w:val="00B56BDB"/>
    <w:rsid w:val="00B60077"/>
    <w:rsid w:val="00B61C80"/>
    <w:rsid w:val="00B61F03"/>
    <w:rsid w:val="00B65BE2"/>
    <w:rsid w:val="00B67A9E"/>
    <w:rsid w:val="00B82CDB"/>
    <w:rsid w:val="00B842C3"/>
    <w:rsid w:val="00B8659E"/>
    <w:rsid w:val="00B87AD8"/>
    <w:rsid w:val="00B903C3"/>
    <w:rsid w:val="00BA1734"/>
    <w:rsid w:val="00BA28B3"/>
    <w:rsid w:val="00BA6082"/>
    <w:rsid w:val="00BB39F0"/>
    <w:rsid w:val="00BB3B2E"/>
    <w:rsid w:val="00BC0023"/>
    <w:rsid w:val="00BC1909"/>
    <w:rsid w:val="00BC20FE"/>
    <w:rsid w:val="00BC3CD4"/>
    <w:rsid w:val="00BD0C25"/>
    <w:rsid w:val="00BD35E4"/>
    <w:rsid w:val="00BD7B36"/>
    <w:rsid w:val="00BE069B"/>
    <w:rsid w:val="00BE44F9"/>
    <w:rsid w:val="00BF246A"/>
    <w:rsid w:val="00C0154B"/>
    <w:rsid w:val="00C04428"/>
    <w:rsid w:val="00C12322"/>
    <w:rsid w:val="00C13E8F"/>
    <w:rsid w:val="00C21D1F"/>
    <w:rsid w:val="00C22463"/>
    <w:rsid w:val="00C320BE"/>
    <w:rsid w:val="00C41C51"/>
    <w:rsid w:val="00C47783"/>
    <w:rsid w:val="00C47E85"/>
    <w:rsid w:val="00C47EDD"/>
    <w:rsid w:val="00C5088A"/>
    <w:rsid w:val="00C5140E"/>
    <w:rsid w:val="00C53AA6"/>
    <w:rsid w:val="00C57285"/>
    <w:rsid w:val="00C6282B"/>
    <w:rsid w:val="00C62F41"/>
    <w:rsid w:val="00C726B2"/>
    <w:rsid w:val="00C73803"/>
    <w:rsid w:val="00C73A50"/>
    <w:rsid w:val="00C73FD1"/>
    <w:rsid w:val="00C824D4"/>
    <w:rsid w:val="00C87DFB"/>
    <w:rsid w:val="00C90A7E"/>
    <w:rsid w:val="00C925E1"/>
    <w:rsid w:val="00CA0EB9"/>
    <w:rsid w:val="00CA0ED5"/>
    <w:rsid w:val="00CA4FE1"/>
    <w:rsid w:val="00CA77D1"/>
    <w:rsid w:val="00CA7EDF"/>
    <w:rsid w:val="00CB0A6F"/>
    <w:rsid w:val="00CB3315"/>
    <w:rsid w:val="00CB54EA"/>
    <w:rsid w:val="00CC6BA0"/>
    <w:rsid w:val="00CD17F7"/>
    <w:rsid w:val="00CD645F"/>
    <w:rsid w:val="00CE5DB0"/>
    <w:rsid w:val="00CE5EB3"/>
    <w:rsid w:val="00D01750"/>
    <w:rsid w:val="00D02B7C"/>
    <w:rsid w:val="00D04AB5"/>
    <w:rsid w:val="00D10C90"/>
    <w:rsid w:val="00D13ECB"/>
    <w:rsid w:val="00D15EBD"/>
    <w:rsid w:val="00D173C4"/>
    <w:rsid w:val="00D22085"/>
    <w:rsid w:val="00D24C10"/>
    <w:rsid w:val="00D271AD"/>
    <w:rsid w:val="00D27C97"/>
    <w:rsid w:val="00D30DBE"/>
    <w:rsid w:val="00D318DC"/>
    <w:rsid w:val="00D361A2"/>
    <w:rsid w:val="00D40CDC"/>
    <w:rsid w:val="00D44B4D"/>
    <w:rsid w:val="00D473CE"/>
    <w:rsid w:val="00D5104F"/>
    <w:rsid w:val="00D535F5"/>
    <w:rsid w:val="00D53691"/>
    <w:rsid w:val="00D55EFF"/>
    <w:rsid w:val="00D64132"/>
    <w:rsid w:val="00D65656"/>
    <w:rsid w:val="00D66AA8"/>
    <w:rsid w:val="00D757FA"/>
    <w:rsid w:val="00D76302"/>
    <w:rsid w:val="00D778C5"/>
    <w:rsid w:val="00D808BB"/>
    <w:rsid w:val="00D82409"/>
    <w:rsid w:val="00D83D26"/>
    <w:rsid w:val="00D90B64"/>
    <w:rsid w:val="00D91963"/>
    <w:rsid w:val="00D93040"/>
    <w:rsid w:val="00D9339F"/>
    <w:rsid w:val="00D94958"/>
    <w:rsid w:val="00DA3918"/>
    <w:rsid w:val="00DA652F"/>
    <w:rsid w:val="00DA7CDE"/>
    <w:rsid w:val="00DB3D9B"/>
    <w:rsid w:val="00DB42CB"/>
    <w:rsid w:val="00DB4E41"/>
    <w:rsid w:val="00DC3718"/>
    <w:rsid w:val="00DC3E06"/>
    <w:rsid w:val="00DC5DE6"/>
    <w:rsid w:val="00DC6A4A"/>
    <w:rsid w:val="00DC6C78"/>
    <w:rsid w:val="00DC7B01"/>
    <w:rsid w:val="00DD19DF"/>
    <w:rsid w:val="00DD4E4F"/>
    <w:rsid w:val="00DD6299"/>
    <w:rsid w:val="00DE2A12"/>
    <w:rsid w:val="00DE35E8"/>
    <w:rsid w:val="00DE6251"/>
    <w:rsid w:val="00DF1D3F"/>
    <w:rsid w:val="00DF2E08"/>
    <w:rsid w:val="00DF345D"/>
    <w:rsid w:val="00DF58B4"/>
    <w:rsid w:val="00DF7B61"/>
    <w:rsid w:val="00E002E7"/>
    <w:rsid w:val="00E00F29"/>
    <w:rsid w:val="00E02A0A"/>
    <w:rsid w:val="00E03A69"/>
    <w:rsid w:val="00E11D77"/>
    <w:rsid w:val="00E12DA0"/>
    <w:rsid w:val="00E22ADC"/>
    <w:rsid w:val="00E24529"/>
    <w:rsid w:val="00E32F7C"/>
    <w:rsid w:val="00E3762F"/>
    <w:rsid w:val="00E403EC"/>
    <w:rsid w:val="00E41830"/>
    <w:rsid w:val="00E45DB5"/>
    <w:rsid w:val="00E51072"/>
    <w:rsid w:val="00E57273"/>
    <w:rsid w:val="00E60A91"/>
    <w:rsid w:val="00E62F8C"/>
    <w:rsid w:val="00E6315B"/>
    <w:rsid w:val="00E63F13"/>
    <w:rsid w:val="00E64C3A"/>
    <w:rsid w:val="00E64F81"/>
    <w:rsid w:val="00E70F8C"/>
    <w:rsid w:val="00E77BA6"/>
    <w:rsid w:val="00E81EA1"/>
    <w:rsid w:val="00E961E9"/>
    <w:rsid w:val="00EA0CB1"/>
    <w:rsid w:val="00EA2E1D"/>
    <w:rsid w:val="00EB5D95"/>
    <w:rsid w:val="00EC16EA"/>
    <w:rsid w:val="00EC6478"/>
    <w:rsid w:val="00ED3180"/>
    <w:rsid w:val="00EE0EEC"/>
    <w:rsid w:val="00EE1CC4"/>
    <w:rsid w:val="00EE2457"/>
    <w:rsid w:val="00EE49BE"/>
    <w:rsid w:val="00EF0A80"/>
    <w:rsid w:val="00EF4D30"/>
    <w:rsid w:val="00F03541"/>
    <w:rsid w:val="00F10750"/>
    <w:rsid w:val="00F20EC7"/>
    <w:rsid w:val="00F222E1"/>
    <w:rsid w:val="00F24C64"/>
    <w:rsid w:val="00F26D6E"/>
    <w:rsid w:val="00F26EA4"/>
    <w:rsid w:val="00F407BE"/>
    <w:rsid w:val="00F4412A"/>
    <w:rsid w:val="00F55955"/>
    <w:rsid w:val="00F6470E"/>
    <w:rsid w:val="00F6475E"/>
    <w:rsid w:val="00F64C98"/>
    <w:rsid w:val="00F67118"/>
    <w:rsid w:val="00F676A3"/>
    <w:rsid w:val="00F721A3"/>
    <w:rsid w:val="00F72FA7"/>
    <w:rsid w:val="00F76A46"/>
    <w:rsid w:val="00F90C91"/>
    <w:rsid w:val="00F92702"/>
    <w:rsid w:val="00F9742B"/>
    <w:rsid w:val="00FA3918"/>
    <w:rsid w:val="00FA43B4"/>
    <w:rsid w:val="00FA7E5E"/>
    <w:rsid w:val="00FB005C"/>
    <w:rsid w:val="00FB192D"/>
    <w:rsid w:val="00FB4F3E"/>
    <w:rsid w:val="00FB5C99"/>
    <w:rsid w:val="00FC09CE"/>
    <w:rsid w:val="00FC1E2E"/>
    <w:rsid w:val="00FC2024"/>
    <w:rsid w:val="00FC251C"/>
    <w:rsid w:val="00FC4AB1"/>
    <w:rsid w:val="00FD4BCA"/>
    <w:rsid w:val="00FD67A8"/>
    <w:rsid w:val="00FE5725"/>
    <w:rsid w:val="00FE592A"/>
    <w:rsid w:val="00FF1ED4"/>
    <w:rsid w:val="00FF41B6"/>
    <w:rsid w:val="00FF60F3"/>
    <w:rsid w:val="00FF715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qFormat/>
    <w:rsid w:val="00207C90"/>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207C90"/>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uiPriority w:val="99"/>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5"/>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link w:val="BodyTextChar"/>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link w:val="BodyTextIndentChar"/>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2"/>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3"/>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4"/>
      </w:numPr>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1">
    <w:name w:val="Colorful Shading - Accent 11"/>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6"/>
      </w:numPr>
    </w:pPr>
  </w:style>
  <w:style w:type="paragraph" w:customStyle="1" w:styleId="ColorfulList-Accent11">
    <w:name w:val="Colorful List - Accent 11"/>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rsid w:val="00D3707E"/>
    <w:rPr>
      <w:rFonts w:ascii="Arial" w:hAnsi="Arial"/>
      <w:lang w:val="en-GB" w:eastAsia="en-US" w:bidi="en-US"/>
    </w:rPr>
  </w:style>
  <w:style w:type="paragraph" w:customStyle="1" w:styleId="Heading1WG">
    <w:name w:val="Heading 1 WG"/>
    <w:basedOn w:val="Normal"/>
    <w:uiPriority w:val="99"/>
    <w:rsid w:val="008137F8"/>
    <w:pPr>
      <w:spacing w:before="0" w:after="0" w:line="240" w:lineRule="auto"/>
    </w:pPr>
    <w:rPr>
      <w:rFonts w:ascii="Times New Roman" w:hAnsi="Times New Roman"/>
      <w:b/>
      <w:bCs/>
      <w:lang w:val="en-IE" w:eastAsia="en-GB" w:bidi="ar-SA"/>
    </w:rPr>
  </w:style>
  <w:style w:type="paragraph" w:customStyle="1" w:styleId="Default">
    <w:name w:val="Default"/>
    <w:rsid w:val="00DA7EB0"/>
    <w:pPr>
      <w:autoSpaceDE w:val="0"/>
      <w:autoSpaceDN w:val="0"/>
      <w:adjustRightInd w:val="0"/>
    </w:pPr>
    <w:rPr>
      <w:rFonts w:ascii="Arial" w:hAnsi="Arial" w:cs="Arial"/>
      <w:color w:val="000000"/>
      <w:sz w:val="24"/>
      <w:szCs w:val="24"/>
    </w:rPr>
  </w:style>
  <w:style w:type="paragraph" w:customStyle="1" w:styleId="ColorfulGrid-Accent11">
    <w:name w:val="Colorful Grid - Accent 11"/>
    <w:basedOn w:val="Normal"/>
    <w:next w:val="Normal"/>
    <w:link w:val="ColorfulGrid-Accent1Char"/>
    <w:uiPriority w:val="99"/>
    <w:qFormat/>
    <w:rsid w:val="00C37DDC"/>
    <w:rPr>
      <w:i/>
      <w:iCs/>
      <w:color w:val="000000"/>
      <w:lang w:bidi="ar-SA"/>
    </w:rPr>
  </w:style>
  <w:style w:type="character" w:customStyle="1" w:styleId="ColorfulGrid-Accent1Char">
    <w:name w:val="Colorful Grid - Accent 1 Char"/>
    <w:link w:val="ColorfulGrid-Accent11"/>
    <w:uiPriority w:val="99"/>
    <w:rsid w:val="00C37DDC"/>
    <w:rPr>
      <w:rFonts w:ascii="Arial" w:hAnsi="Arial"/>
      <w:i/>
      <w:iCs/>
      <w:color w:val="000000"/>
      <w:lang w:val="en-GB" w:eastAsia="en-US"/>
    </w:rPr>
  </w:style>
  <w:style w:type="character" w:customStyle="1" w:styleId="IntenseEmphasis1">
    <w:name w:val="Intense Emphasis1"/>
    <w:uiPriority w:val="21"/>
    <w:qFormat/>
    <w:rsid w:val="00E252F0"/>
    <w:rPr>
      <w:rFonts w:cs="Times New Roman"/>
      <w:b/>
      <w:bCs/>
      <w:i/>
      <w:iCs/>
      <w:color w:val="4F81BD"/>
    </w:rPr>
  </w:style>
  <w:style w:type="paragraph" w:styleId="Revision">
    <w:name w:val="Revision"/>
    <w:hidden/>
    <w:uiPriority w:val="99"/>
    <w:semiHidden/>
    <w:rsid w:val="00FC2024"/>
    <w:rPr>
      <w:rFonts w:ascii="Arial" w:hAnsi="Arial"/>
      <w:lang w:val="en-GB" w:eastAsia="en-US" w:bidi="en-US"/>
    </w:rPr>
  </w:style>
  <w:style w:type="character" w:customStyle="1" w:styleId="CommentTextChar">
    <w:name w:val="Comment Text Char"/>
    <w:link w:val="CommentText"/>
    <w:uiPriority w:val="99"/>
    <w:semiHidden/>
    <w:rsid w:val="004A1845"/>
    <w:rPr>
      <w:rFonts w:ascii="Arial" w:hAnsi="Arial"/>
      <w:lang w:val="en-GB" w:bidi="en-US"/>
    </w:rPr>
  </w:style>
  <w:style w:type="character" w:customStyle="1" w:styleId="BodyTextChar">
    <w:name w:val="Body Text Char"/>
    <w:basedOn w:val="DefaultParagraphFont"/>
    <w:link w:val="BodyText"/>
    <w:rsid w:val="009E11EA"/>
    <w:rPr>
      <w:rFonts w:ascii="Tahoma" w:hAnsi="Tahoma" w:cs="Tahoma"/>
      <w:szCs w:val="24"/>
      <w:lang w:val="en-GB" w:eastAsia="en-US"/>
    </w:rPr>
  </w:style>
  <w:style w:type="character" w:customStyle="1" w:styleId="BodyTextIndentChar">
    <w:name w:val="Body Text Indent Char"/>
    <w:basedOn w:val="DefaultParagraphFont"/>
    <w:link w:val="BodyTextIndent"/>
    <w:rsid w:val="009E11EA"/>
    <w:rPr>
      <w:rFonts w:ascii="Arial" w:hAnsi="Arial"/>
      <w:lang w:val="en-GB" w:eastAsia="en-US" w:bidi="en-US"/>
    </w:rPr>
  </w:style>
  <w:style w:type="paragraph" w:styleId="ListParagraph">
    <w:name w:val="List Paragraph"/>
    <w:basedOn w:val="Normal"/>
    <w:uiPriority w:val="34"/>
    <w:qFormat/>
    <w:rsid w:val="003D7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qFormat/>
    <w:rsid w:val="00207C90"/>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207C90"/>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uiPriority w:val="99"/>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5"/>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link w:val="BodyTextChar"/>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link w:val="BodyTextIndentChar"/>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2"/>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3"/>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4"/>
      </w:numPr>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1">
    <w:name w:val="Colorful Shading - Accent 11"/>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6"/>
      </w:numPr>
    </w:pPr>
  </w:style>
  <w:style w:type="paragraph" w:customStyle="1" w:styleId="ColorfulList-Accent11">
    <w:name w:val="Colorful List - Accent 11"/>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rsid w:val="00D3707E"/>
    <w:rPr>
      <w:rFonts w:ascii="Arial" w:hAnsi="Arial"/>
      <w:lang w:val="en-GB" w:eastAsia="en-US" w:bidi="en-US"/>
    </w:rPr>
  </w:style>
  <w:style w:type="paragraph" w:customStyle="1" w:styleId="Heading1WG">
    <w:name w:val="Heading 1 WG"/>
    <w:basedOn w:val="Normal"/>
    <w:uiPriority w:val="99"/>
    <w:rsid w:val="008137F8"/>
    <w:pPr>
      <w:spacing w:before="0" w:after="0" w:line="240" w:lineRule="auto"/>
    </w:pPr>
    <w:rPr>
      <w:rFonts w:ascii="Times New Roman" w:hAnsi="Times New Roman"/>
      <w:b/>
      <w:bCs/>
      <w:lang w:val="en-IE" w:eastAsia="en-GB" w:bidi="ar-SA"/>
    </w:rPr>
  </w:style>
  <w:style w:type="paragraph" w:customStyle="1" w:styleId="Default">
    <w:name w:val="Default"/>
    <w:rsid w:val="00DA7EB0"/>
    <w:pPr>
      <w:autoSpaceDE w:val="0"/>
      <w:autoSpaceDN w:val="0"/>
      <w:adjustRightInd w:val="0"/>
    </w:pPr>
    <w:rPr>
      <w:rFonts w:ascii="Arial" w:hAnsi="Arial" w:cs="Arial"/>
      <w:color w:val="000000"/>
      <w:sz w:val="24"/>
      <w:szCs w:val="24"/>
    </w:rPr>
  </w:style>
  <w:style w:type="paragraph" w:customStyle="1" w:styleId="ColorfulGrid-Accent11">
    <w:name w:val="Colorful Grid - Accent 11"/>
    <w:basedOn w:val="Normal"/>
    <w:next w:val="Normal"/>
    <w:link w:val="ColorfulGrid-Accent1Char"/>
    <w:uiPriority w:val="99"/>
    <w:qFormat/>
    <w:rsid w:val="00C37DDC"/>
    <w:rPr>
      <w:i/>
      <w:iCs/>
      <w:color w:val="000000"/>
      <w:lang w:bidi="ar-SA"/>
    </w:rPr>
  </w:style>
  <w:style w:type="character" w:customStyle="1" w:styleId="ColorfulGrid-Accent1Char">
    <w:name w:val="Colorful Grid - Accent 1 Char"/>
    <w:link w:val="ColorfulGrid-Accent11"/>
    <w:uiPriority w:val="99"/>
    <w:rsid w:val="00C37DDC"/>
    <w:rPr>
      <w:rFonts w:ascii="Arial" w:hAnsi="Arial"/>
      <w:i/>
      <w:iCs/>
      <w:color w:val="000000"/>
      <w:lang w:val="en-GB" w:eastAsia="en-US"/>
    </w:rPr>
  </w:style>
  <w:style w:type="character" w:customStyle="1" w:styleId="IntenseEmphasis1">
    <w:name w:val="Intense Emphasis1"/>
    <w:uiPriority w:val="21"/>
    <w:qFormat/>
    <w:rsid w:val="00E252F0"/>
    <w:rPr>
      <w:rFonts w:cs="Times New Roman"/>
      <w:b/>
      <w:bCs/>
      <w:i/>
      <w:iCs/>
      <w:color w:val="4F81BD"/>
    </w:rPr>
  </w:style>
  <w:style w:type="paragraph" w:styleId="Revision">
    <w:name w:val="Revision"/>
    <w:hidden/>
    <w:uiPriority w:val="99"/>
    <w:semiHidden/>
    <w:rsid w:val="00FC2024"/>
    <w:rPr>
      <w:rFonts w:ascii="Arial" w:hAnsi="Arial"/>
      <w:lang w:val="en-GB" w:eastAsia="en-US" w:bidi="en-US"/>
    </w:rPr>
  </w:style>
  <w:style w:type="character" w:customStyle="1" w:styleId="CommentTextChar">
    <w:name w:val="Comment Text Char"/>
    <w:link w:val="CommentText"/>
    <w:uiPriority w:val="99"/>
    <w:semiHidden/>
    <w:rsid w:val="004A1845"/>
    <w:rPr>
      <w:rFonts w:ascii="Arial" w:hAnsi="Arial"/>
      <w:lang w:val="en-GB" w:bidi="en-US"/>
    </w:rPr>
  </w:style>
  <w:style w:type="character" w:customStyle="1" w:styleId="BodyTextChar">
    <w:name w:val="Body Text Char"/>
    <w:basedOn w:val="DefaultParagraphFont"/>
    <w:link w:val="BodyText"/>
    <w:rsid w:val="009E11EA"/>
    <w:rPr>
      <w:rFonts w:ascii="Tahoma" w:hAnsi="Tahoma" w:cs="Tahoma"/>
      <w:szCs w:val="24"/>
      <w:lang w:val="en-GB" w:eastAsia="en-US"/>
    </w:rPr>
  </w:style>
  <w:style w:type="character" w:customStyle="1" w:styleId="BodyTextIndentChar">
    <w:name w:val="Body Text Indent Char"/>
    <w:basedOn w:val="DefaultParagraphFont"/>
    <w:link w:val="BodyTextIndent"/>
    <w:rsid w:val="009E11EA"/>
    <w:rPr>
      <w:rFonts w:ascii="Arial" w:hAnsi="Arial"/>
      <w:lang w:val="en-GB" w:eastAsia="en-US" w:bidi="en-US"/>
    </w:rPr>
  </w:style>
  <w:style w:type="paragraph" w:styleId="ListParagraph">
    <w:name w:val="List Paragraph"/>
    <w:basedOn w:val="Normal"/>
    <w:uiPriority w:val="34"/>
    <w:qFormat/>
    <w:rsid w:val="003D7782"/>
    <w:pPr>
      <w:ind w:left="720"/>
      <w:contextualSpacing/>
    </w:pPr>
  </w:style>
</w:styles>
</file>

<file path=word/webSettings.xml><?xml version="1.0" encoding="utf-8"?>
<w:webSettings xmlns:r="http://schemas.openxmlformats.org/officeDocument/2006/relationships" xmlns:w="http://schemas.openxmlformats.org/wordprocessingml/2006/main">
  <w:divs>
    <w:div w:id="4407590">
      <w:bodyDiv w:val="1"/>
      <w:marLeft w:val="0"/>
      <w:marRight w:val="0"/>
      <w:marTop w:val="0"/>
      <w:marBottom w:val="0"/>
      <w:divBdr>
        <w:top w:val="none" w:sz="0" w:space="0" w:color="auto"/>
        <w:left w:val="none" w:sz="0" w:space="0" w:color="auto"/>
        <w:bottom w:val="none" w:sz="0" w:space="0" w:color="auto"/>
        <w:right w:val="none" w:sz="0" w:space="0" w:color="auto"/>
      </w:divBdr>
      <w:divsChild>
        <w:div w:id="929123463">
          <w:marLeft w:val="547"/>
          <w:marRight w:val="0"/>
          <w:marTop w:val="160"/>
          <w:marBottom w:val="0"/>
          <w:divBdr>
            <w:top w:val="none" w:sz="0" w:space="0" w:color="auto"/>
            <w:left w:val="none" w:sz="0" w:space="0" w:color="auto"/>
            <w:bottom w:val="none" w:sz="0" w:space="0" w:color="auto"/>
            <w:right w:val="none" w:sz="0" w:space="0" w:color="auto"/>
          </w:divBdr>
        </w:div>
      </w:divsChild>
    </w:div>
    <w:div w:id="33119965">
      <w:bodyDiv w:val="1"/>
      <w:marLeft w:val="0"/>
      <w:marRight w:val="0"/>
      <w:marTop w:val="0"/>
      <w:marBottom w:val="0"/>
      <w:divBdr>
        <w:top w:val="none" w:sz="0" w:space="0" w:color="auto"/>
        <w:left w:val="none" w:sz="0" w:space="0" w:color="auto"/>
        <w:bottom w:val="none" w:sz="0" w:space="0" w:color="auto"/>
        <w:right w:val="none" w:sz="0" w:space="0" w:color="auto"/>
      </w:divBdr>
      <w:divsChild>
        <w:div w:id="127210523">
          <w:marLeft w:val="1138"/>
          <w:marRight w:val="0"/>
          <w:marTop w:val="0"/>
          <w:marBottom w:val="0"/>
          <w:divBdr>
            <w:top w:val="none" w:sz="0" w:space="0" w:color="auto"/>
            <w:left w:val="none" w:sz="0" w:space="0" w:color="auto"/>
            <w:bottom w:val="none" w:sz="0" w:space="0" w:color="auto"/>
            <w:right w:val="none" w:sz="0" w:space="0" w:color="auto"/>
          </w:divBdr>
        </w:div>
        <w:div w:id="1313364872">
          <w:marLeft w:val="1858"/>
          <w:marRight w:val="0"/>
          <w:marTop w:val="0"/>
          <w:marBottom w:val="0"/>
          <w:divBdr>
            <w:top w:val="none" w:sz="0" w:space="0" w:color="auto"/>
            <w:left w:val="none" w:sz="0" w:space="0" w:color="auto"/>
            <w:bottom w:val="none" w:sz="0" w:space="0" w:color="auto"/>
            <w:right w:val="none" w:sz="0" w:space="0" w:color="auto"/>
          </w:divBdr>
        </w:div>
        <w:div w:id="307172091">
          <w:marLeft w:val="1858"/>
          <w:marRight w:val="0"/>
          <w:marTop w:val="0"/>
          <w:marBottom w:val="0"/>
          <w:divBdr>
            <w:top w:val="none" w:sz="0" w:space="0" w:color="auto"/>
            <w:left w:val="none" w:sz="0" w:space="0" w:color="auto"/>
            <w:bottom w:val="none" w:sz="0" w:space="0" w:color="auto"/>
            <w:right w:val="none" w:sz="0" w:space="0" w:color="auto"/>
          </w:divBdr>
        </w:div>
        <w:div w:id="827940884">
          <w:marLeft w:val="1858"/>
          <w:marRight w:val="0"/>
          <w:marTop w:val="0"/>
          <w:marBottom w:val="0"/>
          <w:divBdr>
            <w:top w:val="none" w:sz="0" w:space="0" w:color="auto"/>
            <w:left w:val="none" w:sz="0" w:space="0" w:color="auto"/>
            <w:bottom w:val="none" w:sz="0" w:space="0" w:color="auto"/>
            <w:right w:val="none" w:sz="0" w:space="0" w:color="auto"/>
          </w:divBdr>
        </w:div>
      </w:divsChild>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05720035">
      <w:bodyDiv w:val="1"/>
      <w:marLeft w:val="0"/>
      <w:marRight w:val="0"/>
      <w:marTop w:val="0"/>
      <w:marBottom w:val="0"/>
      <w:divBdr>
        <w:top w:val="none" w:sz="0" w:space="0" w:color="auto"/>
        <w:left w:val="none" w:sz="0" w:space="0" w:color="auto"/>
        <w:bottom w:val="none" w:sz="0" w:space="0" w:color="auto"/>
        <w:right w:val="none" w:sz="0" w:space="0" w:color="auto"/>
      </w:divBdr>
      <w:divsChild>
        <w:div w:id="765341840">
          <w:marLeft w:val="1166"/>
          <w:marRight w:val="0"/>
          <w:marTop w:val="140"/>
          <w:marBottom w:val="0"/>
          <w:divBdr>
            <w:top w:val="none" w:sz="0" w:space="0" w:color="auto"/>
            <w:left w:val="none" w:sz="0" w:space="0" w:color="auto"/>
            <w:bottom w:val="none" w:sz="0" w:space="0" w:color="auto"/>
            <w:right w:val="none" w:sz="0" w:space="0" w:color="auto"/>
          </w:divBdr>
        </w:div>
        <w:div w:id="1136529762">
          <w:marLeft w:val="1166"/>
          <w:marRight w:val="0"/>
          <w:marTop w:val="140"/>
          <w:marBottom w:val="0"/>
          <w:divBdr>
            <w:top w:val="none" w:sz="0" w:space="0" w:color="auto"/>
            <w:left w:val="none" w:sz="0" w:space="0" w:color="auto"/>
            <w:bottom w:val="none" w:sz="0" w:space="0" w:color="auto"/>
            <w:right w:val="none" w:sz="0" w:space="0" w:color="auto"/>
          </w:divBdr>
        </w:div>
        <w:div w:id="1407729113">
          <w:marLeft w:val="1166"/>
          <w:marRight w:val="0"/>
          <w:marTop w:val="140"/>
          <w:marBottom w:val="0"/>
          <w:divBdr>
            <w:top w:val="none" w:sz="0" w:space="0" w:color="auto"/>
            <w:left w:val="none" w:sz="0" w:space="0" w:color="auto"/>
            <w:bottom w:val="none" w:sz="0" w:space="0" w:color="auto"/>
            <w:right w:val="none" w:sz="0" w:space="0" w:color="auto"/>
          </w:divBdr>
        </w:div>
        <w:div w:id="1958564174">
          <w:marLeft w:val="1166"/>
          <w:marRight w:val="0"/>
          <w:marTop w:val="140"/>
          <w:marBottom w:val="0"/>
          <w:divBdr>
            <w:top w:val="none" w:sz="0" w:space="0" w:color="auto"/>
            <w:left w:val="none" w:sz="0" w:space="0" w:color="auto"/>
            <w:bottom w:val="none" w:sz="0" w:space="0" w:color="auto"/>
            <w:right w:val="none" w:sz="0" w:space="0" w:color="auto"/>
          </w:divBdr>
        </w:div>
      </w:divsChild>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1353">
      <w:bodyDiv w:val="1"/>
      <w:marLeft w:val="0"/>
      <w:marRight w:val="0"/>
      <w:marTop w:val="0"/>
      <w:marBottom w:val="0"/>
      <w:divBdr>
        <w:top w:val="none" w:sz="0" w:space="0" w:color="auto"/>
        <w:left w:val="none" w:sz="0" w:space="0" w:color="auto"/>
        <w:bottom w:val="none" w:sz="0" w:space="0" w:color="auto"/>
        <w:right w:val="none" w:sz="0" w:space="0" w:color="auto"/>
      </w:divBdr>
      <w:divsChild>
        <w:div w:id="10034779">
          <w:marLeft w:val="1166"/>
          <w:marRight w:val="0"/>
          <w:marTop w:val="140"/>
          <w:marBottom w:val="0"/>
          <w:divBdr>
            <w:top w:val="none" w:sz="0" w:space="0" w:color="auto"/>
            <w:left w:val="none" w:sz="0" w:space="0" w:color="auto"/>
            <w:bottom w:val="none" w:sz="0" w:space="0" w:color="auto"/>
            <w:right w:val="none" w:sz="0" w:space="0" w:color="auto"/>
          </w:divBdr>
        </w:div>
        <w:div w:id="159664178">
          <w:marLeft w:val="547"/>
          <w:marRight w:val="0"/>
          <w:marTop w:val="160"/>
          <w:marBottom w:val="0"/>
          <w:divBdr>
            <w:top w:val="none" w:sz="0" w:space="0" w:color="auto"/>
            <w:left w:val="none" w:sz="0" w:space="0" w:color="auto"/>
            <w:bottom w:val="none" w:sz="0" w:space="0" w:color="auto"/>
            <w:right w:val="none" w:sz="0" w:space="0" w:color="auto"/>
          </w:divBdr>
        </w:div>
        <w:div w:id="828985096">
          <w:marLeft w:val="1166"/>
          <w:marRight w:val="0"/>
          <w:marTop w:val="140"/>
          <w:marBottom w:val="0"/>
          <w:divBdr>
            <w:top w:val="none" w:sz="0" w:space="0" w:color="auto"/>
            <w:left w:val="none" w:sz="0" w:space="0" w:color="auto"/>
            <w:bottom w:val="none" w:sz="0" w:space="0" w:color="auto"/>
            <w:right w:val="none" w:sz="0" w:space="0" w:color="auto"/>
          </w:divBdr>
        </w:div>
        <w:div w:id="1039474628">
          <w:marLeft w:val="1166"/>
          <w:marRight w:val="0"/>
          <w:marTop w:val="140"/>
          <w:marBottom w:val="0"/>
          <w:divBdr>
            <w:top w:val="none" w:sz="0" w:space="0" w:color="auto"/>
            <w:left w:val="none" w:sz="0" w:space="0" w:color="auto"/>
            <w:bottom w:val="none" w:sz="0" w:space="0" w:color="auto"/>
            <w:right w:val="none" w:sz="0" w:space="0" w:color="auto"/>
          </w:divBdr>
        </w:div>
        <w:div w:id="2101364487">
          <w:marLeft w:val="1166"/>
          <w:marRight w:val="0"/>
          <w:marTop w:val="140"/>
          <w:marBottom w:val="0"/>
          <w:divBdr>
            <w:top w:val="none" w:sz="0" w:space="0" w:color="auto"/>
            <w:left w:val="none" w:sz="0" w:space="0" w:color="auto"/>
            <w:bottom w:val="none" w:sz="0" w:space="0" w:color="auto"/>
            <w:right w:val="none" w:sz="0" w:space="0" w:color="auto"/>
          </w:divBdr>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5887863">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7188">
      <w:bodyDiv w:val="1"/>
      <w:marLeft w:val="0"/>
      <w:marRight w:val="0"/>
      <w:marTop w:val="0"/>
      <w:marBottom w:val="0"/>
      <w:divBdr>
        <w:top w:val="none" w:sz="0" w:space="0" w:color="auto"/>
        <w:left w:val="none" w:sz="0" w:space="0" w:color="auto"/>
        <w:bottom w:val="none" w:sz="0" w:space="0" w:color="auto"/>
        <w:right w:val="none" w:sz="0" w:space="0" w:color="auto"/>
      </w:divBdr>
    </w:div>
    <w:div w:id="399134056">
      <w:bodyDiv w:val="1"/>
      <w:marLeft w:val="0"/>
      <w:marRight w:val="0"/>
      <w:marTop w:val="0"/>
      <w:marBottom w:val="0"/>
      <w:divBdr>
        <w:top w:val="none" w:sz="0" w:space="0" w:color="auto"/>
        <w:left w:val="none" w:sz="0" w:space="0" w:color="auto"/>
        <w:bottom w:val="none" w:sz="0" w:space="0" w:color="auto"/>
        <w:right w:val="none" w:sz="0" w:space="0" w:color="auto"/>
      </w:divBdr>
      <w:divsChild>
        <w:div w:id="1800682114">
          <w:marLeft w:val="1138"/>
          <w:marRight w:val="0"/>
          <w:marTop w:val="0"/>
          <w:marBottom w:val="0"/>
          <w:divBdr>
            <w:top w:val="none" w:sz="0" w:space="0" w:color="auto"/>
            <w:left w:val="none" w:sz="0" w:space="0" w:color="auto"/>
            <w:bottom w:val="none" w:sz="0" w:space="0" w:color="auto"/>
            <w:right w:val="none" w:sz="0" w:space="0" w:color="auto"/>
          </w:divBdr>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72600657">
      <w:bodyDiv w:val="1"/>
      <w:marLeft w:val="0"/>
      <w:marRight w:val="0"/>
      <w:marTop w:val="0"/>
      <w:marBottom w:val="0"/>
      <w:divBdr>
        <w:top w:val="none" w:sz="0" w:space="0" w:color="auto"/>
        <w:left w:val="none" w:sz="0" w:space="0" w:color="auto"/>
        <w:bottom w:val="none" w:sz="0" w:space="0" w:color="auto"/>
        <w:right w:val="none" w:sz="0" w:space="0" w:color="auto"/>
      </w:divBdr>
      <w:divsChild>
        <w:div w:id="2124767571">
          <w:marLeft w:val="1138"/>
          <w:marRight w:val="0"/>
          <w:marTop w:val="0"/>
          <w:marBottom w:val="0"/>
          <w:divBdr>
            <w:top w:val="none" w:sz="0" w:space="0" w:color="auto"/>
            <w:left w:val="none" w:sz="0" w:space="0" w:color="auto"/>
            <w:bottom w:val="none" w:sz="0" w:space="0" w:color="auto"/>
            <w:right w:val="none" w:sz="0" w:space="0" w:color="auto"/>
          </w:divBdr>
        </w:div>
        <w:div w:id="1262834885">
          <w:marLeft w:val="1138"/>
          <w:marRight w:val="0"/>
          <w:marTop w:val="0"/>
          <w:marBottom w:val="0"/>
          <w:divBdr>
            <w:top w:val="none" w:sz="0" w:space="0" w:color="auto"/>
            <w:left w:val="none" w:sz="0" w:space="0" w:color="auto"/>
            <w:bottom w:val="none" w:sz="0" w:space="0" w:color="auto"/>
            <w:right w:val="none" w:sz="0" w:space="0" w:color="auto"/>
          </w:divBdr>
        </w:div>
        <w:div w:id="1002077770">
          <w:marLeft w:val="1138"/>
          <w:marRight w:val="0"/>
          <w:marTop w:val="0"/>
          <w:marBottom w:val="0"/>
          <w:divBdr>
            <w:top w:val="none" w:sz="0" w:space="0" w:color="auto"/>
            <w:left w:val="none" w:sz="0" w:space="0" w:color="auto"/>
            <w:bottom w:val="none" w:sz="0" w:space="0" w:color="auto"/>
            <w:right w:val="none" w:sz="0" w:space="0" w:color="auto"/>
          </w:divBdr>
        </w:div>
      </w:divsChild>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05176254">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84792844">
      <w:bodyDiv w:val="1"/>
      <w:marLeft w:val="0"/>
      <w:marRight w:val="0"/>
      <w:marTop w:val="0"/>
      <w:marBottom w:val="0"/>
      <w:divBdr>
        <w:top w:val="none" w:sz="0" w:space="0" w:color="auto"/>
        <w:left w:val="none" w:sz="0" w:space="0" w:color="auto"/>
        <w:bottom w:val="none" w:sz="0" w:space="0" w:color="auto"/>
        <w:right w:val="none" w:sz="0" w:space="0" w:color="auto"/>
      </w:divBdr>
      <w:divsChild>
        <w:div w:id="308020083">
          <w:marLeft w:val="1800"/>
          <w:marRight w:val="0"/>
          <w:marTop w:val="120"/>
          <w:marBottom w:val="0"/>
          <w:divBdr>
            <w:top w:val="none" w:sz="0" w:space="0" w:color="auto"/>
            <w:left w:val="none" w:sz="0" w:space="0" w:color="auto"/>
            <w:bottom w:val="none" w:sz="0" w:space="0" w:color="auto"/>
            <w:right w:val="none" w:sz="0" w:space="0" w:color="auto"/>
          </w:divBdr>
        </w:div>
        <w:div w:id="1012757375">
          <w:marLeft w:val="1166"/>
          <w:marRight w:val="0"/>
          <w:marTop w:val="140"/>
          <w:marBottom w:val="0"/>
          <w:divBdr>
            <w:top w:val="none" w:sz="0" w:space="0" w:color="auto"/>
            <w:left w:val="none" w:sz="0" w:space="0" w:color="auto"/>
            <w:bottom w:val="none" w:sz="0" w:space="0" w:color="auto"/>
            <w:right w:val="none" w:sz="0" w:space="0" w:color="auto"/>
          </w:divBdr>
        </w:div>
        <w:div w:id="1545216961">
          <w:marLeft w:val="1800"/>
          <w:marRight w:val="0"/>
          <w:marTop w:val="120"/>
          <w:marBottom w:val="0"/>
          <w:divBdr>
            <w:top w:val="none" w:sz="0" w:space="0" w:color="auto"/>
            <w:left w:val="none" w:sz="0" w:space="0" w:color="auto"/>
            <w:bottom w:val="none" w:sz="0" w:space="0" w:color="auto"/>
            <w:right w:val="none" w:sz="0" w:space="0" w:color="auto"/>
          </w:divBdr>
        </w:div>
        <w:div w:id="1716541903">
          <w:marLeft w:val="1800"/>
          <w:marRight w:val="0"/>
          <w:marTop w:val="120"/>
          <w:marBottom w:val="0"/>
          <w:divBdr>
            <w:top w:val="none" w:sz="0" w:space="0" w:color="auto"/>
            <w:left w:val="none" w:sz="0" w:space="0" w:color="auto"/>
            <w:bottom w:val="none" w:sz="0" w:space="0" w:color="auto"/>
            <w:right w:val="none" w:sz="0" w:space="0" w:color="auto"/>
          </w:divBdr>
        </w:div>
        <w:div w:id="1909918700">
          <w:marLeft w:val="1800"/>
          <w:marRight w:val="0"/>
          <w:marTop w:val="120"/>
          <w:marBottom w:val="0"/>
          <w:divBdr>
            <w:top w:val="none" w:sz="0" w:space="0" w:color="auto"/>
            <w:left w:val="none" w:sz="0" w:space="0" w:color="auto"/>
            <w:bottom w:val="none" w:sz="0" w:space="0" w:color="auto"/>
            <w:right w:val="none" w:sz="0" w:space="0" w:color="auto"/>
          </w:divBdr>
        </w:div>
        <w:div w:id="2072655569">
          <w:marLeft w:val="1166"/>
          <w:marRight w:val="0"/>
          <w:marTop w:val="140"/>
          <w:marBottom w:val="0"/>
          <w:divBdr>
            <w:top w:val="none" w:sz="0" w:space="0" w:color="auto"/>
            <w:left w:val="none" w:sz="0" w:space="0" w:color="auto"/>
            <w:bottom w:val="none" w:sz="0" w:space="0" w:color="auto"/>
            <w:right w:val="none" w:sz="0" w:space="0" w:color="auto"/>
          </w:divBdr>
        </w:div>
      </w:divsChild>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19289336">
      <w:bodyDiv w:val="1"/>
      <w:marLeft w:val="0"/>
      <w:marRight w:val="0"/>
      <w:marTop w:val="0"/>
      <w:marBottom w:val="0"/>
      <w:divBdr>
        <w:top w:val="none" w:sz="0" w:space="0" w:color="auto"/>
        <w:left w:val="none" w:sz="0" w:space="0" w:color="auto"/>
        <w:bottom w:val="none" w:sz="0" w:space="0" w:color="auto"/>
        <w:right w:val="none" w:sz="0" w:space="0" w:color="auto"/>
      </w:divBdr>
      <w:divsChild>
        <w:div w:id="405301743">
          <w:marLeft w:val="1440"/>
          <w:marRight w:val="0"/>
          <w:marTop w:val="360"/>
          <w:marBottom w:val="0"/>
          <w:divBdr>
            <w:top w:val="none" w:sz="0" w:space="0" w:color="auto"/>
            <w:left w:val="none" w:sz="0" w:space="0" w:color="auto"/>
            <w:bottom w:val="none" w:sz="0" w:space="0" w:color="auto"/>
            <w:right w:val="none" w:sz="0" w:space="0" w:color="auto"/>
          </w:divBdr>
        </w:div>
        <w:div w:id="662508617">
          <w:marLeft w:val="1440"/>
          <w:marRight w:val="0"/>
          <w:marTop w:val="360"/>
          <w:marBottom w:val="0"/>
          <w:divBdr>
            <w:top w:val="none" w:sz="0" w:space="0" w:color="auto"/>
            <w:left w:val="none" w:sz="0" w:space="0" w:color="auto"/>
            <w:bottom w:val="none" w:sz="0" w:space="0" w:color="auto"/>
            <w:right w:val="none" w:sz="0" w:space="0" w:color="auto"/>
          </w:divBdr>
        </w:div>
        <w:div w:id="1093670946">
          <w:marLeft w:val="1440"/>
          <w:marRight w:val="0"/>
          <w:marTop w:val="360"/>
          <w:marBottom w:val="0"/>
          <w:divBdr>
            <w:top w:val="none" w:sz="0" w:space="0" w:color="auto"/>
            <w:left w:val="none" w:sz="0" w:space="0" w:color="auto"/>
            <w:bottom w:val="none" w:sz="0" w:space="0" w:color="auto"/>
            <w:right w:val="none" w:sz="0" w:space="0" w:color="auto"/>
          </w:divBdr>
        </w:div>
        <w:div w:id="1298489611">
          <w:marLeft w:val="1440"/>
          <w:marRight w:val="0"/>
          <w:marTop w:val="360"/>
          <w:marBottom w:val="0"/>
          <w:divBdr>
            <w:top w:val="none" w:sz="0" w:space="0" w:color="auto"/>
            <w:left w:val="none" w:sz="0" w:space="0" w:color="auto"/>
            <w:bottom w:val="none" w:sz="0" w:space="0" w:color="auto"/>
            <w:right w:val="none" w:sz="0" w:space="0" w:color="auto"/>
          </w:divBdr>
        </w:div>
      </w:divsChild>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98867944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078479410">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4587">
      <w:bodyDiv w:val="1"/>
      <w:marLeft w:val="0"/>
      <w:marRight w:val="0"/>
      <w:marTop w:val="0"/>
      <w:marBottom w:val="0"/>
      <w:divBdr>
        <w:top w:val="none" w:sz="0" w:space="0" w:color="auto"/>
        <w:left w:val="none" w:sz="0" w:space="0" w:color="auto"/>
        <w:bottom w:val="none" w:sz="0" w:space="0" w:color="auto"/>
        <w:right w:val="none" w:sz="0" w:space="0" w:color="auto"/>
      </w:divBdr>
      <w:divsChild>
        <w:div w:id="347610315">
          <w:marLeft w:val="1166"/>
          <w:marRight w:val="0"/>
          <w:marTop w:val="140"/>
          <w:marBottom w:val="0"/>
          <w:divBdr>
            <w:top w:val="none" w:sz="0" w:space="0" w:color="auto"/>
            <w:left w:val="none" w:sz="0" w:space="0" w:color="auto"/>
            <w:bottom w:val="none" w:sz="0" w:space="0" w:color="auto"/>
            <w:right w:val="none" w:sz="0" w:space="0" w:color="auto"/>
          </w:divBdr>
        </w:div>
        <w:div w:id="516113665">
          <w:marLeft w:val="1166"/>
          <w:marRight w:val="0"/>
          <w:marTop w:val="140"/>
          <w:marBottom w:val="0"/>
          <w:divBdr>
            <w:top w:val="none" w:sz="0" w:space="0" w:color="auto"/>
            <w:left w:val="none" w:sz="0" w:space="0" w:color="auto"/>
            <w:bottom w:val="none" w:sz="0" w:space="0" w:color="auto"/>
            <w:right w:val="none" w:sz="0" w:space="0" w:color="auto"/>
          </w:divBdr>
        </w:div>
        <w:div w:id="569773586">
          <w:marLeft w:val="1166"/>
          <w:marRight w:val="0"/>
          <w:marTop w:val="140"/>
          <w:marBottom w:val="0"/>
          <w:divBdr>
            <w:top w:val="none" w:sz="0" w:space="0" w:color="auto"/>
            <w:left w:val="none" w:sz="0" w:space="0" w:color="auto"/>
            <w:bottom w:val="none" w:sz="0" w:space="0" w:color="auto"/>
            <w:right w:val="none" w:sz="0" w:space="0" w:color="auto"/>
          </w:divBdr>
        </w:div>
        <w:div w:id="725026233">
          <w:marLeft w:val="1166"/>
          <w:marRight w:val="0"/>
          <w:marTop w:val="140"/>
          <w:marBottom w:val="0"/>
          <w:divBdr>
            <w:top w:val="none" w:sz="0" w:space="0" w:color="auto"/>
            <w:left w:val="none" w:sz="0" w:space="0" w:color="auto"/>
            <w:bottom w:val="none" w:sz="0" w:space="0" w:color="auto"/>
            <w:right w:val="none" w:sz="0" w:space="0" w:color="auto"/>
          </w:divBdr>
        </w:div>
        <w:div w:id="882444905">
          <w:marLeft w:val="1166"/>
          <w:marRight w:val="0"/>
          <w:marTop w:val="140"/>
          <w:marBottom w:val="0"/>
          <w:divBdr>
            <w:top w:val="none" w:sz="0" w:space="0" w:color="auto"/>
            <w:left w:val="none" w:sz="0" w:space="0" w:color="auto"/>
            <w:bottom w:val="none" w:sz="0" w:space="0" w:color="auto"/>
            <w:right w:val="none" w:sz="0" w:space="0" w:color="auto"/>
          </w:divBdr>
        </w:div>
        <w:div w:id="1142116388">
          <w:marLeft w:val="1166"/>
          <w:marRight w:val="0"/>
          <w:marTop w:val="140"/>
          <w:marBottom w:val="0"/>
          <w:divBdr>
            <w:top w:val="none" w:sz="0" w:space="0" w:color="auto"/>
            <w:left w:val="none" w:sz="0" w:space="0" w:color="auto"/>
            <w:bottom w:val="none" w:sz="0" w:space="0" w:color="auto"/>
            <w:right w:val="none" w:sz="0" w:space="0" w:color="auto"/>
          </w:divBdr>
        </w:div>
        <w:div w:id="1208223881">
          <w:marLeft w:val="547"/>
          <w:marRight w:val="0"/>
          <w:marTop w:val="160"/>
          <w:marBottom w:val="0"/>
          <w:divBdr>
            <w:top w:val="none" w:sz="0" w:space="0" w:color="auto"/>
            <w:left w:val="none" w:sz="0" w:space="0" w:color="auto"/>
            <w:bottom w:val="none" w:sz="0" w:space="0" w:color="auto"/>
            <w:right w:val="none" w:sz="0" w:space="0" w:color="auto"/>
          </w:divBdr>
        </w:div>
        <w:div w:id="1465200059">
          <w:marLeft w:val="1166"/>
          <w:marRight w:val="0"/>
          <w:marTop w:val="140"/>
          <w:marBottom w:val="0"/>
          <w:divBdr>
            <w:top w:val="none" w:sz="0" w:space="0" w:color="auto"/>
            <w:left w:val="none" w:sz="0" w:space="0" w:color="auto"/>
            <w:bottom w:val="none" w:sz="0" w:space="0" w:color="auto"/>
            <w:right w:val="none" w:sz="0" w:space="0" w:color="auto"/>
          </w:divBdr>
        </w:div>
        <w:div w:id="1654407461">
          <w:marLeft w:val="1166"/>
          <w:marRight w:val="0"/>
          <w:marTop w:val="140"/>
          <w:marBottom w:val="0"/>
          <w:divBdr>
            <w:top w:val="none" w:sz="0" w:space="0" w:color="auto"/>
            <w:left w:val="none" w:sz="0" w:space="0" w:color="auto"/>
            <w:bottom w:val="none" w:sz="0" w:space="0" w:color="auto"/>
            <w:right w:val="none" w:sz="0" w:space="0" w:color="auto"/>
          </w:divBdr>
        </w:div>
        <w:div w:id="1929848896">
          <w:marLeft w:val="547"/>
          <w:marRight w:val="0"/>
          <w:marTop w:val="160"/>
          <w:marBottom w:val="0"/>
          <w:divBdr>
            <w:top w:val="none" w:sz="0" w:space="0" w:color="auto"/>
            <w:left w:val="none" w:sz="0" w:space="0" w:color="auto"/>
            <w:bottom w:val="none" w:sz="0" w:space="0" w:color="auto"/>
            <w:right w:val="none" w:sz="0" w:space="0" w:color="auto"/>
          </w:divBdr>
        </w:div>
        <w:div w:id="2123913210">
          <w:marLeft w:val="1166"/>
          <w:marRight w:val="0"/>
          <w:marTop w:val="140"/>
          <w:marBottom w:val="0"/>
          <w:divBdr>
            <w:top w:val="none" w:sz="0" w:space="0" w:color="auto"/>
            <w:left w:val="none" w:sz="0" w:space="0" w:color="auto"/>
            <w:bottom w:val="none" w:sz="0" w:space="0" w:color="auto"/>
            <w:right w:val="none" w:sz="0" w:space="0" w:color="auto"/>
          </w:divBdr>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4412611">
      <w:bodyDiv w:val="1"/>
      <w:marLeft w:val="0"/>
      <w:marRight w:val="0"/>
      <w:marTop w:val="0"/>
      <w:marBottom w:val="0"/>
      <w:divBdr>
        <w:top w:val="none" w:sz="0" w:space="0" w:color="auto"/>
        <w:left w:val="none" w:sz="0" w:space="0" w:color="auto"/>
        <w:bottom w:val="none" w:sz="0" w:space="0" w:color="auto"/>
        <w:right w:val="none" w:sz="0" w:space="0" w:color="auto"/>
      </w:divBdr>
      <w:divsChild>
        <w:div w:id="1560361511">
          <w:marLeft w:val="1858"/>
          <w:marRight w:val="0"/>
          <w:marTop w:val="0"/>
          <w:marBottom w:val="0"/>
          <w:divBdr>
            <w:top w:val="none" w:sz="0" w:space="0" w:color="auto"/>
            <w:left w:val="none" w:sz="0" w:space="0" w:color="auto"/>
            <w:bottom w:val="none" w:sz="0" w:space="0" w:color="auto"/>
            <w:right w:val="none" w:sz="0" w:space="0" w:color="auto"/>
          </w:divBdr>
        </w:div>
        <w:div w:id="137772970">
          <w:marLeft w:val="1858"/>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3157123">
      <w:bodyDiv w:val="1"/>
      <w:marLeft w:val="0"/>
      <w:marRight w:val="0"/>
      <w:marTop w:val="0"/>
      <w:marBottom w:val="0"/>
      <w:divBdr>
        <w:top w:val="none" w:sz="0" w:space="0" w:color="auto"/>
        <w:left w:val="none" w:sz="0" w:space="0" w:color="auto"/>
        <w:bottom w:val="none" w:sz="0" w:space="0" w:color="auto"/>
        <w:right w:val="none" w:sz="0" w:space="0" w:color="auto"/>
      </w:divBdr>
      <w:divsChild>
        <w:div w:id="32392808">
          <w:marLeft w:val="547"/>
          <w:marRight w:val="0"/>
          <w:marTop w:val="160"/>
          <w:marBottom w:val="0"/>
          <w:divBdr>
            <w:top w:val="none" w:sz="0" w:space="0" w:color="auto"/>
            <w:left w:val="none" w:sz="0" w:space="0" w:color="auto"/>
            <w:bottom w:val="none" w:sz="0" w:space="0" w:color="auto"/>
            <w:right w:val="none" w:sz="0" w:space="0" w:color="auto"/>
          </w:divBdr>
        </w:div>
        <w:div w:id="352657623">
          <w:marLeft w:val="1166"/>
          <w:marRight w:val="0"/>
          <w:marTop w:val="140"/>
          <w:marBottom w:val="0"/>
          <w:divBdr>
            <w:top w:val="none" w:sz="0" w:space="0" w:color="auto"/>
            <w:left w:val="none" w:sz="0" w:space="0" w:color="auto"/>
            <w:bottom w:val="none" w:sz="0" w:space="0" w:color="auto"/>
            <w:right w:val="none" w:sz="0" w:space="0" w:color="auto"/>
          </w:divBdr>
        </w:div>
        <w:div w:id="639772472">
          <w:marLeft w:val="1166"/>
          <w:marRight w:val="0"/>
          <w:marTop w:val="140"/>
          <w:marBottom w:val="0"/>
          <w:divBdr>
            <w:top w:val="none" w:sz="0" w:space="0" w:color="auto"/>
            <w:left w:val="none" w:sz="0" w:space="0" w:color="auto"/>
            <w:bottom w:val="none" w:sz="0" w:space="0" w:color="auto"/>
            <w:right w:val="none" w:sz="0" w:space="0" w:color="auto"/>
          </w:divBdr>
        </w:div>
        <w:div w:id="739332628">
          <w:marLeft w:val="1166"/>
          <w:marRight w:val="0"/>
          <w:marTop w:val="140"/>
          <w:marBottom w:val="0"/>
          <w:divBdr>
            <w:top w:val="none" w:sz="0" w:space="0" w:color="auto"/>
            <w:left w:val="none" w:sz="0" w:space="0" w:color="auto"/>
            <w:bottom w:val="none" w:sz="0" w:space="0" w:color="auto"/>
            <w:right w:val="none" w:sz="0" w:space="0" w:color="auto"/>
          </w:divBdr>
        </w:div>
        <w:div w:id="802574970">
          <w:marLeft w:val="1166"/>
          <w:marRight w:val="0"/>
          <w:marTop w:val="140"/>
          <w:marBottom w:val="0"/>
          <w:divBdr>
            <w:top w:val="none" w:sz="0" w:space="0" w:color="auto"/>
            <w:left w:val="none" w:sz="0" w:space="0" w:color="auto"/>
            <w:bottom w:val="none" w:sz="0" w:space="0" w:color="auto"/>
            <w:right w:val="none" w:sz="0" w:space="0" w:color="auto"/>
          </w:divBdr>
        </w:div>
        <w:div w:id="1021932139">
          <w:marLeft w:val="547"/>
          <w:marRight w:val="0"/>
          <w:marTop w:val="160"/>
          <w:marBottom w:val="0"/>
          <w:divBdr>
            <w:top w:val="none" w:sz="0" w:space="0" w:color="auto"/>
            <w:left w:val="none" w:sz="0" w:space="0" w:color="auto"/>
            <w:bottom w:val="none" w:sz="0" w:space="0" w:color="auto"/>
            <w:right w:val="none" w:sz="0" w:space="0" w:color="auto"/>
          </w:divBdr>
        </w:div>
        <w:div w:id="1267541082">
          <w:marLeft w:val="547"/>
          <w:marRight w:val="0"/>
          <w:marTop w:val="160"/>
          <w:marBottom w:val="0"/>
          <w:divBdr>
            <w:top w:val="none" w:sz="0" w:space="0" w:color="auto"/>
            <w:left w:val="none" w:sz="0" w:space="0" w:color="auto"/>
            <w:bottom w:val="none" w:sz="0" w:space="0" w:color="auto"/>
            <w:right w:val="none" w:sz="0" w:space="0" w:color="auto"/>
          </w:divBdr>
        </w:div>
        <w:div w:id="1955013173">
          <w:marLeft w:val="1166"/>
          <w:marRight w:val="0"/>
          <w:marTop w:val="140"/>
          <w:marBottom w:val="0"/>
          <w:divBdr>
            <w:top w:val="none" w:sz="0" w:space="0" w:color="auto"/>
            <w:left w:val="none" w:sz="0" w:space="0" w:color="auto"/>
            <w:bottom w:val="none" w:sz="0" w:space="0" w:color="auto"/>
            <w:right w:val="none" w:sz="0" w:space="0" w:color="auto"/>
          </w:divBdr>
        </w:div>
      </w:divsChild>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21962">
      <w:bodyDiv w:val="1"/>
      <w:marLeft w:val="0"/>
      <w:marRight w:val="0"/>
      <w:marTop w:val="0"/>
      <w:marBottom w:val="0"/>
      <w:divBdr>
        <w:top w:val="none" w:sz="0" w:space="0" w:color="auto"/>
        <w:left w:val="none" w:sz="0" w:space="0" w:color="auto"/>
        <w:bottom w:val="none" w:sz="0" w:space="0" w:color="auto"/>
        <w:right w:val="none" w:sz="0" w:space="0" w:color="auto"/>
      </w:divBdr>
      <w:divsChild>
        <w:div w:id="472790365">
          <w:marLeft w:val="1138"/>
          <w:marRight w:val="0"/>
          <w:marTop w:val="0"/>
          <w:marBottom w:val="0"/>
          <w:divBdr>
            <w:top w:val="none" w:sz="0" w:space="0" w:color="auto"/>
            <w:left w:val="none" w:sz="0" w:space="0" w:color="auto"/>
            <w:bottom w:val="none" w:sz="0" w:space="0" w:color="auto"/>
            <w:right w:val="none" w:sz="0" w:space="0" w:color="auto"/>
          </w:divBdr>
        </w:div>
        <w:div w:id="1280340298">
          <w:marLeft w:val="1138"/>
          <w:marRight w:val="0"/>
          <w:marTop w:val="0"/>
          <w:marBottom w:val="0"/>
          <w:divBdr>
            <w:top w:val="none" w:sz="0" w:space="0" w:color="auto"/>
            <w:left w:val="none" w:sz="0" w:space="0" w:color="auto"/>
            <w:bottom w:val="none" w:sz="0" w:space="0" w:color="auto"/>
            <w:right w:val="none" w:sz="0" w:space="0" w:color="auto"/>
          </w:divBdr>
        </w:div>
        <w:div w:id="1322274778">
          <w:marLeft w:val="1138"/>
          <w:marRight w:val="0"/>
          <w:marTop w:val="0"/>
          <w:marBottom w:val="0"/>
          <w:divBdr>
            <w:top w:val="none" w:sz="0" w:space="0" w:color="auto"/>
            <w:left w:val="none" w:sz="0" w:space="0" w:color="auto"/>
            <w:bottom w:val="none" w:sz="0" w:space="0" w:color="auto"/>
            <w:right w:val="none" w:sz="0" w:space="0" w:color="auto"/>
          </w:divBdr>
        </w:div>
        <w:div w:id="2041590188">
          <w:marLeft w:val="1138"/>
          <w:marRight w:val="0"/>
          <w:marTop w:val="0"/>
          <w:marBottom w:val="0"/>
          <w:divBdr>
            <w:top w:val="none" w:sz="0" w:space="0" w:color="auto"/>
            <w:left w:val="none" w:sz="0" w:space="0" w:color="auto"/>
            <w:bottom w:val="none" w:sz="0" w:space="0" w:color="auto"/>
            <w:right w:val="none" w:sz="0" w:space="0" w:color="auto"/>
          </w:divBdr>
        </w:div>
        <w:div w:id="938491958">
          <w:marLeft w:val="1138"/>
          <w:marRight w:val="0"/>
          <w:marTop w:val="0"/>
          <w:marBottom w:val="0"/>
          <w:divBdr>
            <w:top w:val="none" w:sz="0" w:space="0" w:color="auto"/>
            <w:left w:val="none" w:sz="0" w:space="0" w:color="auto"/>
            <w:bottom w:val="none" w:sz="0" w:space="0" w:color="auto"/>
            <w:right w:val="none" w:sz="0" w:space="0" w:color="auto"/>
          </w:divBdr>
        </w:div>
      </w:divsChild>
    </w:div>
    <w:div w:id="1991670231">
      <w:bodyDiv w:val="1"/>
      <w:marLeft w:val="0"/>
      <w:marRight w:val="0"/>
      <w:marTop w:val="0"/>
      <w:marBottom w:val="0"/>
      <w:divBdr>
        <w:top w:val="none" w:sz="0" w:space="0" w:color="auto"/>
        <w:left w:val="none" w:sz="0" w:space="0" w:color="auto"/>
        <w:bottom w:val="none" w:sz="0" w:space="0" w:color="auto"/>
        <w:right w:val="none" w:sz="0" w:space="0" w:color="auto"/>
      </w:divBdr>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7520">
      <w:bodyDiv w:val="1"/>
      <w:marLeft w:val="0"/>
      <w:marRight w:val="0"/>
      <w:marTop w:val="0"/>
      <w:marBottom w:val="0"/>
      <w:divBdr>
        <w:top w:val="none" w:sz="0" w:space="0" w:color="auto"/>
        <w:left w:val="none" w:sz="0" w:space="0" w:color="auto"/>
        <w:bottom w:val="none" w:sz="0" w:space="0" w:color="auto"/>
        <w:right w:val="none" w:sz="0" w:space="0" w:color="auto"/>
      </w:divBdr>
      <w:divsChild>
        <w:div w:id="1893997407">
          <w:marLeft w:val="1138"/>
          <w:marRight w:val="0"/>
          <w:marTop w:val="0"/>
          <w:marBottom w:val="0"/>
          <w:divBdr>
            <w:top w:val="none" w:sz="0" w:space="0" w:color="auto"/>
            <w:left w:val="none" w:sz="0" w:space="0" w:color="auto"/>
            <w:bottom w:val="none" w:sz="0" w:space="0" w:color="auto"/>
            <w:right w:val="none" w:sz="0" w:space="0" w:color="auto"/>
          </w:divBdr>
        </w:div>
        <w:div w:id="198129107">
          <w:marLeft w:val="1138"/>
          <w:marRight w:val="0"/>
          <w:marTop w:val="0"/>
          <w:marBottom w:val="0"/>
          <w:divBdr>
            <w:top w:val="none" w:sz="0" w:space="0" w:color="auto"/>
            <w:left w:val="none" w:sz="0" w:space="0" w:color="auto"/>
            <w:bottom w:val="none" w:sz="0" w:space="0" w:color="auto"/>
            <w:right w:val="none" w:sz="0" w:space="0" w:color="auto"/>
          </w:divBdr>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o-scs-fsp01.aime.local\Common$\Aime\Market%20Development\Mods%20Panel\Capacity%20Market\(https:\www.semcommittee.com\news-centre\publication-i-sem-crm-capacity-market-code-decision" TargetMode="External"/><Relationship Id="rId18" Type="http://schemas.openxmlformats.org/officeDocument/2006/relationships/hyperlink" Target="http://www.sem-o.com/Publications/General/CMC_05_18%20-%20Combined%20Market%20Unit%20Exceptions.docx" TargetMode="External"/><Relationship Id="rId26" Type="http://schemas.openxmlformats.org/officeDocument/2006/relationships/hyperlink" Target="http://www.courts.ie/Judgments.nsf/09859e7a3f34669680256ef3004a27de/4531402e2fb661ac802580ad0043feb6?OpenDocument"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sem-o.com/Publications/General/CMC_08_18%20%20Missing%20Multiplication%20Sign%20in%20E.8.2.4.docx" TargetMode="External"/><Relationship Id="rId34" Type="http://schemas.openxmlformats.org/officeDocument/2006/relationships/header" Target="header1.xml"/><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sem-o.com/Publications/General/CMC_04_18%20F.2.1.1%20-%20Capacity%20Auction%20Participation.docx" TargetMode="External"/><Relationship Id="rId25" Type="http://schemas.openxmlformats.org/officeDocument/2006/relationships/hyperlink" Target="http://www.sem-o.com/Publications/General/CMC_02_18%20Presentation.pptx" TargetMode="External"/><Relationship Id="rId33" Type="http://schemas.openxmlformats.org/officeDocument/2006/relationships/hyperlink" Target="https://www.semcommittee.com/sites/semc/files/media-files/Capacity%20Market%20Code%20Modification%20Timetable.pdf"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em-o.com/Publications/General/CMC_03_18%20-%20Connection%20Agreement%20Exception.docx" TargetMode="External"/><Relationship Id="rId20" Type="http://schemas.openxmlformats.org/officeDocument/2006/relationships/hyperlink" Target="http://www.sem-o.com/Publications/General/CMC_07_18%20-%20F.9.5%20Information%20Published%20following%20a%20Capacity%20Auction.docx" TargetMode="External"/><Relationship Id="rId29" Type="http://schemas.openxmlformats.org/officeDocument/2006/relationships/hyperlink" Target="http://www.sem-o.com/Publications/General/CMC_05_18%20Presentation.ppt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3DCA4.EDA076E0" TargetMode="External"/><Relationship Id="rId24" Type="http://schemas.openxmlformats.org/officeDocument/2006/relationships/hyperlink" Target="http://www.sem-o.com/Publications/General/CMC_01_18%20Presentation.pptx" TargetMode="External"/><Relationship Id="rId32" Type="http://schemas.openxmlformats.org/officeDocument/2006/relationships/hyperlink" Target="http://www.sem-o.com/Publications/General/CMC_10_18%20Presentation.ppt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em-o.com/Publications/General/CMC_02_18%20%20-%20Permitted%20Disclosures%20-%20Credit%20Agencies.docx" TargetMode="External"/><Relationship Id="rId23" Type="http://schemas.openxmlformats.org/officeDocument/2006/relationships/hyperlink" Target="http://www.sem-o.com/Publications/General/CMC_10_18%20-%20Report%20on%20Capacity%20Auction%20-%20B_10_4_1.docx" TargetMode="External"/><Relationship Id="rId28" Type="http://schemas.openxmlformats.org/officeDocument/2006/relationships/hyperlink" Target="http://www.sem-o.com/Publications/General/CMC_04_18%20Presentation.pptx"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sem-o.com/Publications/General/CMC_06_18%20-%20Disaggregation%20of%20Performance%20Security%20Requirements%20to%20Capacity%20Market%20Units.docx" TargetMode="External"/><Relationship Id="rId31" Type="http://schemas.openxmlformats.org/officeDocument/2006/relationships/hyperlink" Target="http://www.sem-o.com/Publications/General/CMC_09_18%20Presentation.pptx" TargetMode="External"/><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soni.ltd.uk/" TargetMode="External"/><Relationship Id="rId14" Type="http://schemas.openxmlformats.org/officeDocument/2006/relationships/hyperlink" Target="http://www.sem-o.com/Publications/General/CMC_01_18%20NIROCs%20in%20the%20CRM.docx" TargetMode="External"/><Relationship Id="rId22" Type="http://schemas.openxmlformats.org/officeDocument/2006/relationships/hyperlink" Target="http://www.sem-o.com/Publications/General/CMC_09_18%20-%20Publication%20of%20Qualification%20Results.docx" TargetMode="External"/><Relationship Id="rId27" Type="http://schemas.openxmlformats.org/officeDocument/2006/relationships/hyperlink" Target="http://www.sem-o.com/Publications/General/CMC_03_18%20Presentation.pptx" TargetMode="External"/><Relationship Id="rId30" Type="http://schemas.openxmlformats.org/officeDocument/2006/relationships/hyperlink" Target="http://www.sem-o.com/Publications/General/CMC_07_18%20Presentation.pptx" TargetMode="External"/><Relationship Id="rId35" Type="http://schemas.openxmlformats.org/officeDocument/2006/relationships/header" Target="header2.xml"/><Relationship Id="rId43"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B33C4-170B-4EF8-A4F9-9447D5C3C4D2}">
  <ds:schemaRefs>
    <ds:schemaRef ds:uri="http://schemas.microsoft.com/office/2006/metadata/longProperties"/>
  </ds:schemaRefs>
</ds:datastoreItem>
</file>

<file path=customXml/itemProps2.xml><?xml version="1.0" encoding="utf-8"?>
<ds:datastoreItem xmlns:ds="http://schemas.openxmlformats.org/officeDocument/2006/customXml" ds:itemID="{83784C9E-3776-4C09-9459-F6D798F0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1326</Words>
  <Characters>10830</Characters>
  <Application>Microsoft Office Word</Application>
  <DocSecurity>2</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12132</CharactersWithSpaces>
  <SharedDoc>false</SharedDoc>
  <HLinks>
    <vt:vector size="90" baseType="variant">
      <vt:variant>
        <vt:i4>2228294</vt:i4>
      </vt:variant>
      <vt:variant>
        <vt:i4>60</vt:i4>
      </vt:variant>
      <vt:variant>
        <vt:i4>0</vt:i4>
      </vt:variant>
      <vt:variant>
        <vt:i4>5</vt:i4>
      </vt:variant>
      <vt:variant>
        <vt:lpwstr>http://www.sem-o.com/MarketDevelopment/ModificationDocuments/GES_WorkingGroup2_New Options Evaluated_.pptx</vt:lpwstr>
      </vt:variant>
      <vt:variant>
        <vt:lpwstr/>
      </vt:variant>
      <vt:variant>
        <vt:i4>5505048</vt:i4>
      </vt:variant>
      <vt:variant>
        <vt:i4>54</vt:i4>
      </vt:variant>
      <vt:variant>
        <vt:i4>0</vt:i4>
      </vt:variant>
      <vt:variant>
        <vt:i4>5</vt:i4>
      </vt:variant>
      <vt:variant>
        <vt:lpwstr>http://www.sem-o.com/MarketDevelopment/ModificationDocuments/WG_11_12 Timeline.jpg</vt:lpwstr>
      </vt:variant>
      <vt:variant>
        <vt:lpwstr/>
      </vt:variant>
      <vt:variant>
        <vt:i4>2228294</vt:i4>
      </vt:variant>
      <vt:variant>
        <vt:i4>51</vt:i4>
      </vt:variant>
      <vt:variant>
        <vt:i4>0</vt:i4>
      </vt:variant>
      <vt:variant>
        <vt:i4>5</vt:i4>
      </vt:variant>
      <vt:variant>
        <vt:lpwstr>http://www.sem-o.com/MarketDevelopment/ModificationDocuments/GES_WorkingGroup2_New Options Evaluated_.pptx</vt:lpwstr>
      </vt:variant>
      <vt:variant>
        <vt:lpwstr/>
      </vt:variant>
      <vt:variant>
        <vt:i4>7340086</vt:i4>
      </vt:variant>
      <vt:variant>
        <vt:i4>48</vt:i4>
      </vt:variant>
      <vt:variant>
        <vt:i4>0</vt:i4>
      </vt:variant>
      <vt:variant>
        <vt:i4>5</vt:i4>
      </vt:variant>
      <vt:variant>
        <vt:lpwstr>http://www.sem-o.com/MarketDevelopment/ModificationDocuments/Agenda WG 0.1.doc</vt:lpwstr>
      </vt:variant>
      <vt:variant>
        <vt:lpwstr/>
      </vt:variant>
      <vt:variant>
        <vt:i4>5046306</vt:i4>
      </vt:variant>
      <vt:variant>
        <vt:i4>45</vt:i4>
      </vt:variant>
      <vt:variant>
        <vt:i4>0</vt:i4>
      </vt:variant>
      <vt:variant>
        <vt:i4>5</vt:i4>
      </vt:variant>
      <vt:variant>
        <vt:lpwstr>http://www.sem-o.com/MarketDevelopment/ModificationDocuments/Mod_11_12 Presentation_06092012.pptx</vt:lpwstr>
      </vt:variant>
      <vt:variant>
        <vt:lpwstr/>
      </vt:variant>
      <vt:variant>
        <vt:i4>3932249</vt:i4>
      </vt:variant>
      <vt:variant>
        <vt:i4>42</vt:i4>
      </vt:variant>
      <vt:variant>
        <vt:i4>0</vt:i4>
      </vt:variant>
      <vt:variant>
        <vt:i4>5</vt:i4>
      </vt:variant>
      <vt:variant>
        <vt:lpwstr>http://www.sem-o.com/MarketDevelopment/ModificationDocuments/ToR_11_12_V4.doc</vt:lpwstr>
      </vt:variant>
      <vt:variant>
        <vt:lpwstr/>
      </vt:variant>
      <vt:variant>
        <vt:i4>1179728</vt:i4>
      </vt:variant>
      <vt:variant>
        <vt:i4>39</vt:i4>
      </vt:variant>
      <vt:variant>
        <vt:i4>0</vt:i4>
      </vt:variant>
      <vt:variant>
        <vt:i4>5</vt:i4>
      </vt:variant>
      <vt:variant>
        <vt:lpwstr>http://www.sem-o.com/Meetings/Meeting 43 Minutes.docx</vt:lpwstr>
      </vt:variant>
      <vt:variant>
        <vt:lpwstr/>
      </vt:variant>
      <vt:variant>
        <vt:i4>1245264</vt:i4>
      </vt:variant>
      <vt:variant>
        <vt:i4>36</vt:i4>
      </vt:variant>
      <vt:variant>
        <vt:i4>0</vt:i4>
      </vt:variant>
      <vt:variant>
        <vt:i4>5</vt:i4>
      </vt:variant>
      <vt:variant>
        <vt:lpwstr>http://www.sem-o.com/Meetings/Meeting 42 Minutes.docx</vt:lpwstr>
      </vt:variant>
      <vt:variant>
        <vt:lpwstr/>
      </vt:variant>
      <vt:variant>
        <vt:i4>6094857</vt:i4>
      </vt:variant>
      <vt:variant>
        <vt:i4>33</vt:i4>
      </vt:variant>
      <vt:variant>
        <vt:i4>0</vt:i4>
      </vt:variant>
      <vt:variant>
        <vt:i4>5</vt:i4>
      </vt:variant>
      <vt:variant>
        <vt:lpwstr>http://www.sem-o.com/MarketDevelopment/ModificationDocuments/Mod_11_12 slides.pptx</vt:lpwstr>
      </vt:variant>
      <vt:variant>
        <vt:lpwstr/>
      </vt:variant>
      <vt:variant>
        <vt:i4>4653070</vt:i4>
      </vt:variant>
      <vt:variant>
        <vt:i4>30</vt:i4>
      </vt:variant>
      <vt:variant>
        <vt:i4>0</vt:i4>
      </vt:variant>
      <vt:variant>
        <vt:i4>5</vt:i4>
      </vt:variant>
      <vt:variant>
        <vt:lpwstr>http://www.sem-o.com/MarketDevelopment/ModificationDocuments/Mod_11_12 Gaelectric.docx</vt:lpwstr>
      </vt:variant>
      <vt:variant>
        <vt:lpwstr/>
      </vt:variant>
      <vt:variant>
        <vt:i4>5439571</vt:i4>
      </vt:variant>
      <vt:variant>
        <vt:i4>27</vt:i4>
      </vt:variant>
      <vt:variant>
        <vt:i4>0</vt:i4>
      </vt:variant>
      <vt:variant>
        <vt:i4>5</vt:i4>
      </vt:variant>
      <vt:variant>
        <vt:lpwstr>http://www.sem-o.com/MarketDevelopment/Pages/MarketRules.aspx</vt:lpwstr>
      </vt:variant>
      <vt:variant>
        <vt:lpwstr/>
      </vt:variant>
      <vt:variant>
        <vt:i4>1966142</vt:i4>
      </vt:variant>
      <vt:variant>
        <vt:i4>20</vt:i4>
      </vt:variant>
      <vt:variant>
        <vt:i4>0</vt:i4>
      </vt:variant>
      <vt:variant>
        <vt:i4>5</vt:i4>
      </vt:variant>
      <vt:variant>
        <vt:lpwstr/>
      </vt:variant>
      <vt:variant>
        <vt:lpwstr>_Toc339361288</vt:lpwstr>
      </vt:variant>
      <vt:variant>
        <vt:i4>1966142</vt:i4>
      </vt:variant>
      <vt:variant>
        <vt:i4>14</vt:i4>
      </vt:variant>
      <vt:variant>
        <vt:i4>0</vt:i4>
      </vt:variant>
      <vt:variant>
        <vt:i4>5</vt:i4>
      </vt:variant>
      <vt:variant>
        <vt:lpwstr/>
      </vt:variant>
      <vt:variant>
        <vt:lpwstr>_Toc339361286</vt:lpwstr>
      </vt:variant>
      <vt:variant>
        <vt:i4>1966142</vt:i4>
      </vt:variant>
      <vt:variant>
        <vt:i4>8</vt:i4>
      </vt:variant>
      <vt:variant>
        <vt:i4>0</vt:i4>
      </vt:variant>
      <vt:variant>
        <vt:i4>5</vt:i4>
      </vt:variant>
      <vt:variant>
        <vt:lpwstr/>
      </vt:variant>
      <vt:variant>
        <vt:lpwstr>_Toc339361285</vt:lpwstr>
      </vt:variant>
      <vt:variant>
        <vt:i4>1966142</vt:i4>
      </vt:variant>
      <vt:variant>
        <vt:i4>2</vt:i4>
      </vt:variant>
      <vt:variant>
        <vt:i4>0</vt:i4>
      </vt:variant>
      <vt:variant>
        <vt:i4>5</vt:i4>
      </vt:variant>
      <vt:variant>
        <vt:lpwstr/>
      </vt:variant>
      <vt:variant>
        <vt:lpwstr>_Toc339361284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2018-06-29T10:33:00Z</dcterms:created>
  <dcterms:modified xsi:type="dcterms:W3CDTF">2018-06-29T10:36:00Z</dcterms:modified>
</cp:coreProperties>
</file>