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A3B1" w14:textId="77777777" w:rsidR="00370B58" w:rsidRPr="00135A1E" w:rsidRDefault="00370B58" w:rsidP="00370B58">
      <w:pPr>
        <w:ind w:firstLine="720"/>
        <w:jc w:val="center"/>
      </w:pPr>
      <w:r>
        <w:t xml:space="preserve">                                                                                              </w:t>
      </w:r>
      <w:r w:rsidRPr="00DE2A12">
        <w:rPr>
          <w:noProof/>
          <w:lang w:val="en-IE" w:eastAsia="en-IE" w:bidi="ar-SA"/>
        </w:rPr>
        <w:drawing>
          <wp:inline distT="0" distB="0" distL="0" distR="0" wp14:anchorId="6D3FA4E6" wp14:editId="6D3FA4E7">
            <wp:extent cx="942975" cy="866775"/>
            <wp:effectExtent l="19050" t="0" r="9525" b="0"/>
            <wp:docPr id="6" name="Picture 1" descr="http://www.soni.ltd.uk/media/styleassets/styleimages/soni_logo_201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1" r:link="rId12"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9264" behindDoc="0" locked="0" layoutInCell="1" allowOverlap="1" wp14:anchorId="6D3FA4E8" wp14:editId="6D3FA4E9">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3"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14:paraId="6D3FA3B2" w14:textId="77777777" w:rsidR="00370B58" w:rsidRDefault="00370B58" w:rsidP="00370B58">
      <w:r>
        <w:tab/>
      </w:r>
      <w:r>
        <w:tab/>
      </w:r>
      <w:r>
        <w:tab/>
      </w:r>
      <w:r>
        <w:tab/>
      </w:r>
      <w:r>
        <w:tab/>
      </w:r>
      <w:r>
        <w:tab/>
      </w:r>
      <w:r>
        <w:tab/>
      </w:r>
      <w:r>
        <w:tab/>
      </w:r>
      <w:r>
        <w:br w:type="textWrapping" w:clear="all"/>
      </w:r>
    </w:p>
    <w:p w14:paraId="6D3FA3B3" w14:textId="77777777" w:rsidR="00370B58" w:rsidRPr="00DE2A12" w:rsidRDefault="00370B58" w:rsidP="00370B58">
      <w:pPr>
        <w:pStyle w:val="SEMTitle"/>
        <w:rPr>
          <w:b/>
        </w:rPr>
      </w:pPr>
      <w:r w:rsidRPr="00DE2A12">
        <w:rPr>
          <w:b/>
        </w:rPr>
        <w:t>Capacity Market Code</w:t>
      </w:r>
    </w:p>
    <w:p w14:paraId="6D3FA3B4" w14:textId="77777777" w:rsidR="00370B58" w:rsidRPr="00DE2A12" w:rsidRDefault="00370B58" w:rsidP="00370B58">
      <w:pPr>
        <w:pStyle w:val="SEMTitle"/>
        <w:rPr>
          <w:b/>
        </w:rPr>
      </w:pPr>
      <w:r w:rsidRPr="00DE2A12">
        <w:rPr>
          <w:b/>
        </w:rPr>
        <w:t>Modifications</w:t>
      </w:r>
    </w:p>
    <w:p w14:paraId="6D3FA3B5" w14:textId="77777777" w:rsidR="00370B58" w:rsidRPr="00135A1E" w:rsidRDefault="00370B58" w:rsidP="00370B5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370B58" w:rsidRPr="00135A1E" w14:paraId="6D3FA3BD" w14:textId="77777777" w:rsidTr="003E6E57">
        <w:tc>
          <w:tcPr>
            <w:tcW w:w="5000" w:type="pct"/>
            <w:shd w:val="clear" w:color="auto" w:fill="666699"/>
          </w:tcPr>
          <w:p w14:paraId="6D3FA3B6" w14:textId="77777777" w:rsidR="00370B58" w:rsidRDefault="00370B58" w:rsidP="003E6E57">
            <w:pPr>
              <w:pStyle w:val="DocTitle"/>
              <w:jc w:val="both"/>
            </w:pPr>
          </w:p>
          <w:p w14:paraId="6D3FA3B7" w14:textId="75DCACE6" w:rsidR="00370B58" w:rsidRDefault="00F00C40" w:rsidP="003E6E57">
            <w:pPr>
              <w:pStyle w:val="DocTitle"/>
            </w:pPr>
            <w:r>
              <w:t>Workshop</w:t>
            </w:r>
            <w:r w:rsidR="000B1898">
              <w:t xml:space="preserve"> 6</w:t>
            </w:r>
            <w:r w:rsidR="00370B58">
              <w:t xml:space="preserve"> Report</w:t>
            </w:r>
          </w:p>
          <w:p w14:paraId="6D3FA3B8" w14:textId="77777777" w:rsidR="00370B58" w:rsidRDefault="00370B58" w:rsidP="003E6E57">
            <w:pPr>
              <w:pStyle w:val="DocTitle"/>
            </w:pPr>
          </w:p>
          <w:p w14:paraId="6D3FA3B9" w14:textId="5823947B" w:rsidR="00370B58" w:rsidRDefault="000B1898" w:rsidP="003E6E57">
            <w:pPr>
              <w:pStyle w:val="DocTitle"/>
            </w:pPr>
            <w:r>
              <w:t>23 May</w:t>
            </w:r>
            <w:r w:rsidR="008A0981">
              <w:t xml:space="preserve"> 2019</w:t>
            </w:r>
          </w:p>
          <w:p w14:paraId="6D3FA3BA" w14:textId="77777777" w:rsidR="00370B58" w:rsidRDefault="00370B58" w:rsidP="00422C06">
            <w:pPr>
              <w:pStyle w:val="DocTitle"/>
            </w:pPr>
          </w:p>
          <w:p w14:paraId="6D3FA3BB" w14:textId="77777777" w:rsidR="00370B58" w:rsidRDefault="007C3068" w:rsidP="003E6E57">
            <w:pPr>
              <w:pStyle w:val="DocTitle"/>
            </w:pPr>
            <w:r>
              <w:t>conference call</w:t>
            </w:r>
          </w:p>
          <w:p w14:paraId="6D3FA3BC" w14:textId="77777777" w:rsidR="00370B58" w:rsidRPr="00135A1E" w:rsidRDefault="00370B58" w:rsidP="003E6E57">
            <w:pPr>
              <w:pStyle w:val="DocTitle"/>
              <w:jc w:val="both"/>
            </w:pPr>
          </w:p>
        </w:tc>
      </w:tr>
    </w:tbl>
    <w:p w14:paraId="6D3FA3BE" w14:textId="77777777" w:rsidR="00370B58" w:rsidRDefault="00370B58" w:rsidP="00370B58">
      <w:pPr>
        <w:pBdr>
          <w:bottom w:val="single" w:sz="12" w:space="1" w:color="auto"/>
        </w:pBdr>
        <w:jc w:val="both"/>
        <w:rPr>
          <w:rFonts w:cs="Arial"/>
        </w:rPr>
      </w:pPr>
    </w:p>
    <w:p w14:paraId="6D3FA3BF" w14:textId="77777777" w:rsidR="00370B58" w:rsidRPr="00135A1E" w:rsidRDefault="00370B58" w:rsidP="00370B58">
      <w:pPr>
        <w:pBdr>
          <w:bottom w:val="single" w:sz="12" w:space="1" w:color="auto"/>
        </w:pBdr>
        <w:jc w:val="both"/>
        <w:rPr>
          <w:rStyle w:val="TableText"/>
        </w:rPr>
      </w:pPr>
    </w:p>
    <w:p w14:paraId="6D3FA3C0" w14:textId="77777777" w:rsidR="00370B58" w:rsidRPr="00135A1E" w:rsidRDefault="00370B58" w:rsidP="00370B58">
      <w:pPr>
        <w:pBdr>
          <w:bottom w:val="single" w:sz="12" w:space="1" w:color="auto"/>
        </w:pBdr>
        <w:jc w:val="both"/>
        <w:rPr>
          <w:rStyle w:val="TableText"/>
        </w:rPr>
      </w:pPr>
    </w:p>
    <w:p w14:paraId="6D3FA3C1" w14:textId="77777777" w:rsidR="00370B58" w:rsidRPr="00135A1E" w:rsidRDefault="00370B58" w:rsidP="00370B58">
      <w:pPr>
        <w:jc w:val="both"/>
        <w:rPr>
          <w:rStyle w:val="TableText"/>
        </w:rPr>
      </w:pPr>
    </w:p>
    <w:p w14:paraId="6D3FA3C2" w14:textId="77777777" w:rsidR="00370B58" w:rsidRPr="00135A1E" w:rsidRDefault="00370B58" w:rsidP="00370B58">
      <w:pPr>
        <w:pStyle w:val="Notices"/>
        <w:jc w:val="both"/>
        <w:rPr>
          <w:rStyle w:val="TableText"/>
        </w:rPr>
      </w:pPr>
      <w:r w:rsidRPr="00135A1E">
        <w:rPr>
          <w:rStyle w:val="TableText"/>
        </w:rPr>
        <w:t>COPYRIGHT NOTICE</w:t>
      </w:r>
    </w:p>
    <w:p w14:paraId="6D3FA3C3" w14:textId="77777777" w:rsidR="00370B58" w:rsidRPr="00135A1E" w:rsidRDefault="00370B58" w:rsidP="00370B58">
      <w:pPr>
        <w:pStyle w:val="Notices"/>
        <w:jc w:val="both"/>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135A1E">
        <w:rPr>
          <w:rStyle w:val="TableText"/>
        </w:rPr>
        <w:t>EirGrid plc and SONI Limited.</w:t>
      </w:r>
      <w:bookmarkEnd w:id="1"/>
    </w:p>
    <w:p w14:paraId="6D3FA3C4" w14:textId="77777777" w:rsidR="00370B58" w:rsidRPr="00135A1E" w:rsidRDefault="00370B58" w:rsidP="00370B58">
      <w:pPr>
        <w:pStyle w:val="Notices"/>
        <w:jc w:val="both"/>
        <w:rPr>
          <w:rStyle w:val="TableText"/>
        </w:rPr>
      </w:pPr>
    </w:p>
    <w:p w14:paraId="6D3FA3C5" w14:textId="77777777" w:rsidR="00370B58" w:rsidRPr="00135A1E" w:rsidRDefault="00370B58" w:rsidP="00370B58">
      <w:pPr>
        <w:pStyle w:val="Notices"/>
        <w:jc w:val="both"/>
        <w:rPr>
          <w:rStyle w:val="TableText"/>
        </w:rPr>
      </w:pPr>
      <w:bookmarkStart w:id="2" w:name="_DV_C9"/>
      <w:r w:rsidRPr="00135A1E">
        <w:rPr>
          <w:rStyle w:val="TableText"/>
        </w:rPr>
        <w:t>DOCUMENT DISCLAIMER</w:t>
      </w:r>
      <w:bookmarkEnd w:id="2"/>
    </w:p>
    <w:p w14:paraId="6D3FA3C6" w14:textId="77777777" w:rsidR="00370B58" w:rsidRDefault="00370B58" w:rsidP="00370B58">
      <w:pPr>
        <w:pStyle w:val="Notices"/>
        <w:jc w:val="both"/>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6D3FA3C7" w14:textId="77777777" w:rsidR="00370B58" w:rsidRDefault="00370B58" w:rsidP="00370B58">
      <w:pPr>
        <w:pStyle w:val="Notices"/>
        <w:jc w:val="both"/>
        <w:rPr>
          <w:rStyle w:val="TableText"/>
        </w:rPr>
      </w:pPr>
    </w:p>
    <w:p w14:paraId="6D3FA3C8" w14:textId="77777777" w:rsidR="00370B58" w:rsidRDefault="00370B58" w:rsidP="00370B58">
      <w:pPr>
        <w:pStyle w:val="Notices"/>
        <w:jc w:val="both"/>
        <w:rPr>
          <w:rStyle w:val="TableText"/>
        </w:rPr>
      </w:pPr>
    </w:p>
    <w:p w14:paraId="6D3FA3C9" w14:textId="77777777" w:rsidR="00370B58" w:rsidRDefault="00370B58" w:rsidP="00370B58">
      <w:pPr>
        <w:pStyle w:val="Notices"/>
        <w:jc w:val="both"/>
        <w:rPr>
          <w:rStyle w:val="TableText"/>
        </w:rPr>
      </w:pPr>
    </w:p>
    <w:p w14:paraId="6D3FA3CA" w14:textId="77777777" w:rsidR="00370B58" w:rsidRDefault="00370B58" w:rsidP="00370B58">
      <w:pPr>
        <w:pStyle w:val="Notices"/>
        <w:jc w:val="both"/>
        <w:rPr>
          <w:rStyle w:val="TableText"/>
        </w:rPr>
      </w:pPr>
    </w:p>
    <w:p w14:paraId="6D3FA3CB" w14:textId="77777777" w:rsidR="00370B58" w:rsidRDefault="00370B58" w:rsidP="00370B58">
      <w:pPr>
        <w:pStyle w:val="Notices"/>
        <w:jc w:val="both"/>
        <w:rPr>
          <w:rStyle w:val="TableText"/>
        </w:rPr>
      </w:pPr>
    </w:p>
    <w:p w14:paraId="6D3FA3CC" w14:textId="77777777" w:rsidR="00370B58" w:rsidRDefault="00370B58" w:rsidP="00370B58">
      <w:pPr>
        <w:pStyle w:val="Notices"/>
        <w:jc w:val="both"/>
        <w:rPr>
          <w:rStyle w:val="TableText"/>
        </w:rPr>
      </w:pPr>
    </w:p>
    <w:p w14:paraId="6D3FA3CD" w14:textId="77777777" w:rsidR="00370B58" w:rsidRDefault="00370B58" w:rsidP="00370B58">
      <w:pPr>
        <w:pStyle w:val="Notices"/>
        <w:jc w:val="both"/>
        <w:rPr>
          <w:rStyle w:val="TableText"/>
        </w:rPr>
      </w:pPr>
    </w:p>
    <w:p w14:paraId="6D3FA3CE" w14:textId="77777777" w:rsidR="00370B58" w:rsidRDefault="00370B58" w:rsidP="00370B58">
      <w:pPr>
        <w:pStyle w:val="Notices"/>
        <w:jc w:val="both"/>
        <w:rPr>
          <w:rStyle w:val="TableText"/>
        </w:rPr>
      </w:pPr>
    </w:p>
    <w:p w14:paraId="6D3FA3CF" w14:textId="77777777" w:rsidR="00370B58" w:rsidRDefault="00370B58" w:rsidP="00370B58">
      <w:pPr>
        <w:pStyle w:val="Notices"/>
        <w:jc w:val="both"/>
        <w:rPr>
          <w:rStyle w:val="TableText"/>
        </w:rPr>
      </w:pPr>
    </w:p>
    <w:p w14:paraId="6D3FA3D0" w14:textId="77777777" w:rsidR="00370B58" w:rsidRDefault="00370B58" w:rsidP="00370B58">
      <w:pPr>
        <w:pStyle w:val="Notices"/>
        <w:jc w:val="both"/>
        <w:rPr>
          <w:rStyle w:val="TableText"/>
        </w:rPr>
      </w:pPr>
    </w:p>
    <w:p w14:paraId="6D3FA3D1" w14:textId="77777777" w:rsidR="00370B58" w:rsidRDefault="00370B58" w:rsidP="00370B58">
      <w:pPr>
        <w:pStyle w:val="Notices"/>
        <w:jc w:val="both"/>
        <w:rPr>
          <w:rStyle w:val="TableText"/>
        </w:rPr>
      </w:pPr>
    </w:p>
    <w:p w14:paraId="6D3FA3D2" w14:textId="77777777" w:rsidR="00370B58" w:rsidRDefault="00370B58" w:rsidP="00370B58">
      <w:pPr>
        <w:pStyle w:val="Notices"/>
        <w:jc w:val="both"/>
        <w:rPr>
          <w:rStyle w:val="TableText"/>
        </w:rPr>
      </w:pPr>
    </w:p>
    <w:p w14:paraId="6D3FA3D3" w14:textId="77777777" w:rsidR="00370B58" w:rsidRDefault="00370B58" w:rsidP="00370B58">
      <w:pPr>
        <w:pStyle w:val="Notices"/>
        <w:jc w:val="both"/>
        <w:rPr>
          <w:rStyle w:val="TableText"/>
        </w:rPr>
      </w:pPr>
    </w:p>
    <w:p w14:paraId="6D3FA3D4" w14:textId="77777777" w:rsidR="00370B58" w:rsidRDefault="00370B58" w:rsidP="00370B58">
      <w:pPr>
        <w:pStyle w:val="Notices"/>
        <w:jc w:val="both"/>
        <w:rPr>
          <w:rStyle w:val="TableText"/>
        </w:rPr>
      </w:pPr>
    </w:p>
    <w:p w14:paraId="6D3FA3D5" w14:textId="77777777" w:rsidR="00370B58" w:rsidRPr="00774811" w:rsidRDefault="00370B58" w:rsidP="00370B58">
      <w:pPr>
        <w:jc w:val="both"/>
        <w:rPr>
          <w:sz w:val="18"/>
        </w:rPr>
      </w:pPr>
    </w:p>
    <w:p w14:paraId="6D3FA3D6" w14:textId="77777777" w:rsidR="00370B58" w:rsidRPr="002C1A23" w:rsidRDefault="00370B58" w:rsidP="00370B58">
      <w:pPr>
        <w:pStyle w:val="ContentsTitle"/>
        <w:jc w:val="both"/>
        <w:rPr>
          <w:lang w:bidi="ar-SA"/>
        </w:rPr>
      </w:pPr>
      <w:r w:rsidRPr="002C1A23">
        <w:rPr>
          <w:lang w:bidi="ar-SA"/>
        </w:rPr>
        <w:t>Table of Contents</w:t>
      </w:r>
    </w:p>
    <w:p w14:paraId="6D3FA3D7" w14:textId="77777777" w:rsidR="00370B58" w:rsidRPr="00774811" w:rsidRDefault="00370B58" w:rsidP="00370B58">
      <w:pPr>
        <w:jc w:val="both"/>
        <w:rPr>
          <w:highlight w:val="yellow"/>
          <w:lang w:bidi="ar-SA"/>
        </w:rPr>
      </w:pPr>
    </w:p>
    <w:p w14:paraId="1EEA2D61" w14:textId="77777777" w:rsidR="00C71EA9" w:rsidRDefault="00C8011C">
      <w:pPr>
        <w:pStyle w:val="TOC1"/>
        <w:rPr>
          <w:rFonts w:asciiTheme="minorHAnsi" w:eastAsiaTheme="minorEastAsia" w:hAnsiTheme="minorHAnsi" w:cstheme="minorBidi"/>
          <w:lang w:eastAsia="en-GB" w:bidi="ar-SA"/>
        </w:rPr>
      </w:pPr>
      <w:r w:rsidRPr="00774811">
        <w:rPr>
          <w:sz w:val="48"/>
          <w:szCs w:val="48"/>
          <w:highlight w:val="yellow"/>
          <w:lang w:bidi="ar-SA"/>
        </w:rPr>
        <w:fldChar w:fldCharType="begin"/>
      </w:r>
      <w:r w:rsidR="00370B58" w:rsidRPr="00774811">
        <w:rPr>
          <w:sz w:val="48"/>
          <w:szCs w:val="48"/>
          <w:highlight w:val="yellow"/>
          <w:lang w:bidi="ar-SA"/>
        </w:rPr>
        <w:instrText xml:space="preserve"> TOC \o "1-3" \h \z \u </w:instrText>
      </w:r>
      <w:r w:rsidRPr="00774811">
        <w:rPr>
          <w:sz w:val="48"/>
          <w:szCs w:val="48"/>
          <w:highlight w:val="yellow"/>
          <w:lang w:bidi="ar-SA"/>
        </w:rPr>
        <w:fldChar w:fldCharType="separate"/>
      </w:r>
      <w:hyperlink w:anchor="_Toc9515116" w:history="1">
        <w:r w:rsidR="00C71EA9" w:rsidRPr="008D2184">
          <w:rPr>
            <w:rStyle w:val="Hyperlink"/>
          </w:rPr>
          <w:t>1</w:t>
        </w:r>
        <w:r w:rsidR="00C71EA9">
          <w:rPr>
            <w:rFonts w:asciiTheme="minorHAnsi" w:eastAsiaTheme="minorEastAsia" w:hAnsiTheme="minorHAnsi" w:cstheme="minorBidi"/>
            <w:lang w:eastAsia="en-GB" w:bidi="ar-SA"/>
          </w:rPr>
          <w:tab/>
        </w:r>
        <w:r w:rsidR="00C71EA9" w:rsidRPr="008D2184">
          <w:rPr>
            <w:rStyle w:val="Hyperlink"/>
          </w:rPr>
          <w:t>Programme of Work and System Update</w:t>
        </w:r>
        <w:r w:rsidR="00C71EA9">
          <w:rPr>
            <w:webHidden/>
          </w:rPr>
          <w:tab/>
        </w:r>
        <w:r w:rsidR="00C71EA9">
          <w:rPr>
            <w:webHidden/>
          </w:rPr>
          <w:fldChar w:fldCharType="begin"/>
        </w:r>
        <w:r w:rsidR="00C71EA9">
          <w:rPr>
            <w:webHidden/>
          </w:rPr>
          <w:instrText xml:space="preserve"> PAGEREF _Toc9515116 \h </w:instrText>
        </w:r>
        <w:r w:rsidR="00C71EA9">
          <w:rPr>
            <w:webHidden/>
          </w:rPr>
        </w:r>
        <w:r w:rsidR="00C71EA9">
          <w:rPr>
            <w:webHidden/>
          </w:rPr>
          <w:fldChar w:fldCharType="separate"/>
        </w:r>
        <w:r w:rsidR="00C71EA9">
          <w:rPr>
            <w:webHidden/>
          </w:rPr>
          <w:t>4</w:t>
        </w:r>
        <w:r w:rsidR="00C71EA9">
          <w:rPr>
            <w:webHidden/>
          </w:rPr>
          <w:fldChar w:fldCharType="end"/>
        </w:r>
      </w:hyperlink>
    </w:p>
    <w:p w14:paraId="18DBB304" w14:textId="77777777" w:rsidR="00C71EA9" w:rsidRDefault="00D03DBE">
      <w:pPr>
        <w:pStyle w:val="TOC1"/>
        <w:rPr>
          <w:rFonts w:asciiTheme="minorHAnsi" w:eastAsiaTheme="minorEastAsia" w:hAnsiTheme="minorHAnsi" w:cstheme="minorBidi"/>
          <w:lang w:eastAsia="en-GB" w:bidi="ar-SA"/>
        </w:rPr>
      </w:pPr>
      <w:hyperlink w:anchor="_Toc9515117" w:history="1">
        <w:r w:rsidR="00C71EA9" w:rsidRPr="008D2184">
          <w:rPr>
            <w:rStyle w:val="Hyperlink"/>
          </w:rPr>
          <w:t>2</w:t>
        </w:r>
        <w:r w:rsidR="00C71EA9">
          <w:rPr>
            <w:rFonts w:asciiTheme="minorHAnsi" w:eastAsiaTheme="minorEastAsia" w:hAnsiTheme="minorHAnsi" w:cstheme="minorBidi"/>
            <w:lang w:eastAsia="en-GB" w:bidi="ar-SA"/>
          </w:rPr>
          <w:tab/>
        </w:r>
        <w:r w:rsidR="00C71EA9" w:rsidRPr="008D2184">
          <w:rPr>
            <w:rStyle w:val="Hyperlink"/>
          </w:rPr>
          <w:t>Modification Proposals</w:t>
        </w:r>
        <w:r w:rsidR="00C71EA9">
          <w:rPr>
            <w:webHidden/>
          </w:rPr>
          <w:tab/>
        </w:r>
        <w:r w:rsidR="00C71EA9">
          <w:rPr>
            <w:webHidden/>
          </w:rPr>
          <w:fldChar w:fldCharType="begin"/>
        </w:r>
        <w:r w:rsidR="00C71EA9">
          <w:rPr>
            <w:webHidden/>
          </w:rPr>
          <w:instrText xml:space="preserve"> PAGEREF _Toc9515117 \h </w:instrText>
        </w:r>
        <w:r w:rsidR="00C71EA9">
          <w:rPr>
            <w:webHidden/>
          </w:rPr>
        </w:r>
        <w:r w:rsidR="00C71EA9">
          <w:rPr>
            <w:webHidden/>
          </w:rPr>
          <w:fldChar w:fldCharType="separate"/>
        </w:r>
        <w:r w:rsidR="00C71EA9">
          <w:rPr>
            <w:webHidden/>
          </w:rPr>
          <w:t>5</w:t>
        </w:r>
        <w:r w:rsidR="00C71EA9">
          <w:rPr>
            <w:webHidden/>
          </w:rPr>
          <w:fldChar w:fldCharType="end"/>
        </w:r>
      </w:hyperlink>
    </w:p>
    <w:p w14:paraId="3F6F4C96" w14:textId="77777777" w:rsidR="00C71EA9" w:rsidRDefault="00D03DBE">
      <w:pPr>
        <w:pStyle w:val="TOC2"/>
        <w:rPr>
          <w:rFonts w:asciiTheme="minorHAnsi" w:eastAsiaTheme="minorEastAsia" w:hAnsiTheme="minorHAnsi" w:cstheme="minorBidi"/>
          <w:sz w:val="22"/>
          <w:szCs w:val="22"/>
          <w:lang w:eastAsia="en-GB" w:bidi="ar-SA"/>
        </w:rPr>
      </w:pPr>
      <w:hyperlink w:anchor="_Toc9515118" w:history="1">
        <w:r w:rsidR="00C71EA9" w:rsidRPr="008D2184">
          <w:rPr>
            <w:rStyle w:val="Hyperlink"/>
          </w:rPr>
          <w:t>2.1</w:t>
        </w:r>
        <w:r w:rsidR="00C71EA9">
          <w:rPr>
            <w:rFonts w:asciiTheme="minorHAnsi" w:eastAsiaTheme="minorEastAsia" w:hAnsiTheme="minorHAnsi" w:cstheme="minorBidi"/>
            <w:sz w:val="22"/>
            <w:szCs w:val="22"/>
            <w:lang w:eastAsia="en-GB" w:bidi="ar-SA"/>
          </w:rPr>
          <w:tab/>
        </w:r>
        <w:r w:rsidR="00C71EA9" w:rsidRPr="008D2184">
          <w:rPr>
            <w:rStyle w:val="Hyperlink"/>
          </w:rPr>
          <w:t>CMC_05_19 Housekeeping changes</w:t>
        </w:r>
        <w:r w:rsidR="00C71EA9">
          <w:rPr>
            <w:webHidden/>
          </w:rPr>
          <w:tab/>
        </w:r>
        <w:r w:rsidR="00C71EA9">
          <w:rPr>
            <w:webHidden/>
          </w:rPr>
          <w:fldChar w:fldCharType="begin"/>
        </w:r>
        <w:r w:rsidR="00C71EA9">
          <w:rPr>
            <w:webHidden/>
          </w:rPr>
          <w:instrText xml:space="preserve"> PAGEREF _Toc9515118 \h </w:instrText>
        </w:r>
        <w:r w:rsidR="00C71EA9">
          <w:rPr>
            <w:webHidden/>
          </w:rPr>
        </w:r>
        <w:r w:rsidR="00C71EA9">
          <w:rPr>
            <w:webHidden/>
          </w:rPr>
          <w:fldChar w:fldCharType="separate"/>
        </w:r>
        <w:r w:rsidR="00C71EA9">
          <w:rPr>
            <w:webHidden/>
          </w:rPr>
          <w:t>5</w:t>
        </w:r>
        <w:r w:rsidR="00C71EA9">
          <w:rPr>
            <w:webHidden/>
          </w:rPr>
          <w:fldChar w:fldCharType="end"/>
        </w:r>
      </w:hyperlink>
    </w:p>
    <w:p w14:paraId="2BD9EFCF" w14:textId="77777777" w:rsidR="00C71EA9" w:rsidRDefault="00D03DBE">
      <w:pPr>
        <w:pStyle w:val="TOC2"/>
        <w:rPr>
          <w:rFonts w:asciiTheme="minorHAnsi" w:eastAsiaTheme="minorEastAsia" w:hAnsiTheme="minorHAnsi" w:cstheme="minorBidi"/>
          <w:sz w:val="22"/>
          <w:szCs w:val="22"/>
          <w:lang w:eastAsia="en-GB" w:bidi="ar-SA"/>
        </w:rPr>
      </w:pPr>
      <w:hyperlink w:anchor="_Toc9515119" w:history="1">
        <w:r w:rsidR="00C71EA9" w:rsidRPr="008D2184">
          <w:rPr>
            <w:rStyle w:val="Hyperlink"/>
          </w:rPr>
          <w:t>2.2</w:t>
        </w:r>
        <w:r w:rsidR="00C71EA9">
          <w:rPr>
            <w:rFonts w:asciiTheme="minorHAnsi" w:eastAsiaTheme="minorEastAsia" w:hAnsiTheme="minorHAnsi" w:cstheme="minorBidi"/>
            <w:sz w:val="22"/>
            <w:szCs w:val="22"/>
            <w:lang w:eastAsia="en-GB" w:bidi="ar-SA"/>
          </w:rPr>
          <w:tab/>
        </w:r>
        <w:r w:rsidR="00C71EA9" w:rsidRPr="008D2184">
          <w:rPr>
            <w:rStyle w:val="Hyperlink"/>
          </w:rPr>
          <w:t>CMC_06_19 modification to the proportion of deleivered capacity calculation</w:t>
        </w:r>
        <w:r w:rsidR="00C71EA9">
          <w:rPr>
            <w:webHidden/>
          </w:rPr>
          <w:tab/>
        </w:r>
        <w:r w:rsidR="00C71EA9">
          <w:rPr>
            <w:webHidden/>
          </w:rPr>
          <w:fldChar w:fldCharType="begin"/>
        </w:r>
        <w:r w:rsidR="00C71EA9">
          <w:rPr>
            <w:webHidden/>
          </w:rPr>
          <w:instrText xml:space="preserve"> PAGEREF _Toc9515119 \h </w:instrText>
        </w:r>
        <w:r w:rsidR="00C71EA9">
          <w:rPr>
            <w:webHidden/>
          </w:rPr>
        </w:r>
        <w:r w:rsidR="00C71EA9">
          <w:rPr>
            <w:webHidden/>
          </w:rPr>
          <w:fldChar w:fldCharType="separate"/>
        </w:r>
        <w:r w:rsidR="00C71EA9">
          <w:rPr>
            <w:webHidden/>
          </w:rPr>
          <w:t>5</w:t>
        </w:r>
        <w:r w:rsidR="00C71EA9">
          <w:rPr>
            <w:webHidden/>
          </w:rPr>
          <w:fldChar w:fldCharType="end"/>
        </w:r>
      </w:hyperlink>
    </w:p>
    <w:p w14:paraId="62D19F74" w14:textId="77777777" w:rsidR="00C71EA9" w:rsidRDefault="00D03DBE">
      <w:pPr>
        <w:pStyle w:val="TOC1"/>
        <w:rPr>
          <w:rFonts w:asciiTheme="minorHAnsi" w:eastAsiaTheme="minorEastAsia" w:hAnsiTheme="minorHAnsi" w:cstheme="minorBidi"/>
          <w:lang w:eastAsia="en-GB" w:bidi="ar-SA"/>
        </w:rPr>
      </w:pPr>
      <w:hyperlink w:anchor="_Toc9515120" w:history="1">
        <w:r w:rsidR="00C71EA9" w:rsidRPr="008D2184">
          <w:rPr>
            <w:rStyle w:val="Hyperlink"/>
          </w:rPr>
          <w:t>3</w:t>
        </w:r>
        <w:r w:rsidR="00C71EA9">
          <w:rPr>
            <w:rFonts w:asciiTheme="minorHAnsi" w:eastAsiaTheme="minorEastAsia" w:hAnsiTheme="minorHAnsi" w:cstheme="minorBidi"/>
            <w:lang w:eastAsia="en-GB" w:bidi="ar-SA"/>
          </w:rPr>
          <w:tab/>
        </w:r>
        <w:r w:rsidR="00C71EA9" w:rsidRPr="008D2184">
          <w:rPr>
            <w:rStyle w:val="Hyperlink"/>
          </w:rPr>
          <w:t>AOB</w:t>
        </w:r>
        <w:r w:rsidR="00C71EA9">
          <w:rPr>
            <w:webHidden/>
          </w:rPr>
          <w:tab/>
        </w:r>
        <w:r w:rsidR="00C71EA9">
          <w:rPr>
            <w:webHidden/>
          </w:rPr>
          <w:fldChar w:fldCharType="begin"/>
        </w:r>
        <w:r w:rsidR="00C71EA9">
          <w:rPr>
            <w:webHidden/>
          </w:rPr>
          <w:instrText xml:space="preserve"> PAGEREF _Toc9515120 \h </w:instrText>
        </w:r>
        <w:r w:rsidR="00C71EA9">
          <w:rPr>
            <w:webHidden/>
          </w:rPr>
        </w:r>
        <w:r w:rsidR="00C71EA9">
          <w:rPr>
            <w:webHidden/>
          </w:rPr>
          <w:fldChar w:fldCharType="separate"/>
        </w:r>
        <w:r w:rsidR="00C71EA9">
          <w:rPr>
            <w:webHidden/>
          </w:rPr>
          <w:t>6</w:t>
        </w:r>
        <w:r w:rsidR="00C71EA9">
          <w:rPr>
            <w:webHidden/>
          </w:rPr>
          <w:fldChar w:fldCharType="end"/>
        </w:r>
      </w:hyperlink>
    </w:p>
    <w:p w14:paraId="1EDF1B61" w14:textId="77777777" w:rsidR="00C71EA9" w:rsidRDefault="00D03DBE">
      <w:pPr>
        <w:pStyle w:val="TOC2"/>
        <w:rPr>
          <w:rFonts w:asciiTheme="minorHAnsi" w:eastAsiaTheme="minorEastAsia" w:hAnsiTheme="minorHAnsi" w:cstheme="minorBidi"/>
          <w:sz w:val="22"/>
          <w:szCs w:val="22"/>
          <w:lang w:eastAsia="en-GB" w:bidi="ar-SA"/>
        </w:rPr>
      </w:pPr>
      <w:hyperlink w:anchor="_Toc9515121" w:history="1">
        <w:r w:rsidR="00C71EA9" w:rsidRPr="008D2184">
          <w:rPr>
            <w:rStyle w:val="Hyperlink"/>
          </w:rPr>
          <w:t>3.1</w:t>
        </w:r>
        <w:r w:rsidR="00C71EA9">
          <w:rPr>
            <w:rFonts w:asciiTheme="minorHAnsi" w:eastAsiaTheme="minorEastAsia" w:hAnsiTheme="minorHAnsi" w:cstheme="minorBidi"/>
            <w:sz w:val="22"/>
            <w:szCs w:val="22"/>
            <w:lang w:eastAsia="en-GB" w:bidi="ar-SA"/>
          </w:rPr>
          <w:tab/>
        </w:r>
        <w:r w:rsidR="00C71EA9" w:rsidRPr="008D2184">
          <w:rPr>
            <w:rStyle w:val="Hyperlink"/>
          </w:rPr>
          <w:t>NEXT STEPS</w:t>
        </w:r>
        <w:r w:rsidR="00C71EA9">
          <w:rPr>
            <w:webHidden/>
          </w:rPr>
          <w:tab/>
        </w:r>
        <w:r w:rsidR="00C71EA9">
          <w:rPr>
            <w:webHidden/>
          </w:rPr>
          <w:fldChar w:fldCharType="begin"/>
        </w:r>
        <w:r w:rsidR="00C71EA9">
          <w:rPr>
            <w:webHidden/>
          </w:rPr>
          <w:instrText xml:space="preserve"> PAGEREF _Toc9515121 \h </w:instrText>
        </w:r>
        <w:r w:rsidR="00C71EA9">
          <w:rPr>
            <w:webHidden/>
          </w:rPr>
        </w:r>
        <w:r w:rsidR="00C71EA9">
          <w:rPr>
            <w:webHidden/>
          </w:rPr>
          <w:fldChar w:fldCharType="separate"/>
        </w:r>
        <w:r w:rsidR="00C71EA9">
          <w:rPr>
            <w:webHidden/>
          </w:rPr>
          <w:t>6</w:t>
        </w:r>
        <w:r w:rsidR="00C71EA9">
          <w:rPr>
            <w:webHidden/>
          </w:rPr>
          <w:fldChar w:fldCharType="end"/>
        </w:r>
      </w:hyperlink>
    </w:p>
    <w:p w14:paraId="702A23D7" w14:textId="77777777" w:rsidR="00C71EA9" w:rsidRDefault="00D03DBE">
      <w:pPr>
        <w:pStyle w:val="TOC1"/>
        <w:rPr>
          <w:rFonts w:asciiTheme="minorHAnsi" w:eastAsiaTheme="minorEastAsia" w:hAnsiTheme="minorHAnsi" w:cstheme="minorBidi"/>
          <w:lang w:eastAsia="en-GB" w:bidi="ar-SA"/>
        </w:rPr>
      </w:pPr>
      <w:hyperlink w:anchor="_Toc9515122" w:history="1">
        <w:r w:rsidR="00C71EA9" w:rsidRPr="008D2184">
          <w:rPr>
            <w:rStyle w:val="Hyperlink"/>
          </w:rPr>
          <w:t>Appendix 1 – Programme of work as discussed at Working Group 6</w:t>
        </w:r>
        <w:r w:rsidR="00C71EA9">
          <w:rPr>
            <w:webHidden/>
          </w:rPr>
          <w:tab/>
        </w:r>
        <w:r w:rsidR="00C71EA9">
          <w:rPr>
            <w:webHidden/>
          </w:rPr>
          <w:fldChar w:fldCharType="begin"/>
        </w:r>
        <w:r w:rsidR="00C71EA9">
          <w:rPr>
            <w:webHidden/>
          </w:rPr>
          <w:instrText xml:space="preserve"> PAGEREF _Toc9515122 \h </w:instrText>
        </w:r>
        <w:r w:rsidR="00C71EA9">
          <w:rPr>
            <w:webHidden/>
          </w:rPr>
        </w:r>
        <w:r w:rsidR="00C71EA9">
          <w:rPr>
            <w:webHidden/>
          </w:rPr>
          <w:fldChar w:fldCharType="separate"/>
        </w:r>
        <w:r w:rsidR="00C71EA9">
          <w:rPr>
            <w:webHidden/>
          </w:rPr>
          <w:t>7</w:t>
        </w:r>
        <w:r w:rsidR="00C71EA9">
          <w:rPr>
            <w:webHidden/>
          </w:rPr>
          <w:fldChar w:fldCharType="end"/>
        </w:r>
      </w:hyperlink>
    </w:p>
    <w:p w14:paraId="6D3FA3E1" w14:textId="77777777" w:rsidR="00370B58" w:rsidRPr="00EA0CB1" w:rsidRDefault="00C8011C" w:rsidP="00370B58">
      <w:pPr>
        <w:pStyle w:val="TOC1"/>
        <w:ind w:left="0" w:firstLine="0"/>
        <w:rPr>
          <w:rFonts w:ascii="Calibri" w:hAnsi="Calibri"/>
          <w:highlight w:val="yellow"/>
          <w:lang w:val="en-IE" w:eastAsia="en-IE" w:bidi="ar-SA"/>
        </w:rPr>
      </w:pPr>
      <w:r w:rsidRPr="00774811">
        <w:rPr>
          <w:highlight w:val="yellow"/>
          <w:lang w:bidi="ar-SA"/>
        </w:rPr>
        <w:fldChar w:fldCharType="end"/>
      </w:r>
    </w:p>
    <w:p w14:paraId="6D3FA3E2" w14:textId="77777777" w:rsidR="00370B58" w:rsidRPr="00827667" w:rsidRDefault="00370B58" w:rsidP="00370B58">
      <w:pPr>
        <w:jc w:val="both"/>
        <w:rPr>
          <w:noProof/>
          <w:lang w:bidi="ar-SA"/>
        </w:rPr>
      </w:pPr>
      <w:r>
        <w:rPr>
          <w:noProof/>
          <w:highlight w:val="yellow"/>
          <w:lang w:bidi="ar-SA"/>
        </w:rPr>
        <w:br w:type="page"/>
      </w:r>
    </w:p>
    <w:p w14:paraId="6D3FA3E3" w14:textId="77777777" w:rsidR="00370B58" w:rsidRDefault="00370B58" w:rsidP="00370B58">
      <w:pPr>
        <w:pStyle w:val="UntitledHeading"/>
        <w:jc w:val="both"/>
      </w:pPr>
    </w:p>
    <w:p w14:paraId="6D3FA3E4" w14:textId="77777777" w:rsidR="00370B58" w:rsidRPr="00827667" w:rsidRDefault="00370B58" w:rsidP="00370B58">
      <w:pPr>
        <w:pStyle w:val="UntitledHeading"/>
        <w:jc w:val="both"/>
      </w:pPr>
      <w:r w:rsidRPr="00827667">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429"/>
        <w:gridCol w:w="2384"/>
        <w:gridCol w:w="4986"/>
      </w:tblGrid>
      <w:tr w:rsidR="00370B58" w:rsidRPr="00827667" w14:paraId="6D3FA3E9" w14:textId="77777777" w:rsidTr="003E6E57">
        <w:trPr>
          <w:trHeight w:val="300"/>
        </w:trPr>
        <w:tc>
          <w:tcPr>
            <w:tcW w:w="486" w:type="pct"/>
            <w:shd w:val="pct15" w:color="auto" w:fill="FFFFFF"/>
          </w:tcPr>
          <w:p w14:paraId="6D3FA3E5" w14:textId="77777777" w:rsidR="00370B58" w:rsidRPr="00D535F5" w:rsidRDefault="00370B58" w:rsidP="003E6E57">
            <w:pPr>
              <w:spacing w:before="0" w:after="0"/>
              <w:jc w:val="both"/>
              <w:rPr>
                <w:rStyle w:val="TableText"/>
                <w:b/>
                <w:bCs/>
              </w:rPr>
            </w:pPr>
            <w:r w:rsidRPr="00D535F5">
              <w:rPr>
                <w:rStyle w:val="TableText"/>
                <w:b/>
                <w:bCs/>
              </w:rPr>
              <w:t>Version</w:t>
            </w:r>
          </w:p>
        </w:tc>
        <w:tc>
          <w:tcPr>
            <w:tcW w:w="733" w:type="pct"/>
            <w:shd w:val="pct15" w:color="auto" w:fill="FFFFFF"/>
          </w:tcPr>
          <w:p w14:paraId="6D3FA3E6" w14:textId="77777777" w:rsidR="00370B58" w:rsidRPr="00D535F5" w:rsidRDefault="00370B58" w:rsidP="003E6E57">
            <w:pPr>
              <w:spacing w:before="0" w:after="0"/>
              <w:jc w:val="both"/>
              <w:rPr>
                <w:rStyle w:val="TableText"/>
                <w:b/>
                <w:bCs/>
              </w:rPr>
            </w:pPr>
            <w:r w:rsidRPr="00D535F5">
              <w:rPr>
                <w:rStyle w:val="TableText"/>
                <w:b/>
                <w:bCs/>
              </w:rPr>
              <w:t>Date</w:t>
            </w:r>
          </w:p>
        </w:tc>
        <w:tc>
          <w:tcPr>
            <w:tcW w:w="1223" w:type="pct"/>
            <w:shd w:val="pct15" w:color="auto" w:fill="FFFFFF"/>
          </w:tcPr>
          <w:p w14:paraId="6D3FA3E7" w14:textId="77777777" w:rsidR="00370B58" w:rsidRPr="00D535F5" w:rsidRDefault="00370B58" w:rsidP="003E6E57">
            <w:pPr>
              <w:spacing w:before="0" w:after="0"/>
              <w:jc w:val="both"/>
              <w:rPr>
                <w:rStyle w:val="TableText"/>
                <w:b/>
                <w:bCs/>
              </w:rPr>
            </w:pPr>
            <w:r w:rsidRPr="00D535F5">
              <w:rPr>
                <w:rStyle w:val="TableText"/>
                <w:b/>
                <w:bCs/>
              </w:rPr>
              <w:t>Author</w:t>
            </w:r>
          </w:p>
        </w:tc>
        <w:tc>
          <w:tcPr>
            <w:tcW w:w="2558" w:type="pct"/>
            <w:shd w:val="pct15" w:color="auto" w:fill="FFFFFF"/>
          </w:tcPr>
          <w:p w14:paraId="6D3FA3E8" w14:textId="77777777" w:rsidR="00370B58" w:rsidRPr="00D535F5" w:rsidRDefault="00370B58" w:rsidP="003E6E57">
            <w:pPr>
              <w:spacing w:before="0" w:after="0"/>
              <w:jc w:val="both"/>
              <w:rPr>
                <w:rStyle w:val="TableText"/>
                <w:b/>
                <w:bCs/>
              </w:rPr>
            </w:pPr>
            <w:r w:rsidRPr="00D535F5">
              <w:rPr>
                <w:rStyle w:val="TableText"/>
                <w:b/>
                <w:bCs/>
              </w:rPr>
              <w:t>Comment</w:t>
            </w:r>
          </w:p>
        </w:tc>
      </w:tr>
      <w:tr w:rsidR="00370B58" w:rsidRPr="00785B6A" w14:paraId="6D3FA3EE" w14:textId="77777777" w:rsidTr="003E6E57">
        <w:trPr>
          <w:trHeight w:val="300"/>
        </w:trPr>
        <w:tc>
          <w:tcPr>
            <w:tcW w:w="486" w:type="pct"/>
          </w:tcPr>
          <w:p w14:paraId="6D3FA3EA" w14:textId="77777777" w:rsidR="00370B58" w:rsidRPr="00D64132" w:rsidRDefault="00370B58" w:rsidP="003E6E57">
            <w:pPr>
              <w:spacing w:before="0" w:after="0"/>
              <w:jc w:val="both"/>
              <w:rPr>
                <w:rStyle w:val="TableText"/>
              </w:rPr>
            </w:pPr>
            <w:r w:rsidRPr="00D64132">
              <w:rPr>
                <w:rStyle w:val="TableText"/>
              </w:rPr>
              <w:t>1.0</w:t>
            </w:r>
          </w:p>
        </w:tc>
        <w:tc>
          <w:tcPr>
            <w:tcW w:w="733" w:type="pct"/>
          </w:tcPr>
          <w:p w14:paraId="6D3FA3EB" w14:textId="73D49FFE" w:rsidR="00370B58" w:rsidRPr="00D64132" w:rsidRDefault="00320C4B" w:rsidP="003E6E57">
            <w:pPr>
              <w:spacing w:before="0" w:after="0"/>
              <w:jc w:val="both"/>
              <w:rPr>
                <w:rStyle w:val="TableText"/>
              </w:rPr>
            </w:pPr>
            <w:r>
              <w:rPr>
                <w:rStyle w:val="TableText"/>
              </w:rPr>
              <w:t>07 June 2019</w:t>
            </w:r>
          </w:p>
        </w:tc>
        <w:tc>
          <w:tcPr>
            <w:tcW w:w="1223" w:type="pct"/>
          </w:tcPr>
          <w:p w14:paraId="6D3FA3EC" w14:textId="77777777" w:rsidR="00370B58" w:rsidRPr="00D64132" w:rsidRDefault="00370B58" w:rsidP="003E6E57">
            <w:pPr>
              <w:spacing w:before="0" w:after="0"/>
              <w:jc w:val="both"/>
              <w:rPr>
                <w:rStyle w:val="TableText"/>
              </w:rPr>
            </w:pPr>
            <w:r>
              <w:rPr>
                <w:rStyle w:val="TableText"/>
              </w:rPr>
              <w:t>Market Modifications Team</w:t>
            </w:r>
          </w:p>
        </w:tc>
        <w:tc>
          <w:tcPr>
            <w:tcW w:w="2558" w:type="pct"/>
          </w:tcPr>
          <w:p w14:paraId="6D3FA3ED" w14:textId="77777777" w:rsidR="00370B58" w:rsidRPr="00D64132" w:rsidRDefault="00370B58" w:rsidP="003E6E57">
            <w:pPr>
              <w:spacing w:before="0" w:after="0"/>
              <w:jc w:val="both"/>
              <w:rPr>
                <w:rStyle w:val="TableText"/>
              </w:rPr>
            </w:pPr>
            <w:r>
              <w:rPr>
                <w:rStyle w:val="TableText"/>
              </w:rPr>
              <w:t>Drafting including all working group comments received following meeting</w:t>
            </w:r>
          </w:p>
        </w:tc>
      </w:tr>
      <w:tr w:rsidR="00370B58" w:rsidRPr="00785B6A" w14:paraId="6D3FA3F3" w14:textId="77777777" w:rsidTr="003E6E57">
        <w:trPr>
          <w:trHeight w:val="300"/>
        </w:trPr>
        <w:tc>
          <w:tcPr>
            <w:tcW w:w="486" w:type="pct"/>
            <w:shd w:val="clear" w:color="auto" w:fill="FFFFFF" w:themeFill="background1"/>
          </w:tcPr>
          <w:p w14:paraId="6D3FA3EF" w14:textId="19D50C5A" w:rsidR="00370B58" w:rsidRPr="004B060F" w:rsidRDefault="00320C4B" w:rsidP="003E6E57">
            <w:pPr>
              <w:spacing w:before="0" w:after="0"/>
              <w:jc w:val="both"/>
              <w:rPr>
                <w:rStyle w:val="TableText"/>
                <w:highlight w:val="yellow"/>
              </w:rPr>
            </w:pPr>
            <w:r>
              <w:rPr>
                <w:rStyle w:val="TableText"/>
              </w:rPr>
              <w:t>2.0</w:t>
            </w:r>
          </w:p>
        </w:tc>
        <w:tc>
          <w:tcPr>
            <w:tcW w:w="733" w:type="pct"/>
            <w:shd w:val="clear" w:color="auto" w:fill="FFFFFF" w:themeFill="background1"/>
          </w:tcPr>
          <w:p w14:paraId="6D3FA3F0" w14:textId="77777777" w:rsidR="00370B58" w:rsidRPr="004B060F" w:rsidRDefault="00370B58" w:rsidP="003E6E57">
            <w:pPr>
              <w:spacing w:before="0" w:after="0"/>
              <w:jc w:val="both"/>
              <w:rPr>
                <w:rStyle w:val="TableText"/>
                <w:highlight w:val="yellow"/>
              </w:rPr>
            </w:pPr>
          </w:p>
        </w:tc>
        <w:tc>
          <w:tcPr>
            <w:tcW w:w="1223" w:type="pct"/>
            <w:shd w:val="clear" w:color="auto" w:fill="FFFFFF" w:themeFill="background1"/>
          </w:tcPr>
          <w:p w14:paraId="6D3FA3F1" w14:textId="77777777" w:rsidR="00370B58" w:rsidRPr="00835D9B" w:rsidRDefault="00370B58" w:rsidP="003E6E57">
            <w:pPr>
              <w:spacing w:before="0" w:after="0"/>
              <w:jc w:val="both"/>
              <w:rPr>
                <w:rStyle w:val="TableText"/>
              </w:rPr>
            </w:pPr>
            <w:r>
              <w:rPr>
                <w:rStyle w:val="TableText"/>
              </w:rPr>
              <w:t>Attendee Review complete and document updated.</w:t>
            </w:r>
          </w:p>
        </w:tc>
        <w:tc>
          <w:tcPr>
            <w:tcW w:w="2558" w:type="pct"/>
            <w:shd w:val="clear" w:color="auto" w:fill="FFFFFF" w:themeFill="background1"/>
          </w:tcPr>
          <w:p w14:paraId="6D3FA3F2" w14:textId="77777777" w:rsidR="00370B58" w:rsidRPr="00835D9B" w:rsidRDefault="00370B58" w:rsidP="003E6E57">
            <w:pPr>
              <w:spacing w:before="0" w:after="0"/>
              <w:jc w:val="both"/>
              <w:rPr>
                <w:rStyle w:val="TableText"/>
              </w:rPr>
            </w:pPr>
            <w:r w:rsidRPr="00835D9B">
              <w:rPr>
                <w:rStyle w:val="TableText"/>
              </w:rPr>
              <w:t>Final draft published</w:t>
            </w:r>
          </w:p>
        </w:tc>
      </w:tr>
    </w:tbl>
    <w:p w14:paraId="6D3FA3F4" w14:textId="77777777" w:rsidR="00370B58" w:rsidRDefault="00370B58" w:rsidP="00370B58">
      <w:pPr>
        <w:pStyle w:val="UntitledHeading"/>
        <w:jc w:val="both"/>
      </w:pPr>
    </w:p>
    <w:p w14:paraId="6D3FA3F5" w14:textId="77777777" w:rsidR="00370B58" w:rsidRPr="00827667" w:rsidRDefault="00370B58" w:rsidP="00370B58">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370B58" w:rsidRPr="00785B6A" w14:paraId="6D3FA3F8" w14:textId="77777777" w:rsidTr="003E6E57">
        <w:tc>
          <w:tcPr>
            <w:tcW w:w="2500" w:type="pct"/>
            <w:shd w:val="clear" w:color="auto" w:fill="E6E6E6"/>
          </w:tcPr>
          <w:p w14:paraId="6D3FA3F6" w14:textId="77777777" w:rsidR="00370B58" w:rsidRPr="00635C53" w:rsidRDefault="00370B58" w:rsidP="003E6E57">
            <w:pPr>
              <w:spacing w:before="0" w:after="0"/>
              <w:jc w:val="both"/>
              <w:rPr>
                <w:rStyle w:val="TableText"/>
                <w:b/>
                <w:bCs/>
              </w:rPr>
            </w:pPr>
            <w:r w:rsidRPr="00635C53">
              <w:rPr>
                <w:rStyle w:val="TableText"/>
                <w:b/>
                <w:bCs/>
              </w:rPr>
              <w:t>Name</w:t>
            </w:r>
          </w:p>
        </w:tc>
        <w:tc>
          <w:tcPr>
            <w:tcW w:w="2500" w:type="pct"/>
            <w:shd w:val="clear" w:color="auto" w:fill="E6E6E6"/>
          </w:tcPr>
          <w:p w14:paraId="6D3FA3F7" w14:textId="77777777" w:rsidR="00370B58" w:rsidRPr="00635C53" w:rsidRDefault="00370B58" w:rsidP="003E6E57">
            <w:pPr>
              <w:spacing w:before="0" w:after="0"/>
              <w:jc w:val="both"/>
              <w:rPr>
                <w:rStyle w:val="TableText"/>
                <w:b/>
                <w:bCs/>
              </w:rPr>
            </w:pPr>
            <w:r w:rsidRPr="00635C53">
              <w:rPr>
                <w:rStyle w:val="TableText"/>
                <w:b/>
                <w:bCs/>
              </w:rPr>
              <w:t>Organisation</w:t>
            </w:r>
          </w:p>
        </w:tc>
      </w:tr>
      <w:tr w:rsidR="00370B58" w:rsidRPr="00785B6A" w14:paraId="6D3FA3FB" w14:textId="77777777" w:rsidTr="003E6E57">
        <w:tc>
          <w:tcPr>
            <w:tcW w:w="2500" w:type="pct"/>
          </w:tcPr>
          <w:p w14:paraId="6D3FA3F9" w14:textId="77777777" w:rsidR="00370B58" w:rsidRPr="00635C53" w:rsidRDefault="00370B58" w:rsidP="003E6E57">
            <w:pPr>
              <w:spacing w:before="0" w:after="0"/>
              <w:jc w:val="both"/>
              <w:rPr>
                <w:rStyle w:val="TableText"/>
              </w:rPr>
            </w:pPr>
            <w:r w:rsidRPr="00635C53">
              <w:rPr>
                <w:rStyle w:val="TableText"/>
              </w:rPr>
              <w:t>Working Group Attendees</w:t>
            </w:r>
          </w:p>
        </w:tc>
        <w:tc>
          <w:tcPr>
            <w:tcW w:w="2500" w:type="pct"/>
          </w:tcPr>
          <w:p w14:paraId="6D3FA3FA" w14:textId="77777777" w:rsidR="00370B58" w:rsidRPr="00635C53" w:rsidRDefault="00370B58" w:rsidP="003E6E57">
            <w:pPr>
              <w:spacing w:before="0" w:after="0"/>
              <w:jc w:val="both"/>
              <w:rPr>
                <w:rStyle w:val="TableText"/>
              </w:rPr>
            </w:pPr>
            <w:r w:rsidRPr="00635C53">
              <w:rPr>
                <w:rStyle w:val="TableText"/>
              </w:rPr>
              <w:t>Various</w:t>
            </w:r>
          </w:p>
        </w:tc>
      </w:tr>
    </w:tbl>
    <w:p w14:paraId="6D3FA3FC" w14:textId="77777777" w:rsidR="00370B58" w:rsidRDefault="00370B58" w:rsidP="00370B58">
      <w:pPr>
        <w:pStyle w:val="UntitledHeading"/>
        <w:jc w:val="both"/>
      </w:pPr>
    </w:p>
    <w:p w14:paraId="6D3FA3FD" w14:textId="77777777" w:rsidR="00370B58" w:rsidRPr="00635C53" w:rsidRDefault="00370B58" w:rsidP="00370B58">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70B58" w:rsidRPr="00785B6A" w14:paraId="6D3FA3FF" w14:textId="77777777" w:rsidTr="003E6E57">
        <w:tc>
          <w:tcPr>
            <w:tcW w:w="5000" w:type="pct"/>
            <w:shd w:val="clear" w:color="auto" w:fill="E6E6E6"/>
          </w:tcPr>
          <w:p w14:paraId="6D3FA3FE" w14:textId="77777777" w:rsidR="00370B58" w:rsidRPr="00635C53" w:rsidRDefault="00370B58" w:rsidP="003E6E57">
            <w:pPr>
              <w:spacing w:before="0" w:after="0"/>
              <w:jc w:val="both"/>
              <w:rPr>
                <w:rStyle w:val="TableText"/>
                <w:b/>
                <w:bCs/>
              </w:rPr>
            </w:pPr>
            <w:r w:rsidRPr="00635C53">
              <w:rPr>
                <w:rStyle w:val="TableText"/>
                <w:b/>
                <w:bCs/>
              </w:rPr>
              <w:t>Document Name</w:t>
            </w:r>
          </w:p>
        </w:tc>
      </w:tr>
      <w:tr w:rsidR="00370B58" w:rsidRPr="00785B6A" w14:paraId="6D3FA401" w14:textId="77777777" w:rsidTr="00475AA7">
        <w:tc>
          <w:tcPr>
            <w:tcW w:w="5000" w:type="pct"/>
          </w:tcPr>
          <w:p w14:paraId="460FEDC5" w14:textId="77777777" w:rsidR="00475AA7" w:rsidRPr="006E5988" w:rsidRDefault="00475AA7" w:rsidP="00475AA7">
            <w:pPr>
              <w:spacing w:before="0" w:after="0"/>
              <w:rPr>
                <w:rStyle w:val="Hyperlink"/>
                <w:rFonts w:ascii="Times New Roman" w:eastAsiaTheme="minorHAnsi" w:hAnsi="Times New Roman"/>
                <w:sz w:val="22"/>
                <w:szCs w:val="22"/>
                <w:lang w:bidi="ar-SA"/>
              </w:rPr>
            </w:pPr>
          </w:p>
          <w:p w14:paraId="6D3FA400" w14:textId="34E0244F" w:rsidR="00370B58" w:rsidRPr="006E5988" w:rsidRDefault="00D03DBE" w:rsidP="00475AA7">
            <w:pPr>
              <w:spacing w:before="0" w:after="0"/>
              <w:rPr>
                <w:rStyle w:val="Hyperlink"/>
                <w:rFonts w:ascii="Times New Roman" w:eastAsiaTheme="minorHAnsi" w:hAnsi="Times New Roman"/>
                <w:sz w:val="22"/>
                <w:szCs w:val="22"/>
                <w:lang w:bidi="ar-SA"/>
              </w:rPr>
            </w:pPr>
            <w:hyperlink r:id="rId14" w:history="1">
              <w:r w:rsidR="00370B58" w:rsidRPr="006E5988">
                <w:rPr>
                  <w:rStyle w:val="Hyperlink"/>
                  <w:rFonts w:ascii="Times New Roman" w:eastAsiaTheme="minorHAnsi" w:hAnsi="Times New Roman"/>
                  <w:sz w:val="22"/>
                  <w:szCs w:val="22"/>
                  <w:lang w:bidi="ar-SA"/>
                </w:rPr>
                <w:t>Capacity Market Code</w:t>
              </w:r>
            </w:hyperlink>
          </w:p>
        </w:tc>
      </w:tr>
      <w:tr w:rsidR="00370B58" w:rsidRPr="00785B6A" w14:paraId="6D3FA403" w14:textId="77777777" w:rsidTr="003E6E57">
        <w:tc>
          <w:tcPr>
            <w:tcW w:w="5000" w:type="pct"/>
            <w:vAlign w:val="center"/>
          </w:tcPr>
          <w:p w14:paraId="6D3FA402" w14:textId="2E35F30A" w:rsidR="000549F3" w:rsidRPr="006E5988" w:rsidRDefault="00D03DBE" w:rsidP="003E6E57">
            <w:pPr>
              <w:autoSpaceDE w:val="0"/>
              <w:autoSpaceDN w:val="0"/>
              <w:adjustRightInd w:val="0"/>
              <w:spacing w:line="240" w:lineRule="auto"/>
              <w:rPr>
                <w:rStyle w:val="Hyperlink"/>
                <w:rFonts w:eastAsiaTheme="minorHAnsi"/>
              </w:rPr>
            </w:pPr>
            <w:hyperlink r:id="rId15" w:history="1">
              <w:r w:rsidR="000549F3">
                <w:rPr>
                  <w:rStyle w:val="Hyperlink"/>
                  <w:rFonts w:ascii="Times New Roman" w:eastAsiaTheme="minorHAnsi" w:hAnsi="Times New Roman"/>
                  <w:sz w:val="22"/>
                  <w:szCs w:val="22"/>
                  <w:lang w:bidi="ar-SA"/>
                </w:rPr>
                <w:t>CMC_05_19 Housekeeping Changes</w:t>
              </w:r>
            </w:hyperlink>
          </w:p>
        </w:tc>
      </w:tr>
      <w:tr w:rsidR="0092509B" w:rsidRPr="00785B6A" w14:paraId="7E1E34A8" w14:textId="77777777" w:rsidTr="003E6E57">
        <w:tc>
          <w:tcPr>
            <w:tcW w:w="5000" w:type="pct"/>
            <w:vAlign w:val="center"/>
          </w:tcPr>
          <w:p w14:paraId="3D584364" w14:textId="216BA679" w:rsidR="0092509B" w:rsidRPr="006E5988" w:rsidRDefault="00D03DBE" w:rsidP="003E6E57">
            <w:pPr>
              <w:autoSpaceDE w:val="0"/>
              <w:autoSpaceDN w:val="0"/>
              <w:adjustRightInd w:val="0"/>
              <w:spacing w:line="240" w:lineRule="auto"/>
              <w:rPr>
                <w:rStyle w:val="Hyperlink"/>
                <w:rFonts w:ascii="Times New Roman" w:eastAsiaTheme="minorHAnsi" w:hAnsi="Times New Roman"/>
                <w:sz w:val="22"/>
                <w:szCs w:val="22"/>
                <w:lang w:bidi="ar-SA"/>
              </w:rPr>
            </w:pPr>
            <w:hyperlink r:id="rId16" w:history="1">
              <w:r w:rsidR="0092509B" w:rsidRPr="006E5988">
                <w:rPr>
                  <w:rStyle w:val="Hyperlink"/>
                  <w:rFonts w:ascii="Times New Roman" w:eastAsiaTheme="minorHAnsi" w:hAnsi="Times New Roman"/>
                  <w:sz w:val="22"/>
                  <w:szCs w:val="22"/>
                  <w:lang w:bidi="ar-SA"/>
                </w:rPr>
                <w:t>CMC_05_19 Presentation</w:t>
              </w:r>
            </w:hyperlink>
          </w:p>
        </w:tc>
      </w:tr>
      <w:tr w:rsidR="00370B58" w:rsidRPr="00785B6A" w14:paraId="6D3FA405" w14:textId="77777777" w:rsidTr="003E6E57">
        <w:tc>
          <w:tcPr>
            <w:tcW w:w="5000" w:type="pct"/>
            <w:vAlign w:val="center"/>
          </w:tcPr>
          <w:p w14:paraId="6D3FA404" w14:textId="64C59DD3" w:rsidR="000549F3" w:rsidRPr="006A513D" w:rsidRDefault="00D03DBE" w:rsidP="003E6E57">
            <w:pPr>
              <w:autoSpaceDE w:val="0"/>
              <w:autoSpaceDN w:val="0"/>
              <w:adjustRightInd w:val="0"/>
              <w:spacing w:line="240" w:lineRule="auto"/>
              <w:rPr>
                <w:rFonts w:ascii="Times New Roman" w:eastAsiaTheme="minorHAnsi" w:hAnsi="Times New Roman"/>
                <w:sz w:val="22"/>
                <w:szCs w:val="22"/>
                <w:lang w:bidi="ar-SA"/>
              </w:rPr>
            </w:pPr>
            <w:hyperlink r:id="rId17" w:history="1">
              <w:r w:rsidR="000549F3">
                <w:rPr>
                  <w:rStyle w:val="Hyperlink"/>
                  <w:rFonts w:ascii="Times New Roman" w:eastAsiaTheme="minorHAnsi" w:hAnsi="Times New Roman"/>
                  <w:sz w:val="22"/>
                  <w:szCs w:val="22"/>
                  <w:lang w:bidi="ar-SA"/>
                </w:rPr>
                <w:t>CMC_06_19 Modification to the Proportion of Delivered Capacity Calculation</w:t>
              </w:r>
            </w:hyperlink>
          </w:p>
        </w:tc>
      </w:tr>
      <w:tr w:rsidR="00370B58" w:rsidRPr="00785B6A" w14:paraId="6D3FA407" w14:textId="77777777" w:rsidTr="003E6E57">
        <w:tc>
          <w:tcPr>
            <w:tcW w:w="5000" w:type="pct"/>
            <w:vAlign w:val="center"/>
          </w:tcPr>
          <w:p w14:paraId="6D3FA406" w14:textId="4F19A18F" w:rsidR="00370B58" w:rsidRPr="006A513D" w:rsidRDefault="00370B58" w:rsidP="003E6E57">
            <w:pPr>
              <w:autoSpaceDE w:val="0"/>
              <w:autoSpaceDN w:val="0"/>
              <w:adjustRightInd w:val="0"/>
              <w:spacing w:line="240" w:lineRule="auto"/>
              <w:rPr>
                <w:rFonts w:ascii="Times New Roman" w:eastAsiaTheme="minorHAnsi" w:hAnsi="Times New Roman"/>
                <w:sz w:val="22"/>
                <w:szCs w:val="22"/>
                <w:lang w:bidi="ar-SA"/>
              </w:rPr>
            </w:pPr>
          </w:p>
        </w:tc>
      </w:tr>
      <w:tr w:rsidR="00E23970" w:rsidRPr="00785B6A" w14:paraId="6D3FA409" w14:textId="77777777" w:rsidTr="003E6E57">
        <w:tc>
          <w:tcPr>
            <w:tcW w:w="5000" w:type="pct"/>
            <w:vAlign w:val="center"/>
          </w:tcPr>
          <w:p w14:paraId="6D3FA408" w14:textId="2557C59D" w:rsidR="00E23970" w:rsidRPr="006A513D" w:rsidRDefault="00E23970" w:rsidP="003E6E57">
            <w:pPr>
              <w:autoSpaceDE w:val="0"/>
              <w:autoSpaceDN w:val="0"/>
              <w:adjustRightInd w:val="0"/>
              <w:spacing w:line="240" w:lineRule="auto"/>
              <w:rPr>
                <w:rFonts w:ascii="Times New Roman" w:eastAsiaTheme="minorHAnsi" w:hAnsi="Times New Roman"/>
                <w:sz w:val="22"/>
                <w:szCs w:val="22"/>
                <w:lang w:bidi="ar-SA"/>
              </w:rPr>
            </w:pPr>
          </w:p>
        </w:tc>
      </w:tr>
    </w:tbl>
    <w:p w14:paraId="6D3FA40A" w14:textId="77777777" w:rsidR="00370B58" w:rsidRDefault="00370B58" w:rsidP="00370B58">
      <w:pPr>
        <w:pStyle w:val="UntitledHeading"/>
        <w:jc w:val="both"/>
      </w:pPr>
    </w:p>
    <w:p w14:paraId="6D3FA40B" w14:textId="77777777" w:rsidR="00370B58" w:rsidRPr="00D473CE" w:rsidRDefault="00370B58" w:rsidP="00370B58">
      <w:pPr>
        <w:pStyle w:val="UntitledHeading"/>
        <w:jc w:val="both"/>
      </w:pPr>
      <w:r>
        <w:t>I</w:t>
      </w:r>
      <w:r w:rsidRPr="00632A47">
        <w:t>n Attendance</w:t>
      </w:r>
    </w:p>
    <w:tbl>
      <w:tblPr>
        <w:tblpPr w:leftFromText="180" w:rightFromText="180" w:vertAnchor="text"/>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928"/>
        <w:gridCol w:w="4819"/>
      </w:tblGrid>
      <w:tr w:rsidR="00370B58" w:rsidRPr="00D473CE" w14:paraId="6D3FA40E"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hideMark/>
          </w:tcPr>
          <w:p w14:paraId="6D3FA40C"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shd w:val="clear" w:color="auto" w:fill="FFFFFF" w:themeFill="background1"/>
            <w:noWrap/>
            <w:tcMar>
              <w:top w:w="0" w:type="dxa"/>
              <w:left w:w="108" w:type="dxa"/>
              <w:bottom w:w="0" w:type="dxa"/>
              <w:right w:w="108" w:type="dxa"/>
            </w:tcMar>
            <w:vAlign w:val="bottom"/>
            <w:hideMark/>
          </w:tcPr>
          <w:p w14:paraId="6D3FA40D"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370B58" w:rsidRPr="00D473CE" w14:paraId="6D3FA411"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0F" w14:textId="2E7577FD" w:rsidR="00370B58" w:rsidRPr="00D71963" w:rsidRDefault="00455825" w:rsidP="003E6E57">
            <w:pPr>
              <w:rPr>
                <w:rFonts w:cs="Arial"/>
              </w:rPr>
            </w:pPr>
            <w:r>
              <w:rPr>
                <w:rFonts w:cs="Arial"/>
              </w:rPr>
              <w:t>Cormac Daly</w:t>
            </w:r>
          </w:p>
        </w:tc>
        <w:tc>
          <w:tcPr>
            <w:tcW w:w="4819" w:type="dxa"/>
            <w:shd w:val="clear" w:color="auto" w:fill="FFFFFF" w:themeFill="background1"/>
            <w:noWrap/>
            <w:tcMar>
              <w:top w:w="0" w:type="dxa"/>
              <w:left w:w="108" w:type="dxa"/>
              <w:bottom w:w="0" w:type="dxa"/>
              <w:right w:w="108" w:type="dxa"/>
            </w:tcMar>
            <w:vAlign w:val="bottom"/>
          </w:tcPr>
          <w:p w14:paraId="6D3FA410" w14:textId="7BB41E1F" w:rsidR="00370B58" w:rsidRPr="00D71963" w:rsidRDefault="00455825" w:rsidP="003E6E57">
            <w:pPr>
              <w:rPr>
                <w:rFonts w:cs="Arial"/>
              </w:rPr>
            </w:pPr>
            <w:proofErr w:type="spellStart"/>
            <w:r>
              <w:rPr>
                <w:rFonts w:cs="Arial"/>
              </w:rPr>
              <w:t>Tynagh</w:t>
            </w:r>
            <w:proofErr w:type="spellEnd"/>
            <w:r>
              <w:rPr>
                <w:rFonts w:cs="Arial"/>
              </w:rPr>
              <w:t xml:space="preserve"> Energy</w:t>
            </w:r>
          </w:p>
        </w:tc>
      </w:tr>
      <w:tr w:rsidR="00370B58" w:rsidRPr="00D473CE" w14:paraId="6D3FA41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2" w14:textId="77B7A7B6" w:rsidR="00370B58" w:rsidRPr="00D71963" w:rsidRDefault="00455825" w:rsidP="003E6E57">
            <w:pPr>
              <w:rPr>
                <w:rFonts w:cs="Arial"/>
              </w:rPr>
            </w:pPr>
            <w:proofErr w:type="spellStart"/>
            <w:r>
              <w:rPr>
                <w:rFonts w:cs="Arial"/>
              </w:rPr>
              <w:t>Paraic</w:t>
            </w:r>
            <w:proofErr w:type="spellEnd"/>
            <w:r>
              <w:rPr>
                <w:rFonts w:cs="Arial"/>
              </w:rPr>
              <w:t xml:space="preserve"> Higgins</w:t>
            </w:r>
          </w:p>
        </w:tc>
        <w:tc>
          <w:tcPr>
            <w:tcW w:w="4819" w:type="dxa"/>
            <w:shd w:val="clear" w:color="auto" w:fill="FFFFFF" w:themeFill="background1"/>
            <w:noWrap/>
            <w:tcMar>
              <w:top w:w="0" w:type="dxa"/>
              <w:left w:w="108" w:type="dxa"/>
              <w:bottom w:w="0" w:type="dxa"/>
              <w:right w:w="108" w:type="dxa"/>
            </w:tcMar>
            <w:vAlign w:val="bottom"/>
          </w:tcPr>
          <w:p w14:paraId="6D3FA413" w14:textId="0F66F72F" w:rsidR="00370B58" w:rsidRPr="00D71963" w:rsidRDefault="00455825" w:rsidP="003E6E57">
            <w:pPr>
              <w:rPr>
                <w:rFonts w:cs="Arial"/>
              </w:rPr>
            </w:pPr>
            <w:r>
              <w:rPr>
                <w:rFonts w:cs="Arial"/>
              </w:rPr>
              <w:t>ESB Generation &amp; Trading</w:t>
            </w:r>
          </w:p>
        </w:tc>
      </w:tr>
      <w:tr w:rsidR="00370B58" w:rsidRPr="00D473CE" w14:paraId="6D3FA417"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5" w14:textId="727E87F3" w:rsidR="00370B58" w:rsidRDefault="00455825" w:rsidP="003E6E57">
            <w:pPr>
              <w:rPr>
                <w:rFonts w:cs="Arial"/>
              </w:rPr>
            </w:pPr>
            <w:r>
              <w:rPr>
                <w:rFonts w:cs="Arial"/>
              </w:rPr>
              <w:t>Stacy Feldman</w:t>
            </w:r>
            <w:r w:rsidR="00D03DBE">
              <w:rPr>
                <w:rFonts w:cs="Arial"/>
              </w:rPr>
              <w:t>n</w:t>
            </w:r>
            <w:bookmarkStart w:id="4" w:name="_GoBack"/>
            <w:bookmarkEnd w:id="4"/>
          </w:p>
        </w:tc>
        <w:tc>
          <w:tcPr>
            <w:tcW w:w="4819" w:type="dxa"/>
            <w:shd w:val="clear" w:color="auto" w:fill="FFFFFF" w:themeFill="background1"/>
            <w:noWrap/>
            <w:tcMar>
              <w:top w:w="0" w:type="dxa"/>
              <w:left w:w="108" w:type="dxa"/>
              <w:bottom w:w="0" w:type="dxa"/>
              <w:right w:w="108" w:type="dxa"/>
            </w:tcMar>
            <w:vAlign w:val="bottom"/>
          </w:tcPr>
          <w:p w14:paraId="6D3FA416" w14:textId="522A98FA" w:rsidR="00370B58" w:rsidRDefault="00455825" w:rsidP="003E6E57">
            <w:pPr>
              <w:rPr>
                <w:rFonts w:cs="Arial"/>
              </w:rPr>
            </w:pPr>
            <w:r>
              <w:rPr>
                <w:rFonts w:cs="Arial"/>
              </w:rPr>
              <w:t>SSE</w:t>
            </w:r>
          </w:p>
        </w:tc>
      </w:tr>
      <w:tr w:rsidR="00370B58" w:rsidRPr="00D473CE" w14:paraId="6D3FA41A"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8" w14:textId="18E15B7A" w:rsidR="00370B58" w:rsidRPr="001C29ED" w:rsidRDefault="00455825" w:rsidP="003E6E57">
            <w:pPr>
              <w:rPr>
                <w:rFonts w:cs="Arial"/>
              </w:rPr>
            </w:pPr>
            <w:r>
              <w:rPr>
                <w:rFonts w:cs="Arial"/>
              </w:rPr>
              <w:t>Julie Ann Mitchell</w:t>
            </w:r>
          </w:p>
        </w:tc>
        <w:tc>
          <w:tcPr>
            <w:tcW w:w="4819" w:type="dxa"/>
            <w:shd w:val="clear" w:color="auto" w:fill="FFFFFF" w:themeFill="background1"/>
            <w:noWrap/>
            <w:tcMar>
              <w:top w:w="0" w:type="dxa"/>
              <w:left w:w="108" w:type="dxa"/>
              <w:bottom w:w="0" w:type="dxa"/>
              <w:right w:w="108" w:type="dxa"/>
            </w:tcMar>
            <w:vAlign w:val="bottom"/>
          </w:tcPr>
          <w:p w14:paraId="6D3FA419" w14:textId="244A6B81" w:rsidR="00370B58" w:rsidRPr="001C29ED" w:rsidRDefault="00455825" w:rsidP="00C31FF4">
            <w:pPr>
              <w:rPr>
                <w:rFonts w:cs="Arial"/>
              </w:rPr>
            </w:pPr>
            <w:r>
              <w:rPr>
                <w:rFonts w:cs="Arial"/>
              </w:rPr>
              <w:t>AES</w:t>
            </w:r>
          </w:p>
        </w:tc>
      </w:tr>
      <w:tr w:rsidR="00370B58" w:rsidRPr="00D473CE" w14:paraId="6D3FA41D"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B" w14:textId="5D7360ED" w:rsidR="00370B58" w:rsidRPr="001C29ED" w:rsidRDefault="00455825" w:rsidP="003E6E57">
            <w:pPr>
              <w:rPr>
                <w:rFonts w:cs="Arial"/>
              </w:rPr>
            </w:pPr>
            <w:r>
              <w:rPr>
                <w:rFonts w:cs="Arial"/>
              </w:rPr>
              <w:t>Nichola Westlake</w:t>
            </w:r>
          </w:p>
        </w:tc>
        <w:tc>
          <w:tcPr>
            <w:tcW w:w="4819" w:type="dxa"/>
            <w:shd w:val="clear" w:color="auto" w:fill="FFFFFF" w:themeFill="background1"/>
            <w:noWrap/>
            <w:tcMar>
              <w:top w:w="0" w:type="dxa"/>
              <w:left w:w="108" w:type="dxa"/>
              <w:bottom w:w="0" w:type="dxa"/>
              <w:right w:w="108" w:type="dxa"/>
            </w:tcMar>
            <w:vAlign w:val="bottom"/>
          </w:tcPr>
          <w:p w14:paraId="6D3FA41C" w14:textId="0B98F089" w:rsidR="00370B58" w:rsidRPr="001C29ED" w:rsidRDefault="00455825" w:rsidP="003E6E57">
            <w:pPr>
              <w:rPr>
                <w:rFonts w:cs="Arial"/>
              </w:rPr>
            </w:pPr>
            <w:proofErr w:type="spellStart"/>
            <w:r>
              <w:rPr>
                <w:rFonts w:cs="Arial"/>
              </w:rPr>
              <w:t>Bord</w:t>
            </w:r>
            <w:proofErr w:type="spellEnd"/>
            <w:r>
              <w:rPr>
                <w:rFonts w:cs="Arial"/>
              </w:rPr>
              <w:t xml:space="preserve"> </w:t>
            </w:r>
            <w:proofErr w:type="spellStart"/>
            <w:r>
              <w:rPr>
                <w:rFonts w:cs="Arial"/>
              </w:rPr>
              <w:t>Gais</w:t>
            </w:r>
            <w:proofErr w:type="spellEnd"/>
            <w:r>
              <w:rPr>
                <w:rFonts w:cs="Arial"/>
              </w:rPr>
              <w:t xml:space="preserve"> Energy Limited</w:t>
            </w:r>
          </w:p>
        </w:tc>
      </w:tr>
      <w:tr w:rsidR="00BA1326" w:rsidRPr="00D473CE" w14:paraId="6D3FA420"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E" w14:textId="39B8B554" w:rsidR="00BA1326" w:rsidRDefault="00455825" w:rsidP="003E6E57">
            <w:pPr>
              <w:rPr>
                <w:rFonts w:cs="Arial"/>
              </w:rPr>
            </w:pPr>
            <w:r>
              <w:rPr>
                <w:rFonts w:cs="Arial"/>
              </w:rPr>
              <w:t xml:space="preserve">Stuart </w:t>
            </w:r>
            <w:proofErr w:type="spellStart"/>
            <w:r>
              <w:rPr>
                <w:rFonts w:cs="Arial"/>
              </w:rPr>
              <w:t>Ffolkes</w:t>
            </w:r>
            <w:proofErr w:type="spellEnd"/>
          </w:p>
        </w:tc>
        <w:tc>
          <w:tcPr>
            <w:tcW w:w="4819" w:type="dxa"/>
            <w:shd w:val="clear" w:color="auto" w:fill="FFFFFF" w:themeFill="background1"/>
            <w:noWrap/>
            <w:tcMar>
              <w:top w:w="0" w:type="dxa"/>
              <w:left w:w="108" w:type="dxa"/>
              <w:bottom w:w="0" w:type="dxa"/>
              <w:right w:w="108" w:type="dxa"/>
            </w:tcMar>
            <w:vAlign w:val="bottom"/>
          </w:tcPr>
          <w:p w14:paraId="6D3FA41F" w14:textId="085C98B9" w:rsidR="00BA1326" w:rsidRDefault="00455825" w:rsidP="003E6E57">
            <w:pPr>
              <w:rPr>
                <w:rFonts w:cs="Arial"/>
              </w:rPr>
            </w:pPr>
            <w:r>
              <w:rPr>
                <w:rFonts w:cs="Arial"/>
              </w:rPr>
              <w:t>ESP Consulting</w:t>
            </w:r>
          </w:p>
        </w:tc>
      </w:tr>
      <w:tr w:rsidR="00370B58" w:rsidRPr="00D473CE" w14:paraId="6D3FA423"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1" w14:textId="6BCAC8F7" w:rsidR="00370B58" w:rsidRPr="00D71963" w:rsidRDefault="00455825" w:rsidP="003E6E57">
            <w:pPr>
              <w:rPr>
                <w:rFonts w:cs="Arial"/>
              </w:rPr>
            </w:pPr>
            <w:r>
              <w:rPr>
                <w:rFonts w:cs="Arial"/>
              </w:rPr>
              <w:t>Billy Walker</w:t>
            </w:r>
          </w:p>
        </w:tc>
        <w:tc>
          <w:tcPr>
            <w:tcW w:w="4819" w:type="dxa"/>
            <w:shd w:val="clear" w:color="auto" w:fill="FFFFFF" w:themeFill="background1"/>
            <w:noWrap/>
            <w:tcMar>
              <w:top w:w="0" w:type="dxa"/>
              <w:left w:w="108" w:type="dxa"/>
              <w:bottom w:w="0" w:type="dxa"/>
              <w:right w:w="108" w:type="dxa"/>
            </w:tcMar>
            <w:vAlign w:val="bottom"/>
          </w:tcPr>
          <w:p w14:paraId="6D3FA422" w14:textId="59EBA3D2" w:rsidR="00370B58" w:rsidRPr="00D71963" w:rsidRDefault="006E5988" w:rsidP="003E6E57">
            <w:pPr>
              <w:rPr>
                <w:rFonts w:cs="Arial"/>
              </w:rPr>
            </w:pPr>
            <w:r>
              <w:rPr>
                <w:rFonts w:cs="Arial"/>
              </w:rPr>
              <w:t>UREGNI</w:t>
            </w:r>
          </w:p>
        </w:tc>
      </w:tr>
      <w:tr w:rsidR="00BA1326" w:rsidRPr="00D473CE" w14:paraId="6D3FA426"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4" w14:textId="296830EF" w:rsidR="00BA1326" w:rsidRDefault="00455825" w:rsidP="003E6E57">
            <w:pPr>
              <w:rPr>
                <w:rFonts w:cs="Arial"/>
              </w:rPr>
            </w:pPr>
            <w:r>
              <w:rPr>
                <w:rFonts w:cs="Arial"/>
              </w:rPr>
              <w:t>Paul Bell</w:t>
            </w:r>
          </w:p>
        </w:tc>
        <w:tc>
          <w:tcPr>
            <w:tcW w:w="4819" w:type="dxa"/>
            <w:shd w:val="clear" w:color="auto" w:fill="FFFFFF" w:themeFill="background1"/>
            <w:noWrap/>
            <w:tcMar>
              <w:top w:w="0" w:type="dxa"/>
              <w:left w:w="108" w:type="dxa"/>
              <w:bottom w:w="0" w:type="dxa"/>
              <w:right w:w="108" w:type="dxa"/>
            </w:tcMar>
            <w:vAlign w:val="bottom"/>
          </w:tcPr>
          <w:p w14:paraId="6D3FA425" w14:textId="43EE4D62" w:rsidR="00BA1326" w:rsidRDefault="006E5988" w:rsidP="003E6E57">
            <w:pPr>
              <w:rPr>
                <w:rFonts w:cs="Arial"/>
              </w:rPr>
            </w:pPr>
            <w:r>
              <w:rPr>
                <w:rFonts w:cs="Arial"/>
              </w:rPr>
              <w:t>UREGNI</w:t>
            </w:r>
          </w:p>
        </w:tc>
      </w:tr>
      <w:tr w:rsidR="00370B58" w:rsidRPr="00D473CE" w14:paraId="6D3FA429"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7" w14:textId="241B100E" w:rsidR="00370B58" w:rsidRPr="00D71963" w:rsidRDefault="00455825" w:rsidP="003E6E57">
            <w:pPr>
              <w:rPr>
                <w:rFonts w:cs="Arial"/>
              </w:rPr>
            </w:pPr>
            <w:r>
              <w:rPr>
                <w:rFonts w:cs="Arial"/>
              </w:rPr>
              <w:t>Sean McParland</w:t>
            </w:r>
          </w:p>
        </w:tc>
        <w:tc>
          <w:tcPr>
            <w:tcW w:w="4819" w:type="dxa"/>
            <w:shd w:val="clear" w:color="auto" w:fill="FFFFFF" w:themeFill="background1"/>
            <w:noWrap/>
            <w:tcMar>
              <w:top w:w="0" w:type="dxa"/>
              <w:left w:w="108" w:type="dxa"/>
              <w:bottom w:w="0" w:type="dxa"/>
              <w:right w:w="108" w:type="dxa"/>
            </w:tcMar>
            <w:vAlign w:val="bottom"/>
          </w:tcPr>
          <w:p w14:paraId="6D3FA428" w14:textId="21DD08E3" w:rsidR="00370B58" w:rsidRPr="00D71963" w:rsidRDefault="00455825" w:rsidP="003E6E57">
            <w:pPr>
              <w:rPr>
                <w:rFonts w:cs="Arial"/>
              </w:rPr>
            </w:pPr>
            <w:proofErr w:type="spellStart"/>
            <w:r>
              <w:rPr>
                <w:rFonts w:cs="Arial"/>
              </w:rPr>
              <w:t>Energia</w:t>
            </w:r>
            <w:proofErr w:type="spellEnd"/>
          </w:p>
        </w:tc>
      </w:tr>
      <w:tr w:rsidR="00370B58" w:rsidRPr="00D473CE" w14:paraId="6D3FA42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A" w14:textId="0E7EDE76" w:rsidR="00370B58" w:rsidRPr="00D71963" w:rsidRDefault="00455825" w:rsidP="003E6E57">
            <w:pPr>
              <w:rPr>
                <w:rFonts w:cs="Arial"/>
              </w:rPr>
            </w:pPr>
            <w:r>
              <w:rPr>
                <w:rFonts w:cs="Arial"/>
              </w:rPr>
              <w:t>Aodhagan Downey</w:t>
            </w:r>
          </w:p>
        </w:tc>
        <w:tc>
          <w:tcPr>
            <w:tcW w:w="4819" w:type="dxa"/>
            <w:shd w:val="clear" w:color="auto" w:fill="FFFFFF" w:themeFill="background1"/>
            <w:noWrap/>
            <w:tcMar>
              <w:top w:w="0" w:type="dxa"/>
              <w:left w:w="108" w:type="dxa"/>
              <w:bottom w:w="0" w:type="dxa"/>
              <w:right w:w="108" w:type="dxa"/>
            </w:tcMar>
            <w:vAlign w:val="bottom"/>
          </w:tcPr>
          <w:p w14:paraId="6D3FA42B" w14:textId="4428D1F2" w:rsidR="00370B58" w:rsidRPr="00D71963" w:rsidRDefault="00455825" w:rsidP="003E6E57">
            <w:pPr>
              <w:rPr>
                <w:rFonts w:cs="Arial"/>
              </w:rPr>
            </w:pPr>
            <w:r>
              <w:rPr>
                <w:rFonts w:cs="Arial"/>
              </w:rPr>
              <w:t>EirGrid</w:t>
            </w:r>
          </w:p>
        </w:tc>
      </w:tr>
      <w:tr w:rsidR="00370B58" w:rsidRPr="00D473CE" w14:paraId="6D3FA42F"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D" w14:textId="3A32DC81" w:rsidR="00370B58" w:rsidRPr="006E5988" w:rsidRDefault="00455825" w:rsidP="003E6E57">
            <w:pPr>
              <w:rPr>
                <w:rFonts w:cs="Arial"/>
              </w:rPr>
            </w:pPr>
            <w:r w:rsidRPr="006E5988">
              <w:rPr>
                <w:rFonts w:cs="Arial"/>
              </w:rPr>
              <w:t>Robert Corrigan</w:t>
            </w:r>
          </w:p>
        </w:tc>
        <w:tc>
          <w:tcPr>
            <w:tcW w:w="4819" w:type="dxa"/>
            <w:shd w:val="clear" w:color="auto" w:fill="FFFFFF" w:themeFill="background1"/>
            <w:noWrap/>
            <w:tcMar>
              <w:top w:w="0" w:type="dxa"/>
              <w:left w:w="108" w:type="dxa"/>
              <w:bottom w:w="0" w:type="dxa"/>
              <w:right w:w="108" w:type="dxa"/>
            </w:tcMar>
            <w:vAlign w:val="bottom"/>
          </w:tcPr>
          <w:p w14:paraId="6D3FA42E" w14:textId="20E10CD7" w:rsidR="00370B58" w:rsidRPr="006E5988" w:rsidRDefault="00455825" w:rsidP="003E6E57">
            <w:pPr>
              <w:rPr>
                <w:rFonts w:cs="Arial"/>
              </w:rPr>
            </w:pPr>
            <w:r w:rsidRPr="006E5988">
              <w:rPr>
                <w:rFonts w:cs="Arial"/>
              </w:rPr>
              <w:t>EirGrid</w:t>
            </w:r>
          </w:p>
        </w:tc>
      </w:tr>
      <w:tr w:rsidR="00370B58" w:rsidRPr="00D473CE" w14:paraId="6D3FA432"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30" w14:textId="5D801D9A" w:rsidR="00370B58" w:rsidRPr="006E5988" w:rsidRDefault="00455825" w:rsidP="003E6E57">
            <w:pPr>
              <w:rPr>
                <w:rFonts w:cs="Arial"/>
              </w:rPr>
            </w:pPr>
            <w:r w:rsidRPr="006E5988">
              <w:rPr>
                <w:rFonts w:cs="Arial"/>
              </w:rPr>
              <w:t>Sandra Linnane</w:t>
            </w:r>
          </w:p>
        </w:tc>
        <w:tc>
          <w:tcPr>
            <w:tcW w:w="4819" w:type="dxa"/>
            <w:shd w:val="clear" w:color="auto" w:fill="FFFFFF" w:themeFill="background1"/>
            <w:noWrap/>
            <w:tcMar>
              <w:top w:w="0" w:type="dxa"/>
              <w:left w:w="108" w:type="dxa"/>
              <w:bottom w:w="0" w:type="dxa"/>
              <w:right w:w="108" w:type="dxa"/>
            </w:tcMar>
            <w:vAlign w:val="bottom"/>
          </w:tcPr>
          <w:p w14:paraId="6D3FA431" w14:textId="5EC08D87" w:rsidR="00370B58" w:rsidRPr="006E5988" w:rsidRDefault="00455825" w:rsidP="003E6E57">
            <w:pPr>
              <w:rPr>
                <w:rFonts w:cs="Arial"/>
              </w:rPr>
            </w:pPr>
            <w:r w:rsidRPr="006E5988">
              <w:rPr>
                <w:rFonts w:cs="Arial"/>
              </w:rPr>
              <w:t>EirGrid</w:t>
            </w:r>
          </w:p>
        </w:tc>
      </w:tr>
      <w:tr w:rsidR="00BA1326" w:rsidRPr="00D473CE" w14:paraId="6D3FA44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42" w14:textId="77777777" w:rsidR="00BA1326" w:rsidRPr="006E5988" w:rsidRDefault="00BA1326" w:rsidP="003E6E57">
            <w:pPr>
              <w:rPr>
                <w:rFonts w:cs="Arial"/>
              </w:rPr>
            </w:pPr>
            <w:r w:rsidRPr="006E5988">
              <w:rPr>
                <w:rFonts w:cs="Arial"/>
              </w:rPr>
              <w:t>Esther Touhey</w:t>
            </w:r>
          </w:p>
        </w:tc>
        <w:tc>
          <w:tcPr>
            <w:tcW w:w="4819" w:type="dxa"/>
            <w:shd w:val="clear" w:color="auto" w:fill="FFFFFF" w:themeFill="background1"/>
            <w:noWrap/>
            <w:tcMar>
              <w:top w:w="0" w:type="dxa"/>
              <w:left w:w="108" w:type="dxa"/>
              <w:bottom w:w="0" w:type="dxa"/>
              <w:right w:w="108" w:type="dxa"/>
            </w:tcMar>
            <w:vAlign w:val="bottom"/>
          </w:tcPr>
          <w:p w14:paraId="6D3FA443" w14:textId="77777777" w:rsidR="00BA1326" w:rsidRPr="006E5988" w:rsidRDefault="00BA1326" w:rsidP="003E6E57">
            <w:pPr>
              <w:rPr>
                <w:rFonts w:cs="Arial"/>
              </w:rPr>
            </w:pPr>
            <w:r w:rsidRPr="006E5988">
              <w:rPr>
                <w:rFonts w:cs="Arial"/>
              </w:rPr>
              <w:t>SONI</w:t>
            </w:r>
          </w:p>
        </w:tc>
      </w:tr>
    </w:tbl>
    <w:p w14:paraId="6D3FA448" w14:textId="77777777" w:rsidR="00370B58" w:rsidRDefault="00370B58" w:rsidP="00370B58">
      <w:pPr>
        <w:jc w:val="both"/>
      </w:pPr>
    </w:p>
    <w:p w14:paraId="6D3FA449" w14:textId="77777777" w:rsidR="008213C2" w:rsidRDefault="00C31FF4" w:rsidP="008213C2">
      <w:pPr>
        <w:pStyle w:val="Heading1"/>
        <w:numPr>
          <w:ilvl w:val="0"/>
          <w:numId w:val="4"/>
        </w:numPr>
        <w:ind w:left="431" w:hanging="431"/>
      </w:pPr>
      <w:bookmarkStart w:id="5" w:name="_Toc9515116"/>
      <w:r>
        <w:rPr>
          <w:b w:val="0"/>
          <w:bCs w:val="0"/>
        </w:rPr>
        <w:lastRenderedPageBreak/>
        <w:t>Programme of Work and System U</w:t>
      </w:r>
      <w:r w:rsidR="008213C2">
        <w:rPr>
          <w:b w:val="0"/>
          <w:bCs w:val="0"/>
        </w:rPr>
        <w:t>pdate</w:t>
      </w:r>
      <w:bookmarkEnd w:id="5"/>
    </w:p>
    <w:p w14:paraId="6D3FA44A" w14:textId="77777777" w:rsidR="008213C2" w:rsidRDefault="008213C2" w:rsidP="00370B58">
      <w:pPr>
        <w:jc w:val="both"/>
      </w:pPr>
    </w:p>
    <w:p w14:paraId="6D3FA44B" w14:textId="29B62FAD" w:rsidR="005C6C06" w:rsidRDefault="001D7441" w:rsidP="00370B58">
      <w:pPr>
        <w:jc w:val="both"/>
        <w:rPr>
          <w:rFonts w:cs="Arial"/>
        </w:rPr>
      </w:pPr>
      <w:r>
        <w:rPr>
          <w:rFonts w:cs="Arial"/>
        </w:rPr>
        <w:t>The S</w:t>
      </w:r>
      <w:r w:rsidR="00090531">
        <w:rPr>
          <w:rFonts w:cs="Arial"/>
        </w:rPr>
        <w:t>ecretariat</w:t>
      </w:r>
      <w:r w:rsidR="00EC6098">
        <w:rPr>
          <w:rFonts w:cs="Arial"/>
        </w:rPr>
        <w:t xml:space="preserve"> welcomed all to Working Group 6</w:t>
      </w:r>
      <w:r w:rsidR="00090531">
        <w:rPr>
          <w:rFonts w:cs="Arial"/>
        </w:rPr>
        <w:t xml:space="preserve"> and gave an </w:t>
      </w:r>
      <w:r>
        <w:rPr>
          <w:rFonts w:cs="Arial"/>
        </w:rPr>
        <w:t>update on the Programme of Work.</w:t>
      </w:r>
      <w:r w:rsidR="00C71EA9">
        <w:rPr>
          <w:rFonts w:cs="Arial"/>
        </w:rPr>
        <w:t xml:space="preserve"> </w:t>
      </w:r>
      <w:r>
        <w:rPr>
          <w:rFonts w:cs="Arial"/>
        </w:rPr>
        <w:t>It was advised that version 2.0 of the Capacity Market Code would be published by Friday 24</w:t>
      </w:r>
      <w:r w:rsidRPr="001D7441">
        <w:rPr>
          <w:rFonts w:cs="Arial"/>
          <w:vertAlign w:val="superscript"/>
        </w:rPr>
        <w:t>th</w:t>
      </w:r>
      <w:r>
        <w:rPr>
          <w:rFonts w:cs="Arial"/>
        </w:rPr>
        <w:t xml:space="preserve"> May with 14 approved modifications incorporated.</w:t>
      </w:r>
    </w:p>
    <w:p w14:paraId="055B2C3E" w14:textId="1375D527" w:rsidR="007C57D3" w:rsidRDefault="007C57D3" w:rsidP="00370B58">
      <w:pPr>
        <w:jc w:val="both"/>
        <w:rPr>
          <w:rFonts w:cs="Arial"/>
        </w:rPr>
      </w:pPr>
      <w:r>
        <w:rPr>
          <w:rFonts w:cs="Arial"/>
        </w:rPr>
        <w:t xml:space="preserve">TSO </w:t>
      </w:r>
      <w:r w:rsidR="001D7441">
        <w:rPr>
          <w:rFonts w:cs="Arial"/>
        </w:rPr>
        <w:t>representative advised that there was no new update to be delivered</w:t>
      </w:r>
      <w:r w:rsidR="00C71EA9">
        <w:rPr>
          <w:rFonts w:cs="Arial"/>
        </w:rPr>
        <w:t>,</w:t>
      </w:r>
      <w:r w:rsidR="001D7441">
        <w:rPr>
          <w:rFonts w:cs="Arial"/>
        </w:rPr>
        <w:t xml:space="preserve"> however</w:t>
      </w:r>
      <w:r w:rsidR="00C71EA9">
        <w:rPr>
          <w:rFonts w:cs="Arial"/>
        </w:rPr>
        <w:t>,</w:t>
      </w:r>
      <w:r w:rsidR="001D7441">
        <w:rPr>
          <w:rFonts w:cs="Arial"/>
        </w:rPr>
        <w:t xml:space="preserve"> there would be an updat</w:t>
      </w:r>
      <w:r w:rsidR="00C71EA9">
        <w:rPr>
          <w:rFonts w:cs="Arial"/>
        </w:rPr>
        <w:t>e</w:t>
      </w:r>
      <w:r w:rsidR="001D7441">
        <w:rPr>
          <w:rFonts w:cs="Arial"/>
        </w:rPr>
        <w:t xml:space="preserve"> provided at Working Group 7 with future A</w:t>
      </w:r>
      <w:r>
        <w:rPr>
          <w:rFonts w:cs="Arial"/>
        </w:rPr>
        <w:t>uctions information will be provided at the next Working Group on the 29</w:t>
      </w:r>
      <w:r w:rsidRPr="007C57D3">
        <w:rPr>
          <w:rFonts w:cs="Arial"/>
          <w:vertAlign w:val="superscript"/>
        </w:rPr>
        <w:t>th</w:t>
      </w:r>
      <w:r>
        <w:rPr>
          <w:rFonts w:cs="Arial"/>
        </w:rPr>
        <w:t xml:space="preserve"> August 2019.</w:t>
      </w:r>
    </w:p>
    <w:p w14:paraId="6D3FA44D" w14:textId="77777777" w:rsidR="0033284B" w:rsidRDefault="0033284B" w:rsidP="00370B58">
      <w:pPr>
        <w:pStyle w:val="Heading1"/>
      </w:pPr>
      <w:bookmarkStart w:id="6" w:name="_Toc9515117"/>
      <w:r>
        <w:lastRenderedPageBreak/>
        <w:t>Modification Proposals</w:t>
      </w:r>
      <w:bookmarkEnd w:id="6"/>
    </w:p>
    <w:p w14:paraId="6D3FA44E" w14:textId="5B5715D4" w:rsidR="00370B58" w:rsidRDefault="00370B58" w:rsidP="00820946">
      <w:pPr>
        <w:pStyle w:val="Heading2"/>
      </w:pPr>
      <w:bookmarkStart w:id="7" w:name="_Toc9515118"/>
      <w:r>
        <w:t>CMC_</w:t>
      </w:r>
      <w:r w:rsidR="00EC6098">
        <w:t>05</w:t>
      </w:r>
      <w:r w:rsidR="00090531">
        <w:t xml:space="preserve">_19 </w:t>
      </w:r>
      <w:r w:rsidR="00EC6098">
        <w:t>Housekeeping changes</w:t>
      </w:r>
      <w:bookmarkEnd w:id="7"/>
    </w:p>
    <w:p w14:paraId="6D3FA44F" w14:textId="0DEEA81E" w:rsidR="00370B58" w:rsidRDefault="00370B58" w:rsidP="00370B58">
      <w:pPr>
        <w:jc w:val="both"/>
      </w:pPr>
      <w:r>
        <w:t xml:space="preserve">RAs </w:t>
      </w:r>
      <w:r w:rsidR="001D7441">
        <w:t>delivered a presentation outlining the rationale for this modification proposal.</w:t>
      </w:r>
      <w:r>
        <w:t xml:space="preserve"> </w:t>
      </w:r>
      <w:r w:rsidR="00E95571">
        <w:t>(</w:t>
      </w:r>
      <w:hyperlink r:id="rId18" w:history="1">
        <w:r w:rsidR="00E95571" w:rsidRPr="0092509B">
          <w:rPr>
            <w:rStyle w:val="Hyperlink"/>
          </w:rPr>
          <w:t>Presentation Material available</w:t>
        </w:r>
      </w:hyperlink>
      <w:r w:rsidR="00E95571">
        <w:t>)</w:t>
      </w:r>
    </w:p>
    <w:p w14:paraId="6E0BFD12" w14:textId="105AEAAA" w:rsidR="00EC6098" w:rsidRPr="007C57D3" w:rsidRDefault="007C57D3" w:rsidP="007565F2">
      <w:pPr>
        <w:jc w:val="both"/>
      </w:pPr>
      <w:r w:rsidRPr="007C57D3">
        <w:t xml:space="preserve">It was confirmed that the majority of changes </w:t>
      </w:r>
      <w:r>
        <w:t>were triv</w:t>
      </w:r>
      <w:r w:rsidR="001D7441">
        <w:t>ial and related mostly to cross–</w:t>
      </w:r>
      <w:r>
        <w:t xml:space="preserve">reference duplications except for the change to </w:t>
      </w:r>
      <w:proofErr w:type="gramStart"/>
      <w:r>
        <w:t>F.5.1.2(</w:t>
      </w:r>
      <w:proofErr w:type="gramEnd"/>
      <w:r>
        <w:t xml:space="preserve">b). Currently the process is unclear in (b) and it should confirm in the paragraph that approval </w:t>
      </w:r>
      <w:r w:rsidR="004A012F">
        <w:t xml:space="preserve">of the final Annual Capacity Payment Exchange Rate </w:t>
      </w:r>
      <w:r>
        <w:t>is a trigger for timing along with</w:t>
      </w:r>
      <w:r w:rsidR="004A012F">
        <w:t xml:space="preserve"> supplying</w:t>
      </w:r>
      <w:r>
        <w:t xml:space="preserve"> the demand curve. </w:t>
      </w:r>
    </w:p>
    <w:p w14:paraId="5CF8961F" w14:textId="389E354F" w:rsidR="00EC6098" w:rsidRPr="00384B5A" w:rsidRDefault="007C57D3" w:rsidP="007565F2">
      <w:pPr>
        <w:jc w:val="both"/>
      </w:pPr>
      <w:r w:rsidRPr="00384B5A">
        <w:t>It was pointed out that ther</w:t>
      </w:r>
      <w:r w:rsidR="00384B5A" w:rsidRPr="00384B5A">
        <w:t xml:space="preserve">e is no reference to the timelines RAs have to provide the above requirements </w:t>
      </w:r>
      <w:r w:rsidR="00384B5A">
        <w:t>and if the code should be updated to add that protection that these will be provided before the auction. The RAs confirmed they are not bound by the code but as they set out the Modification Timetables they have due responsibility to ensure this information is given in a timely manner.</w:t>
      </w:r>
    </w:p>
    <w:p w14:paraId="6D3FA453" w14:textId="77777777" w:rsidR="00204AA9" w:rsidRPr="00820946" w:rsidRDefault="00204AA9" w:rsidP="007565F2">
      <w:pPr>
        <w:jc w:val="both"/>
        <w:rPr>
          <w:b/>
        </w:rPr>
      </w:pPr>
      <w:r w:rsidRPr="00820946">
        <w:rPr>
          <w:b/>
        </w:rPr>
        <w:t>Next steps:</w:t>
      </w:r>
    </w:p>
    <w:p w14:paraId="071BED3C" w14:textId="2CADBB5B" w:rsidR="00384B5A" w:rsidRDefault="00384B5A" w:rsidP="00384B5A">
      <w:pPr>
        <w:jc w:val="both"/>
      </w:pPr>
      <w:r>
        <w:t xml:space="preserve">RAs to publish consultation on proposed mod (along the timelines set out in the </w:t>
      </w:r>
      <w:r w:rsidRPr="00384B5A">
        <w:t>RAs’ presentation</w:t>
      </w:r>
      <w:r>
        <w:t>).</w:t>
      </w:r>
    </w:p>
    <w:p w14:paraId="6D3FA454" w14:textId="63D659E2" w:rsidR="00204AA9" w:rsidRDefault="00384B5A" w:rsidP="007565F2">
      <w:pPr>
        <w:jc w:val="both"/>
      </w:pPr>
      <w:r>
        <w:t>RAs to investigate if an issue ever occurred with RA delay and what protection is currently there.</w:t>
      </w:r>
    </w:p>
    <w:p w14:paraId="6D3FA455" w14:textId="5290EA89" w:rsidR="00801D85" w:rsidRDefault="00EC6098" w:rsidP="00820946">
      <w:pPr>
        <w:pStyle w:val="Heading2"/>
      </w:pPr>
      <w:bookmarkStart w:id="8" w:name="_Toc536706492"/>
      <w:bookmarkStart w:id="9" w:name="_Toc536706493"/>
      <w:bookmarkStart w:id="10" w:name="_Toc536706494"/>
      <w:bookmarkStart w:id="11" w:name="_Toc536706495"/>
      <w:bookmarkStart w:id="12" w:name="_Toc536706496"/>
      <w:bookmarkStart w:id="13" w:name="_Toc9515119"/>
      <w:bookmarkEnd w:id="8"/>
      <w:bookmarkEnd w:id="9"/>
      <w:bookmarkEnd w:id="10"/>
      <w:bookmarkEnd w:id="11"/>
      <w:bookmarkEnd w:id="12"/>
      <w:r>
        <w:t>CMC_06</w:t>
      </w:r>
      <w:r w:rsidR="00801D85">
        <w:t xml:space="preserve">_19 </w:t>
      </w:r>
      <w:r>
        <w:t>modification to the proportion of deleivered capacity calculation</w:t>
      </w:r>
      <w:bookmarkEnd w:id="13"/>
    </w:p>
    <w:p w14:paraId="1C825FDD" w14:textId="481A53BD" w:rsidR="00EC6098" w:rsidRPr="00242214" w:rsidRDefault="004A012F" w:rsidP="00370B58">
      <w:pPr>
        <w:jc w:val="both"/>
      </w:pPr>
      <w:r>
        <w:t>The TSO</w:t>
      </w:r>
      <w:r w:rsidR="00242214" w:rsidRPr="00242214">
        <w:t xml:space="preserve"> </w:t>
      </w:r>
      <w:r w:rsidR="00C00B84">
        <w:t xml:space="preserve">outlined the reason for raising the </w:t>
      </w:r>
      <w:r w:rsidR="00242214" w:rsidRPr="00242214">
        <w:t>Modific</w:t>
      </w:r>
      <w:r w:rsidR="00C00B84">
        <w:t>ation Proposal</w:t>
      </w:r>
      <w:r w:rsidR="00037EC9">
        <w:t xml:space="preserve"> as set out in the Modification Proposal</w:t>
      </w:r>
      <w:r w:rsidR="00C00B84">
        <w:t>.</w:t>
      </w:r>
    </w:p>
    <w:p w14:paraId="4269B4ED" w14:textId="52A2A54C" w:rsidR="00037EC9" w:rsidRDefault="00C00B84" w:rsidP="00370B58">
      <w:pPr>
        <w:jc w:val="both"/>
      </w:pPr>
      <w:r>
        <w:t>Participant feedback from Q&amp;A sessions highlighted</w:t>
      </w:r>
      <w:r w:rsidR="007017F8">
        <w:t xml:space="preserve"> tha</w:t>
      </w:r>
      <w:r>
        <w:t xml:space="preserve">t there is a lack of clarity as to </w:t>
      </w:r>
      <w:r w:rsidR="007017F8">
        <w:t xml:space="preserve">how the </w:t>
      </w:r>
      <w:r w:rsidR="00037EC9">
        <w:t>P</w:t>
      </w:r>
      <w:r w:rsidR="007017F8">
        <w:t xml:space="preserve">roportion of </w:t>
      </w:r>
      <w:r w:rsidR="00037EC9">
        <w:t>D</w:t>
      </w:r>
      <w:r w:rsidR="007017F8">
        <w:t xml:space="preserve">elivered </w:t>
      </w:r>
      <w:r w:rsidR="00037EC9">
        <w:t>C</w:t>
      </w:r>
      <w:r w:rsidR="007017F8">
        <w:t xml:space="preserve">apacity </w:t>
      </w:r>
      <w:r w:rsidR="00037EC9">
        <w:t xml:space="preserve">should be </w:t>
      </w:r>
      <w:r w:rsidR="007017F8">
        <w:t xml:space="preserve">calculated. Currently </w:t>
      </w:r>
      <w:r w:rsidR="00037EC9">
        <w:t xml:space="preserve">paragraphs </w:t>
      </w:r>
      <w:r w:rsidR="007017F8">
        <w:t xml:space="preserve">G.3.1.4 and G.3.1.5 </w:t>
      </w:r>
      <w:r w:rsidR="00037EC9">
        <w:t xml:space="preserve">cover this but it is not </w:t>
      </w:r>
      <w:r w:rsidR="007017F8">
        <w:t xml:space="preserve">clear how this is exactly calculated. G.3.1.4 on its own confirms new capacity delivered </w:t>
      </w:r>
      <w:r w:rsidR="00037EC9">
        <w:t xml:space="preserve">is assessed </w:t>
      </w:r>
      <w:r w:rsidR="007017F8">
        <w:t>against initial capacity.</w:t>
      </w:r>
      <w:r w:rsidR="00037EC9">
        <w:t xml:space="preserve"> It was highlighted that there are a number of reasons why Awarded New Capacity may be substantially less than the de-rated Initial Capacity (New). </w:t>
      </w:r>
      <w:r w:rsidR="007017F8">
        <w:t>G.3.1.5 captures some of th</w:t>
      </w:r>
      <w:r w:rsidR="00037EC9">
        <w:t>ese</w:t>
      </w:r>
      <w:r w:rsidR="007017F8">
        <w:t xml:space="preserve"> issues in relation to </w:t>
      </w:r>
      <w:r w:rsidR="00037EC9">
        <w:t>capacity qualified that did not clear but it applies only in the case where there are multiple tranches.</w:t>
      </w:r>
      <w:r w:rsidR="007017F8">
        <w:t xml:space="preserve"> </w:t>
      </w:r>
    </w:p>
    <w:p w14:paraId="6FC71B21" w14:textId="443C6CFF" w:rsidR="00037EC9" w:rsidRDefault="00037EC9" w:rsidP="00370B58">
      <w:pPr>
        <w:jc w:val="both"/>
      </w:pPr>
      <w:r>
        <w:t>Revert</w:t>
      </w:r>
      <w:r w:rsidR="008E2A85">
        <w:t>ing</w:t>
      </w:r>
      <w:r>
        <w:t xml:space="preserve"> to the original design decisions, the Modification Proposal seeks to remove the lack of clarity and ensure that the Proportion of Delivered Capacity is assessed against the Awarded New Capacity. As Grid Commissioned Capacity is not de-rated, the proposed approach de-rates this value based on the De-Rating Factor applicable this Technology Class and Initial Capacity.  </w:t>
      </w:r>
    </w:p>
    <w:p w14:paraId="190F0F62" w14:textId="36289C95" w:rsidR="007017F8" w:rsidRDefault="00C00B84" w:rsidP="00370B58">
      <w:pPr>
        <w:jc w:val="both"/>
      </w:pPr>
      <w:r>
        <w:t xml:space="preserve">The issue of speculative capacity trading was raised </w:t>
      </w:r>
      <w:r w:rsidR="00037EC9">
        <w:t xml:space="preserve">by a participant </w:t>
      </w:r>
      <w:r>
        <w:t>as an unintended consequence of this modification proposal</w:t>
      </w:r>
      <w:r w:rsidR="00037EC9">
        <w:t>. The</w:t>
      </w:r>
      <w:r>
        <w:t xml:space="preserve"> TSO</w:t>
      </w:r>
      <w:r w:rsidR="00037EC9">
        <w:t>s</w:t>
      </w:r>
      <w:r>
        <w:t xml:space="preserve"> representative confirmed that there were </w:t>
      </w:r>
      <w:r w:rsidR="00037EC9">
        <w:t>a number of</w:t>
      </w:r>
      <w:r>
        <w:t xml:space="preserve"> checks and balances in place </w:t>
      </w:r>
      <w:r w:rsidR="00037EC9">
        <w:t>in the qualification process to reduce this risk. In addition, the proposed approach is the approach that is currently being applied by the TSOs and the Modification Proposal is simply seeking to provide clarity of this calculation in the CMC.</w:t>
      </w:r>
    </w:p>
    <w:p w14:paraId="383298C7" w14:textId="71930CFB" w:rsidR="007017F8" w:rsidRDefault="007017F8" w:rsidP="00370B58">
      <w:pPr>
        <w:jc w:val="both"/>
        <w:rPr>
          <w:b/>
        </w:rPr>
      </w:pPr>
      <w:r>
        <w:t xml:space="preserve">The RAs raised the point that some units may </w:t>
      </w:r>
      <w:r w:rsidR="00037EC9">
        <w:t xml:space="preserve">voluntarily de-rate their capacity beyond the De-Rating Factor where this is permitted through a DECTOL &gt; 0 or otherwise. It would be important to retain the nominated de-rated capacity factor in the </w:t>
      </w:r>
      <w:r w:rsidR="00B325E5">
        <w:t xml:space="preserve">assessment of delivery and this feature </w:t>
      </w:r>
      <w:r>
        <w:t>needs to be reflected in</w:t>
      </w:r>
      <w:r w:rsidR="00B325E5">
        <w:t xml:space="preserve"> the</w:t>
      </w:r>
      <w:r>
        <w:t xml:space="preserve"> legal drafting.</w:t>
      </w:r>
      <w:r w:rsidR="00FE66CD">
        <w:t xml:space="preserve"> </w:t>
      </w:r>
      <w:r w:rsidR="00B325E5">
        <w:t>The</w:t>
      </w:r>
      <w:r w:rsidR="00FE66CD">
        <w:t xml:space="preserve"> legal drafting should </w:t>
      </w:r>
      <w:r w:rsidR="00B325E5">
        <w:t xml:space="preserve">also provide for the use of </w:t>
      </w:r>
      <w:r w:rsidR="00FE66CD">
        <w:t>dur</w:t>
      </w:r>
      <w:r w:rsidR="00C00B84">
        <w:t>ation</w:t>
      </w:r>
      <w:r w:rsidR="00B325E5">
        <w:t xml:space="preserve"> of</w:t>
      </w:r>
      <w:r w:rsidR="00C00B84">
        <w:t xml:space="preserve"> DSU and storage units</w:t>
      </w:r>
      <w:r w:rsidR="00B325E5">
        <w:t xml:space="preserve"> when determining the appropriate De-Rating Factor to be applied to the Grid Code Commissioned Capacity. The TSOs agreed with these suggestions and agreed to reflect these points in a second version of the proposal that would be appended to the Workshop minutes. </w:t>
      </w:r>
    </w:p>
    <w:p w14:paraId="6D3FA459" w14:textId="77777777" w:rsidR="00204AA9" w:rsidRPr="00820946" w:rsidRDefault="00204AA9" w:rsidP="00370B58">
      <w:pPr>
        <w:jc w:val="both"/>
        <w:rPr>
          <w:b/>
        </w:rPr>
      </w:pPr>
      <w:r w:rsidRPr="00820946">
        <w:rPr>
          <w:b/>
        </w:rPr>
        <w:t>Next steps:</w:t>
      </w:r>
    </w:p>
    <w:p w14:paraId="6D3FA465" w14:textId="21692AE8" w:rsidR="008213C2" w:rsidRDefault="00FE66CD" w:rsidP="005212C6">
      <w:pPr>
        <w:jc w:val="both"/>
      </w:pPr>
      <w:bookmarkStart w:id="14" w:name="_Toc536706499"/>
      <w:bookmarkStart w:id="15" w:name="_Toc536706500"/>
      <w:bookmarkEnd w:id="14"/>
      <w:bookmarkEnd w:id="15"/>
      <w:r>
        <w:t>Proposer to submit a version 2 of this proposal updating the current legal drafting to reflect the points discussed.</w:t>
      </w:r>
    </w:p>
    <w:p w14:paraId="1416B665" w14:textId="77777777" w:rsidR="00FE66CD" w:rsidRDefault="00FE66CD" w:rsidP="00FE66CD">
      <w:pPr>
        <w:jc w:val="both"/>
      </w:pPr>
      <w:r>
        <w:t xml:space="preserve">RAs to publish consultation on proposed mod (along the timelines set out in the </w:t>
      </w:r>
      <w:r w:rsidRPr="00384B5A">
        <w:t>RAs’ presentation</w:t>
      </w:r>
      <w:r>
        <w:t>).</w:t>
      </w:r>
    </w:p>
    <w:p w14:paraId="019A8EE9" w14:textId="77777777" w:rsidR="00FE66CD" w:rsidRDefault="00FE66CD" w:rsidP="005212C6">
      <w:pPr>
        <w:jc w:val="both"/>
      </w:pPr>
    </w:p>
    <w:p w14:paraId="6D3FA46C" w14:textId="77777777" w:rsidR="001E450B" w:rsidRDefault="001E450B" w:rsidP="00370B58">
      <w:pPr>
        <w:jc w:val="both"/>
      </w:pPr>
      <w:bookmarkStart w:id="16" w:name="_Toc536706502"/>
      <w:bookmarkStart w:id="17" w:name="_Toc536706503"/>
      <w:bookmarkEnd w:id="16"/>
      <w:bookmarkEnd w:id="17"/>
    </w:p>
    <w:p w14:paraId="6D3FA46D" w14:textId="77777777" w:rsidR="00A305C8" w:rsidRDefault="00A305C8" w:rsidP="00370B58">
      <w:pPr>
        <w:jc w:val="both"/>
      </w:pPr>
      <w:r>
        <w:br w:type="page"/>
      </w:r>
    </w:p>
    <w:p w14:paraId="6D3FA46E" w14:textId="77777777" w:rsidR="001E450B" w:rsidRDefault="001E450B" w:rsidP="00370B58">
      <w:pPr>
        <w:jc w:val="both"/>
      </w:pPr>
    </w:p>
    <w:p w14:paraId="6D3FA46F" w14:textId="77777777" w:rsidR="003E6E57" w:rsidRDefault="003E6E57" w:rsidP="003E6E57">
      <w:pPr>
        <w:pStyle w:val="Heading1"/>
        <w:pageBreakBefore w:val="0"/>
      </w:pPr>
      <w:bookmarkStart w:id="18" w:name="_Toc9515120"/>
      <w:r>
        <w:t>AOB</w:t>
      </w:r>
      <w:bookmarkEnd w:id="18"/>
    </w:p>
    <w:p w14:paraId="1DBB7929" w14:textId="780E7A0A" w:rsidR="00FE66CD" w:rsidRDefault="00AC3A3D" w:rsidP="00FE66CD">
      <w:pPr>
        <w:jc w:val="both"/>
      </w:pPr>
      <w:r>
        <w:t>Capacity Working Group 7</w:t>
      </w:r>
      <w:r w:rsidR="00FE66CD">
        <w:t xml:space="preserve"> is provisionally scheduled for Thursday, 29</w:t>
      </w:r>
      <w:r w:rsidR="00C00B84" w:rsidRPr="00C00B84">
        <w:rPr>
          <w:vertAlign w:val="superscript"/>
        </w:rPr>
        <w:t>th</w:t>
      </w:r>
      <w:r w:rsidR="00FE66CD">
        <w:t xml:space="preserve"> August </w:t>
      </w:r>
      <w:r w:rsidR="00C00B84">
        <w:t>2019.</w:t>
      </w:r>
    </w:p>
    <w:p w14:paraId="6DF3D6BB" w14:textId="050D6C8E" w:rsidR="00C00B84" w:rsidRDefault="00C00B84" w:rsidP="00FE66CD">
      <w:pPr>
        <w:jc w:val="both"/>
      </w:pPr>
      <w:r>
        <w:t>Deadline for the receipt of new Modification Proposals is Thursday 15</w:t>
      </w:r>
      <w:r w:rsidRPr="00C00B84">
        <w:rPr>
          <w:vertAlign w:val="superscript"/>
        </w:rPr>
        <w:t>th</w:t>
      </w:r>
      <w:r>
        <w:t xml:space="preserve"> August 2019</w:t>
      </w:r>
    </w:p>
    <w:p w14:paraId="308CE8F9" w14:textId="2C0EDEC3" w:rsidR="00C00B84" w:rsidRDefault="00C00B84" w:rsidP="00FE66CD">
      <w:pPr>
        <w:jc w:val="both"/>
      </w:pPr>
    </w:p>
    <w:p w14:paraId="789FF88B" w14:textId="77777777" w:rsidR="00C00B84" w:rsidRDefault="00C00B84" w:rsidP="00FE66CD">
      <w:pPr>
        <w:jc w:val="both"/>
      </w:pPr>
    </w:p>
    <w:p w14:paraId="6D3FA472" w14:textId="77777777" w:rsidR="00370B58" w:rsidRDefault="00370B58" w:rsidP="00820946">
      <w:pPr>
        <w:pStyle w:val="Heading2"/>
      </w:pPr>
      <w:bookmarkStart w:id="19" w:name="_Toc9515121"/>
      <w:r>
        <w:t>NEXT STEPS</w:t>
      </w:r>
      <w:bookmarkEnd w:id="19"/>
    </w:p>
    <w:p w14:paraId="6F146C1F" w14:textId="77777777" w:rsidR="00FE66CD" w:rsidRDefault="00FE66CD" w:rsidP="00FE66CD">
      <w:pPr>
        <w:jc w:val="both"/>
      </w:pPr>
    </w:p>
    <w:p w14:paraId="78F83994" w14:textId="7B5CFBAF" w:rsidR="00E415A0" w:rsidRPr="00E415A0" w:rsidRDefault="00E415A0" w:rsidP="00E415A0">
      <w:pPr>
        <w:pStyle w:val="ListParagraph"/>
        <w:numPr>
          <w:ilvl w:val="0"/>
          <w:numId w:val="2"/>
        </w:numPr>
        <w:jc w:val="both"/>
        <w:rPr>
          <w:rFonts w:cs="Arial"/>
        </w:rPr>
      </w:pPr>
      <w:r w:rsidRPr="00E415A0">
        <w:rPr>
          <w:rFonts w:cs="Arial"/>
        </w:rPr>
        <w:t>Secretariat to issue Working Group Report by early</w:t>
      </w:r>
      <w:r w:rsidR="00911659">
        <w:rPr>
          <w:rFonts w:cs="Arial"/>
        </w:rPr>
        <w:t xml:space="preserve"> next week.</w:t>
      </w:r>
    </w:p>
    <w:p w14:paraId="1785105E" w14:textId="3CE47D93" w:rsidR="00FE66CD" w:rsidRDefault="00E415A0" w:rsidP="00FE66CD">
      <w:pPr>
        <w:pStyle w:val="ListParagraph"/>
        <w:numPr>
          <w:ilvl w:val="0"/>
          <w:numId w:val="2"/>
        </w:numPr>
        <w:jc w:val="both"/>
        <w:rPr>
          <w:rFonts w:cs="Arial"/>
        </w:rPr>
      </w:pPr>
      <w:r>
        <w:rPr>
          <w:rFonts w:cs="Arial"/>
        </w:rPr>
        <w:t>RAs to issue consultation on Standard Modification Proposals.</w:t>
      </w:r>
    </w:p>
    <w:p w14:paraId="7AAC3E71" w14:textId="6233A01F" w:rsidR="00E415A0" w:rsidRPr="00E415A0" w:rsidRDefault="00E415A0" w:rsidP="00FE66CD">
      <w:pPr>
        <w:pStyle w:val="ListParagraph"/>
        <w:numPr>
          <w:ilvl w:val="0"/>
          <w:numId w:val="2"/>
        </w:numPr>
        <w:jc w:val="both"/>
        <w:rPr>
          <w:rFonts w:cs="Arial"/>
        </w:rPr>
      </w:pPr>
      <w:r>
        <w:t>RAs to investigate if an issue ever occurred with RA delay and what protection is currently there.</w:t>
      </w:r>
    </w:p>
    <w:p w14:paraId="6D3FA47B" w14:textId="302B2077" w:rsidR="008705A6" w:rsidRPr="00E415A0" w:rsidRDefault="00E415A0" w:rsidP="00E415A0">
      <w:pPr>
        <w:pStyle w:val="ListParagraph"/>
        <w:numPr>
          <w:ilvl w:val="0"/>
          <w:numId w:val="2"/>
        </w:numPr>
        <w:jc w:val="both"/>
      </w:pPr>
      <w:r>
        <w:t>Proposer to submit a version 2 of this proposal updating the current legal drafting to reflect the points discussed.</w:t>
      </w:r>
    </w:p>
    <w:p w14:paraId="6D3FA47C" w14:textId="77777777" w:rsidR="008705A6" w:rsidRDefault="008705A6" w:rsidP="00370B58">
      <w:pPr>
        <w:pStyle w:val="ListParagraph"/>
        <w:jc w:val="both"/>
        <w:rPr>
          <w:rFonts w:cs="Arial"/>
        </w:rPr>
      </w:pPr>
    </w:p>
    <w:p w14:paraId="602CE5A7" w14:textId="77777777" w:rsidR="00C71EA9" w:rsidRDefault="00C71EA9" w:rsidP="00370B58">
      <w:pPr>
        <w:pStyle w:val="ListParagraph"/>
        <w:jc w:val="both"/>
        <w:rPr>
          <w:rFonts w:cs="Arial"/>
        </w:rPr>
      </w:pPr>
    </w:p>
    <w:p w14:paraId="1E41EE0F" w14:textId="77777777" w:rsidR="00C71EA9" w:rsidRDefault="00C71EA9">
      <w:pPr>
        <w:spacing w:before="0" w:after="200"/>
        <w:rPr>
          <w:rFonts w:cs="Arial"/>
        </w:rPr>
      </w:pPr>
      <w:r>
        <w:rPr>
          <w:rFonts w:cs="Arial"/>
        </w:rPr>
        <w:br w:type="page"/>
      </w:r>
    </w:p>
    <w:p w14:paraId="122F5CEA" w14:textId="35732AE9" w:rsidR="00C71EA9" w:rsidRDefault="00C71EA9" w:rsidP="00370B58">
      <w:pPr>
        <w:pStyle w:val="ListParagraph"/>
        <w:jc w:val="both"/>
        <w:rPr>
          <w:rFonts w:cs="Arial"/>
        </w:rPr>
      </w:pPr>
    </w:p>
    <w:p w14:paraId="6D3FA47D" w14:textId="2F47AB1B" w:rsidR="007D1E8F" w:rsidRDefault="007D1E8F" w:rsidP="001D7441">
      <w:pPr>
        <w:pStyle w:val="Heading1"/>
        <w:pageBreakBefore w:val="0"/>
        <w:numPr>
          <w:ilvl w:val="0"/>
          <w:numId w:val="0"/>
        </w:numPr>
        <w:pBdr>
          <w:left w:val="single" w:sz="24" w:space="1" w:color="4F81BD"/>
        </w:pBdr>
      </w:pPr>
      <w:bookmarkStart w:id="20" w:name="_Toc9515122"/>
      <w:r>
        <w:t>Appendix 1 – Pro</w:t>
      </w:r>
      <w:r w:rsidR="00915BE3">
        <w:t>gramme of work as discussed at Working G</w:t>
      </w:r>
      <w:r>
        <w:t xml:space="preserve">roup </w:t>
      </w:r>
      <w:r w:rsidR="00EC6098">
        <w:t>6</w:t>
      </w:r>
      <w:bookmarkEnd w:id="20"/>
    </w:p>
    <w:tbl>
      <w:tblPr>
        <w:tblpPr w:leftFromText="180" w:rightFromText="180" w:vertAnchor="text" w:tblpX="108"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2696"/>
        <w:gridCol w:w="2471"/>
      </w:tblGrid>
      <w:tr w:rsidR="00EC6098" w:rsidRPr="00B753FA" w14:paraId="59033136" w14:textId="77777777" w:rsidTr="00E415A0">
        <w:tc>
          <w:tcPr>
            <w:tcW w:w="9558" w:type="dxa"/>
            <w:gridSpan w:val="3"/>
            <w:shd w:val="clear" w:color="auto" w:fill="548DD4"/>
            <w:vAlign w:val="center"/>
          </w:tcPr>
          <w:p w14:paraId="024981BF" w14:textId="77777777" w:rsidR="00EC6098" w:rsidRPr="00AD2228" w:rsidRDefault="00EC6098" w:rsidP="00E415A0">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23 May 2019</w:t>
            </w:r>
          </w:p>
        </w:tc>
      </w:tr>
      <w:tr w:rsidR="00EC6098" w:rsidRPr="00B753FA" w14:paraId="5B81D36D" w14:textId="77777777" w:rsidTr="00E415A0">
        <w:tc>
          <w:tcPr>
            <w:tcW w:w="9558" w:type="dxa"/>
            <w:gridSpan w:val="3"/>
            <w:shd w:val="clear" w:color="auto" w:fill="DBE5F1"/>
            <w:vAlign w:val="center"/>
          </w:tcPr>
          <w:p w14:paraId="6A83C0A1" w14:textId="77777777" w:rsidR="00EC6098" w:rsidRPr="00C26D51" w:rsidRDefault="00EC6098" w:rsidP="00E415A0">
            <w:pPr>
              <w:spacing w:before="120" w:after="120"/>
              <w:jc w:val="center"/>
              <w:rPr>
                <w:rFonts w:cs="Arial"/>
                <w:color w:val="1F497D"/>
                <w:sz w:val="18"/>
                <w:szCs w:val="18"/>
              </w:rPr>
            </w:pPr>
            <w:r>
              <w:rPr>
                <w:rFonts w:cs="Arial"/>
                <w:b/>
                <w:bCs/>
                <w:color w:val="1F497D"/>
              </w:rPr>
              <w:t>Modification Proposals ‘Under Consultation’ without  System impacts</w:t>
            </w:r>
          </w:p>
        </w:tc>
      </w:tr>
      <w:tr w:rsidR="00EC6098" w:rsidRPr="00B753FA" w14:paraId="082F0DF8" w14:textId="77777777" w:rsidTr="00E415A0">
        <w:tc>
          <w:tcPr>
            <w:tcW w:w="4391" w:type="dxa"/>
            <w:vAlign w:val="center"/>
          </w:tcPr>
          <w:p w14:paraId="1E98EEDE" w14:textId="77777777" w:rsidR="00EC6098" w:rsidRPr="00C26D51" w:rsidRDefault="00EC6098" w:rsidP="00E415A0">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6C106E32" w14:textId="77777777" w:rsidR="00EC6098" w:rsidRPr="00C26D51" w:rsidRDefault="00EC6098" w:rsidP="00E415A0">
            <w:pPr>
              <w:spacing w:before="60" w:after="60"/>
              <w:jc w:val="center"/>
              <w:rPr>
                <w:rFonts w:cs="Arial"/>
                <w:color w:val="1F497D"/>
                <w:sz w:val="18"/>
                <w:szCs w:val="18"/>
              </w:rPr>
            </w:pPr>
            <w:r w:rsidRPr="00C26D51">
              <w:rPr>
                <w:rFonts w:cs="Arial"/>
                <w:b/>
                <w:bCs/>
                <w:color w:val="1F497D"/>
                <w:sz w:val="18"/>
                <w:szCs w:val="18"/>
              </w:rPr>
              <w:t>Sections Modified</w:t>
            </w:r>
          </w:p>
        </w:tc>
        <w:tc>
          <w:tcPr>
            <w:tcW w:w="2471" w:type="dxa"/>
            <w:vAlign w:val="center"/>
          </w:tcPr>
          <w:p w14:paraId="4D60732B" w14:textId="77777777" w:rsidR="00EC6098" w:rsidRPr="00C26D51" w:rsidRDefault="00EC6098" w:rsidP="00E415A0">
            <w:pPr>
              <w:spacing w:before="60" w:after="60"/>
              <w:jc w:val="center"/>
              <w:rPr>
                <w:rFonts w:cs="Arial"/>
                <w:color w:val="1F497D"/>
                <w:sz w:val="18"/>
                <w:szCs w:val="18"/>
              </w:rPr>
            </w:pPr>
            <w:r w:rsidRPr="00C26D51">
              <w:rPr>
                <w:rFonts w:cs="Arial"/>
                <w:b/>
                <w:bCs/>
                <w:color w:val="1F497D"/>
                <w:sz w:val="18"/>
                <w:szCs w:val="18"/>
              </w:rPr>
              <w:t>Sent</w:t>
            </w:r>
          </w:p>
        </w:tc>
      </w:tr>
      <w:tr w:rsidR="00EC6098" w:rsidRPr="00B753FA" w14:paraId="4B3D60E5" w14:textId="77777777" w:rsidTr="00E415A0">
        <w:tc>
          <w:tcPr>
            <w:tcW w:w="4391" w:type="dxa"/>
            <w:vAlign w:val="center"/>
          </w:tcPr>
          <w:p w14:paraId="1037924D" w14:textId="77777777" w:rsidR="00EC6098" w:rsidRDefault="00EC6098" w:rsidP="00E415A0">
            <w:pPr>
              <w:spacing w:before="60" w:after="60"/>
              <w:rPr>
                <w:rFonts w:cs="Arial"/>
                <w:sz w:val="18"/>
                <w:szCs w:val="18"/>
              </w:rPr>
            </w:pPr>
          </w:p>
        </w:tc>
        <w:tc>
          <w:tcPr>
            <w:tcW w:w="2696" w:type="dxa"/>
            <w:vAlign w:val="center"/>
          </w:tcPr>
          <w:p w14:paraId="3EF45815" w14:textId="77777777" w:rsidR="00EC6098" w:rsidRPr="008A7BE0" w:rsidRDefault="00EC6098" w:rsidP="00E415A0">
            <w:pPr>
              <w:autoSpaceDE w:val="0"/>
              <w:autoSpaceDN w:val="0"/>
              <w:adjustRightInd w:val="0"/>
              <w:jc w:val="center"/>
              <w:rPr>
                <w:rFonts w:ascii="Calibri" w:hAnsi="Calibri" w:cs="Arial"/>
              </w:rPr>
            </w:pPr>
          </w:p>
        </w:tc>
        <w:tc>
          <w:tcPr>
            <w:tcW w:w="2471" w:type="dxa"/>
            <w:vAlign w:val="center"/>
          </w:tcPr>
          <w:p w14:paraId="3EE3FBBD" w14:textId="77777777" w:rsidR="00EC6098" w:rsidRPr="00F27C9A" w:rsidRDefault="00EC6098" w:rsidP="00E415A0">
            <w:pPr>
              <w:spacing w:before="60" w:after="60"/>
              <w:jc w:val="center"/>
              <w:rPr>
                <w:rFonts w:cs="Arial"/>
                <w:color w:val="0D0D0D" w:themeColor="text1" w:themeTint="F2"/>
                <w:sz w:val="18"/>
                <w:szCs w:val="18"/>
              </w:rPr>
            </w:pPr>
          </w:p>
        </w:tc>
      </w:tr>
      <w:tr w:rsidR="00EC6098" w:rsidRPr="00B753FA" w14:paraId="7DDCAC80" w14:textId="77777777" w:rsidTr="00E415A0">
        <w:tc>
          <w:tcPr>
            <w:tcW w:w="9558" w:type="dxa"/>
            <w:gridSpan w:val="3"/>
            <w:shd w:val="clear" w:color="auto" w:fill="DBE5F1"/>
            <w:vAlign w:val="center"/>
          </w:tcPr>
          <w:p w14:paraId="0CBB05DD" w14:textId="77777777" w:rsidR="00EC6098" w:rsidRPr="00C26D51" w:rsidRDefault="00EC6098" w:rsidP="00E415A0">
            <w:pPr>
              <w:spacing w:before="120" w:after="120"/>
              <w:jc w:val="center"/>
              <w:rPr>
                <w:rFonts w:cs="Arial"/>
                <w:b/>
                <w:bCs/>
                <w:color w:val="1F497D"/>
              </w:rPr>
            </w:pPr>
            <w:r>
              <w:rPr>
                <w:rFonts w:cs="Arial"/>
                <w:b/>
                <w:bCs/>
                <w:color w:val="1F497D"/>
              </w:rPr>
              <w:t>Modification Proposals ‘Under Consultation’ with System impacts</w:t>
            </w:r>
          </w:p>
        </w:tc>
      </w:tr>
      <w:tr w:rsidR="00EC6098" w:rsidRPr="00B753FA" w14:paraId="067F02DF" w14:textId="77777777" w:rsidTr="00E415A0">
        <w:tc>
          <w:tcPr>
            <w:tcW w:w="4391" w:type="dxa"/>
            <w:vAlign w:val="center"/>
          </w:tcPr>
          <w:p w14:paraId="15D293B4" w14:textId="77777777" w:rsidR="00EC6098" w:rsidRPr="00633B70" w:rsidRDefault="00EC6098" w:rsidP="00E415A0">
            <w:pPr>
              <w:spacing w:before="60" w:after="60"/>
              <w:rPr>
                <w:rFonts w:cs="Arial"/>
                <w:sz w:val="18"/>
                <w:szCs w:val="18"/>
              </w:rPr>
            </w:pPr>
          </w:p>
        </w:tc>
        <w:tc>
          <w:tcPr>
            <w:tcW w:w="2696" w:type="dxa"/>
            <w:vAlign w:val="center"/>
          </w:tcPr>
          <w:p w14:paraId="4A7914C4" w14:textId="77777777" w:rsidR="00EC6098" w:rsidRPr="00F229B5" w:rsidRDefault="00EC6098" w:rsidP="00E415A0">
            <w:pPr>
              <w:autoSpaceDE w:val="0"/>
              <w:autoSpaceDN w:val="0"/>
              <w:adjustRightInd w:val="0"/>
              <w:jc w:val="center"/>
              <w:rPr>
                <w:rFonts w:eastAsia="Calibri" w:cs="Arial"/>
                <w:sz w:val="18"/>
                <w:szCs w:val="18"/>
                <w:lang w:eastAsia="en-GB"/>
              </w:rPr>
            </w:pPr>
          </w:p>
        </w:tc>
        <w:tc>
          <w:tcPr>
            <w:tcW w:w="2471" w:type="dxa"/>
            <w:vAlign w:val="center"/>
          </w:tcPr>
          <w:p w14:paraId="221E7BC5" w14:textId="77777777" w:rsidR="00EC6098" w:rsidRPr="000379A6" w:rsidRDefault="00EC6098" w:rsidP="00E415A0">
            <w:pPr>
              <w:spacing w:before="60" w:after="60"/>
              <w:jc w:val="center"/>
              <w:rPr>
                <w:rFonts w:cs="Arial"/>
                <w:color w:val="FF0000"/>
                <w:sz w:val="18"/>
                <w:szCs w:val="18"/>
              </w:rPr>
            </w:pPr>
          </w:p>
        </w:tc>
      </w:tr>
      <w:tr w:rsidR="00EC6098" w:rsidRPr="00B753FA" w14:paraId="2E75F15F" w14:textId="77777777" w:rsidTr="00E415A0">
        <w:tc>
          <w:tcPr>
            <w:tcW w:w="9558" w:type="dxa"/>
            <w:gridSpan w:val="3"/>
            <w:shd w:val="clear" w:color="auto" w:fill="DBE5F1"/>
            <w:vAlign w:val="center"/>
          </w:tcPr>
          <w:p w14:paraId="519DD15E" w14:textId="77777777" w:rsidR="00EC6098" w:rsidRPr="00C26D51" w:rsidRDefault="00EC6098" w:rsidP="00E415A0">
            <w:pPr>
              <w:spacing w:before="120" w:after="120"/>
              <w:jc w:val="center"/>
              <w:rPr>
                <w:rFonts w:cs="Arial"/>
                <w:b/>
                <w:bCs/>
                <w:color w:val="1F497D"/>
              </w:rPr>
            </w:pPr>
            <w:r>
              <w:rPr>
                <w:rFonts w:cs="Arial"/>
                <w:b/>
                <w:bCs/>
                <w:color w:val="1F497D"/>
              </w:rPr>
              <w:t>Modification Proposals ‘Recommended for Rejection’</w:t>
            </w:r>
          </w:p>
        </w:tc>
      </w:tr>
      <w:tr w:rsidR="00EC6098" w:rsidRPr="00B753FA" w14:paraId="2DACA72B" w14:textId="77777777" w:rsidTr="00E415A0">
        <w:tc>
          <w:tcPr>
            <w:tcW w:w="4391" w:type="dxa"/>
            <w:vAlign w:val="center"/>
          </w:tcPr>
          <w:p w14:paraId="7DB98467" w14:textId="77777777" w:rsidR="00EC6098" w:rsidRDefault="00EC6098" w:rsidP="00E415A0">
            <w:pPr>
              <w:spacing w:before="60" w:after="60"/>
              <w:rPr>
                <w:rFonts w:cs="Arial"/>
                <w:sz w:val="18"/>
                <w:szCs w:val="18"/>
              </w:rPr>
            </w:pPr>
            <w:r>
              <w:rPr>
                <w:rFonts w:cs="Arial"/>
                <w:sz w:val="18"/>
                <w:szCs w:val="18"/>
              </w:rPr>
              <w:t>CMC_04_19 Finalisation of Exchange Rate in Auction Information Pack</w:t>
            </w:r>
          </w:p>
        </w:tc>
        <w:tc>
          <w:tcPr>
            <w:tcW w:w="2696" w:type="dxa"/>
            <w:vAlign w:val="center"/>
          </w:tcPr>
          <w:p w14:paraId="51195AC7" w14:textId="77777777" w:rsidR="00EC6098" w:rsidRPr="00FE27C6" w:rsidRDefault="00EC6098" w:rsidP="00E415A0">
            <w:pPr>
              <w:autoSpaceDE w:val="0"/>
              <w:autoSpaceDN w:val="0"/>
              <w:adjustRightInd w:val="0"/>
              <w:jc w:val="center"/>
              <w:rPr>
                <w:rFonts w:ascii="Calibri" w:hAnsi="Calibri" w:cs="Arial"/>
              </w:rPr>
            </w:pPr>
            <w:r w:rsidRPr="008A7BE0">
              <w:rPr>
                <w:rFonts w:ascii="Calibri" w:hAnsi="Calibri" w:cs="Arial"/>
              </w:rPr>
              <w:t>D.3.1.2</w:t>
            </w:r>
          </w:p>
        </w:tc>
        <w:tc>
          <w:tcPr>
            <w:tcW w:w="2471" w:type="dxa"/>
            <w:vAlign w:val="center"/>
          </w:tcPr>
          <w:p w14:paraId="54BC6BC5" w14:textId="77777777" w:rsidR="00EC6098" w:rsidRDefault="00EC6098" w:rsidP="00E415A0">
            <w:pPr>
              <w:pStyle w:val="CommentText"/>
              <w:jc w:val="center"/>
            </w:pPr>
          </w:p>
          <w:p w14:paraId="5B7F387C" w14:textId="77777777" w:rsidR="00EC6098" w:rsidRDefault="00EC6098" w:rsidP="00E415A0">
            <w:pPr>
              <w:pStyle w:val="CommentText"/>
              <w:jc w:val="center"/>
            </w:pPr>
            <w:r>
              <w:t>n/a</w:t>
            </w:r>
          </w:p>
          <w:p w14:paraId="3AA6D7AC" w14:textId="77777777" w:rsidR="00EC6098" w:rsidRPr="007C2644" w:rsidRDefault="00EC6098" w:rsidP="00E415A0">
            <w:pPr>
              <w:spacing w:before="60" w:after="60"/>
              <w:jc w:val="center"/>
              <w:rPr>
                <w:rFonts w:cs="Arial"/>
                <w:color w:val="0D0D0D" w:themeColor="text1" w:themeTint="F2"/>
                <w:sz w:val="18"/>
                <w:szCs w:val="18"/>
              </w:rPr>
            </w:pPr>
          </w:p>
        </w:tc>
      </w:tr>
      <w:tr w:rsidR="00EC6098" w:rsidRPr="00B753FA" w14:paraId="4E955433" w14:textId="77777777" w:rsidTr="00E415A0">
        <w:tc>
          <w:tcPr>
            <w:tcW w:w="4391" w:type="dxa"/>
            <w:vAlign w:val="center"/>
          </w:tcPr>
          <w:p w14:paraId="5395F39D" w14:textId="77777777" w:rsidR="00EC6098" w:rsidRPr="00633B70" w:rsidRDefault="00EC6098" w:rsidP="00E415A0">
            <w:pPr>
              <w:spacing w:before="60" w:after="60"/>
              <w:rPr>
                <w:rFonts w:cs="Arial"/>
                <w:sz w:val="18"/>
                <w:szCs w:val="18"/>
              </w:rPr>
            </w:pPr>
            <w:r>
              <w:rPr>
                <w:rFonts w:cs="Arial"/>
                <w:sz w:val="18"/>
                <w:szCs w:val="18"/>
              </w:rPr>
              <w:t>CMC_05_18 Combining Candidate Units into a Capacity Market Unit</w:t>
            </w:r>
          </w:p>
        </w:tc>
        <w:tc>
          <w:tcPr>
            <w:tcW w:w="2696" w:type="dxa"/>
            <w:vAlign w:val="center"/>
          </w:tcPr>
          <w:p w14:paraId="3AAFA374" w14:textId="77777777" w:rsidR="00EC6098" w:rsidRPr="00FE27C6" w:rsidRDefault="00EC6098" w:rsidP="00E415A0">
            <w:pPr>
              <w:autoSpaceDE w:val="0"/>
              <w:autoSpaceDN w:val="0"/>
              <w:adjustRightInd w:val="0"/>
              <w:jc w:val="center"/>
              <w:rPr>
                <w:rFonts w:eastAsia="Calibri" w:cs="Arial"/>
                <w:sz w:val="18"/>
                <w:szCs w:val="18"/>
                <w:lang w:eastAsia="en-GB"/>
              </w:rPr>
            </w:pPr>
            <w:r w:rsidRPr="00FE27C6">
              <w:rPr>
                <w:rFonts w:ascii="Calibri" w:hAnsi="Calibri" w:cs="Arial"/>
              </w:rPr>
              <w:t>F.2.1.1</w:t>
            </w:r>
          </w:p>
        </w:tc>
        <w:tc>
          <w:tcPr>
            <w:tcW w:w="2471" w:type="dxa"/>
            <w:vAlign w:val="center"/>
          </w:tcPr>
          <w:p w14:paraId="7F1E75AC" w14:textId="77777777" w:rsidR="00EC6098" w:rsidRPr="007C2644" w:rsidRDefault="00EC6098" w:rsidP="00E415A0">
            <w:pPr>
              <w:spacing w:before="60" w:after="60"/>
              <w:jc w:val="center"/>
              <w:rPr>
                <w:rFonts w:cs="Arial"/>
                <w:color w:val="0D0D0D" w:themeColor="text1" w:themeTint="F2"/>
                <w:sz w:val="18"/>
                <w:szCs w:val="18"/>
              </w:rPr>
            </w:pPr>
            <w:r w:rsidRPr="007C2644">
              <w:rPr>
                <w:rFonts w:cs="Arial"/>
                <w:color w:val="0D0D0D" w:themeColor="text1" w:themeTint="F2"/>
                <w:sz w:val="18"/>
                <w:szCs w:val="18"/>
              </w:rPr>
              <w:t>n/a</w:t>
            </w:r>
          </w:p>
        </w:tc>
      </w:tr>
      <w:tr w:rsidR="00EC6098" w:rsidRPr="00B753FA" w14:paraId="7F90C469" w14:textId="77777777" w:rsidTr="00E415A0">
        <w:tc>
          <w:tcPr>
            <w:tcW w:w="4391" w:type="dxa"/>
            <w:vAlign w:val="center"/>
          </w:tcPr>
          <w:p w14:paraId="51CC0729" w14:textId="77777777" w:rsidR="00EC6098" w:rsidRPr="00633B70" w:rsidRDefault="00EC6098" w:rsidP="00E415A0">
            <w:pPr>
              <w:spacing w:before="60" w:after="60"/>
              <w:rPr>
                <w:rFonts w:cs="Arial"/>
                <w:sz w:val="18"/>
                <w:szCs w:val="18"/>
              </w:rPr>
            </w:pPr>
            <w:r>
              <w:rPr>
                <w:rFonts w:cs="Arial"/>
                <w:sz w:val="18"/>
                <w:szCs w:val="18"/>
              </w:rPr>
              <w:t>CMC_06_18 Disaggregation of Performance Security Requirements to Capacity Market Units</w:t>
            </w:r>
          </w:p>
        </w:tc>
        <w:tc>
          <w:tcPr>
            <w:tcW w:w="2696" w:type="dxa"/>
            <w:vAlign w:val="center"/>
          </w:tcPr>
          <w:p w14:paraId="1B3B998C" w14:textId="77777777" w:rsidR="00EC6098" w:rsidRPr="00F229B5" w:rsidRDefault="00EC6098" w:rsidP="00E415A0">
            <w:pPr>
              <w:autoSpaceDE w:val="0"/>
              <w:autoSpaceDN w:val="0"/>
              <w:adjustRightInd w:val="0"/>
              <w:jc w:val="center"/>
              <w:rPr>
                <w:rFonts w:eastAsia="Calibri" w:cs="Arial"/>
                <w:sz w:val="18"/>
                <w:szCs w:val="18"/>
                <w:lang w:eastAsia="en-GB"/>
              </w:rPr>
            </w:pPr>
            <w:r>
              <w:rPr>
                <w:rFonts w:eastAsia="Calibri" w:cs="Arial"/>
                <w:sz w:val="18"/>
                <w:szCs w:val="18"/>
                <w:lang w:eastAsia="en-GB"/>
              </w:rPr>
              <w:t>J.3.2</w:t>
            </w:r>
          </w:p>
        </w:tc>
        <w:tc>
          <w:tcPr>
            <w:tcW w:w="2471" w:type="dxa"/>
            <w:vAlign w:val="center"/>
          </w:tcPr>
          <w:p w14:paraId="587E47AE" w14:textId="77777777" w:rsidR="00EC6098" w:rsidRPr="007C2644" w:rsidRDefault="00EC6098" w:rsidP="00E415A0">
            <w:pPr>
              <w:spacing w:before="60" w:after="60"/>
              <w:jc w:val="center"/>
              <w:rPr>
                <w:rFonts w:cs="Arial"/>
                <w:color w:val="0D0D0D" w:themeColor="text1" w:themeTint="F2"/>
                <w:sz w:val="18"/>
                <w:szCs w:val="18"/>
              </w:rPr>
            </w:pPr>
            <w:r w:rsidRPr="007C2644">
              <w:rPr>
                <w:rFonts w:cs="Arial"/>
                <w:color w:val="0D0D0D" w:themeColor="text1" w:themeTint="F2"/>
                <w:sz w:val="18"/>
                <w:szCs w:val="18"/>
              </w:rPr>
              <w:t>n/a</w:t>
            </w:r>
          </w:p>
        </w:tc>
      </w:tr>
      <w:tr w:rsidR="00EC6098" w:rsidRPr="00B753FA" w14:paraId="7C6BE81D" w14:textId="77777777" w:rsidTr="00E415A0">
        <w:tc>
          <w:tcPr>
            <w:tcW w:w="9558" w:type="dxa"/>
            <w:gridSpan w:val="3"/>
            <w:shd w:val="clear" w:color="auto" w:fill="DBE5F1"/>
            <w:vAlign w:val="center"/>
          </w:tcPr>
          <w:p w14:paraId="6FCBE70E" w14:textId="77777777" w:rsidR="00EC6098" w:rsidRPr="00C26D51" w:rsidRDefault="00EC6098" w:rsidP="00E415A0">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EC6098" w:rsidRPr="00B753FA" w14:paraId="7DD3FC9C" w14:textId="77777777" w:rsidTr="00E415A0">
        <w:tc>
          <w:tcPr>
            <w:tcW w:w="4391" w:type="dxa"/>
            <w:vAlign w:val="center"/>
          </w:tcPr>
          <w:p w14:paraId="52B48D41" w14:textId="77777777" w:rsidR="00EC6098" w:rsidRPr="00633B70" w:rsidRDefault="00EC6098" w:rsidP="00E415A0">
            <w:pPr>
              <w:spacing w:before="60" w:after="60"/>
              <w:rPr>
                <w:rFonts w:cs="Arial"/>
                <w:sz w:val="18"/>
                <w:szCs w:val="18"/>
              </w:rPr>
            </w:pPr>
          </w:p>
        </w:tc>
        <w:tc>
          <w:tcPr>
            <w:tcW w:w="2696" w:type="dxa"/>
            <w:vAlign w:val="center"/>
          </w:tcPr>
          <w:p w14:paraId="739BE607" w14:textId="77777777" w:rsidR="00EC6098" w:rsidRPr="00F229B5" w:rsidRDefault="00EC6098" w:rsidP="00E415A0">
            <w:pPr>
              <w:autoSpaceDE w:val="0"/>
              <w:autoSpaceDN w:val="0"/>
              <w:adjustRightInd w:val="0"/>
              <w:jc w:val="center"/>
              <w:rPr>
                <w:rFonts w:eastAsia="Calibri" w:cs="Arial"/>
                <w:sz w:val="18"/>
                <w:szCs w:val="18"/>
                <w:lang w:eastAsia="en-GB"/>
              </w:rPr>
            </w:pPr>
          </w:p>
        </w:tc>
        <w:tc>
          <w:tcPr>
            <w:tcW w:w="2471" w:type="dxa"/>
            <w:vAlign w:val="center"/>
          </w:tcPr>
          <w:p w14:paraId="3ED49E91" w14:textId="77777777" w:rsidR="00EC6098" w:rsidRPr="000379A6" w:rsidRDefault="00EC6098" w:rsidP="00E415A0">
            <w:pPr>
              <w:spacing w:before="60" w:after="60"/>
              <w:jc w:val="center"/>
              <w:rPr>
                <w:rFonts w:cs="Arial"/>
                <w:color w:val="FF0000"/>
                <w:sz w:val="18"/>
                <w:szCs w:val="18"/>
              </w:rPr>
            </w:pPr>
          </w:p>
        </w:tc>
      </w:tr>
      <w:tr w:rsidR="00EC6098" w:rsidRPr="00B753FA" w14:paraId="2D67479B" w14:textId="77777777" w:rsidTr="00E415A0">
        <w:tc>
          <w:tcPr>
            <w:tcW w:w="9558" w:type="dxa"/>
            <w:gridSpan w:val="3"/>
            <w:shd w:val="clear" w:color="auto" w:fill="DBE5F1"/>
            <w:vAlign w:val="center"/>
          </w:tcPr>
          <w:p w14:paraId="488EE801" w14:textId="77777777" w:rsidR="00EC6098" w:rsidRPr="00633B70" w:rsidRDefault="00EC6098" w:rsidP="00E415A0">
            <w:pPr>
              <w:spacing w:before="120" w:after="120"/>
              <w:jc w:val="center"/>
              <w:rPr>
                <w:rFonts w:cs="Arial"/>
                <w:b/>
                <w:bCs/>
                <w:color w:val="1F497D"/>
              </w:rPr>
            </w:pPr>
            <w:r w:rsidRPr="00633B70">
              <w:rPr>
                <w:rFonts w:cs="Arial"/>
                <w:b/>
                <w:bCs/>
                <w:color w:val="1F497D"/>
              </w:rPr>
              <w:t>RA Decision Approved Modifications with System Impacts</w:t>
            </w:r>
          </w:p>
        </w:tc>
      </w:tr>
      <w:tr w:rsidR="00EC6098" w:rsidRPr="00B753FA" w14:paraId="0B2F5213" w14:textId="77777777" w:rsidTr="00E415A0">
        <w:tc>
          <w:tcPr>
            <w:tcW w:w="4391" w:type="dxa"/>
            <w:vAlign w:val="center"/>
          </w:tcPr>
          <w:p w14:paraId="6E32C598" w14:textId="77777777" w:rsidR="00EC6098" w:rsidRPr="00633B70" w:rsidRDefault="00EC6098" w:rsidP="00E415A0">
            <w:pPr>
              <w:spacing w:before="60" w:after="60"/>
              <w:rPr>
                <w:rFonts w:cs="Arial"/>
                <w:sz w:val="18"/>
                <w:szCs w:val="18"/>
              </w:rPr>
            </w:pPr>
          </w:p>
        </w:tc>
        <w:tc>
          <w:tcPr>
            <w:tcW w:w="2696" w:type="dxa"/>
            <w:vAlign w:val="center"/>
          </w:tcPr>
          <w:p w14:paraId="2CD35294" w14:textId="77777777" w:rsidR="00EC6098" w:rsidRPr="00F229B5" w:rsidRDefault="00EC6098" w:rsidP="00E415A0">
            <w:pPr>
              <w:autoSpaceDE w:val="0"/>
              <w:autoSpaceDN w:val="0"/>
              <w:adjustRightInd w:val="0"/>
              <w:jc w:val="center"/>
              <w:rPr>
                <w:rFonts w:eastAsia="Calibri" w:cs="Arial"/>
                <w:sz w:val="18"/>
                <w:szCs w:val="18"/>
                <w:lang w:eastAsia="en-GB"/>
              </w:rPr>
            </w:pPr>
          </w:p>
        </w:tc>
        <w:tc>
          <w:tcPr>
            <w:tcW w:w="2471" w:type="dxa"/>
            <w:vAlign w:val="center"/>
          </w:tcPr>
          <w:p w14:paraId="4213C312" w14:textId="77777777" w:rsidR="00EC6098" w:rsidRPr="000379A6" w:rsidRDefault="00EC6098" w:rsidP="00E415A0">
            <w:pPr>
              <w:spacing w:before="60" w:after="60"/>
              <w:jc w:val="center"/>
              <w:rPr>
                <w:rFonts w:cs="Arial"/>
                <w:color w:val="FF0000"/>
                <w:sz w:val="18"/>
                <w:szCs w:val="18"/>
              </w:rPr>
            </w:pPr>
          </w:p>
        </w:tc>
      </w:tr>
      <w:tr w:rsidR="00EC6098" w:rsidRPr="00B753FA" w14:paraId="233DA44B" w14:textId="77777777" w:rsidTr="00E415A0">
        <w:tc>
          <w:tcPr>
            <w:tcW w:w="9558" w:type="dxa"/>
            <w:gridSpan w:val="3"/>
            <w:shd w:val="clear" w:color="auto" w:fill="DBE5F1"/>
            <w:vAlign w:val="center"/>
          </w:tcPr>
          <w:p w14:paraId="316C4FC9" w14:textId="77777777" w:rsidR="00EC6098" w:rsidRPr="00633B70" w:rsidRDefault="00EC6098" w:rsidP="00E415A0">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EC6098" w:rsidRPr="00B753FA" w14:paraId="21DE290A" w14:textId="77777777" w:rsidTr="00E415A0">
        <w:tc>
          <w:tcPr>
            <w:tcW w:w="4391" w:type="dxa"/>
            <w:vAlign w:val="center"/>
          </w:tcPr>
          <w:p w14:paraId="0ED495A9" w14:textId="77777777" w:rsidR="00EC6098" w:rsidRDefault="00EC6098" w:rsidP="00E415A0">
            <w:pPr>
              <w:spacing w:before="60" w:after="60"/>
              <w:rPr>
                <w:rFonts w:cs="Arial"/>
                <w:sz w:val="18"/>
                <w:szCs w:val="18"/>
                <w:lang w:val="en-US"/>
              </w:rPr>
            </w:pPr>
            <w:r>
              <w:rPr>
                <w:rFonts w:cs="Arial"/>
                <w:sz w:val="18"/>
                <w:szCs w:val="18"/>
                <w:lang w:val="en-US"/>
              </w:rPr>
              <w:t>CMC_01_18 NICROS in the CRM</w:t>
            </w:r>
          </w:p>
        </w:tc>
        <w:tc>
          <w:tcPr>
            <w:tcW w:w="2696" w:type="dxa"/>
            <w:vAlign w:val="center"/>
          </w:tcPr>
          <w:p w14:paraId="0C7E21A8" w14:textId="77777777" w:rsidR="00EC6098" w:rsidRPr="00FE27C6" w:rsidRDefault="00EC6098" w:rsidP="00E415A0">
            <w:pPr>
              <w:overflowPunct w:val="0"/>
              <w:autoSpaceDE w:val="0"/>
              <w:autoSpaceDN w:val="0"/>
              <w:adjustRightInd w:val="0"/>
              <w:jc w:val="center"/>
              <w:textAlignment w:val="baseline"/>
              <w:rPr>
                <w:rFonts w:ascii="Calibri" w:hAnsi="Calibri" w:cs="Arial"/>
              </w:rPr>
            </w:pPr>
            <w:r w:rsidRPr="00FE27C6">
              <w:rPr>
                <w:rFonts w:ascii="Calibri" w:hAnsi="Calibri" w:cs="Arial"/>
              </w:rPr>
              <w:t>E.2.1.1, E.7.2.1, E.7.4.1</w:t>
            </w:r>
          </w:p>
        </w:tc>
        <w:tc>
          <w:tcPr>
            <w:tcW w:w="2471" w:type="dxa"/>
            <w:vAlign w:val="center"/>
          </w:tcPr>
          <w:p w14:paraId="5DDDD26B" w14:textId="77777777" w:rsidR="00EC6098" w:rsidRDefault="00EC6098" w:rsidP="00E415A0">
            <w:pPr>
              <w:jc w:val="center"/>
              <w:rPr>
                <w:rFonts w:cs="Arial"/>
                <w:sz w:val="18"/>
                <w:szCs w:val="18"/>
              </w:rPr>
            </w:pPr>
            <w:r>
              <w:rPr>
                <w:rFonts w:cs="Arial"/>
                <w:sz w:val="18"/>
                <w:szCs w:val="18"/>
              </w:rPr>
              <w:t>01 Oct 2018</w:t>
            </w:r>
          </w:p>
        </w:tc>
      </w:tr>
      <w:tr w:rsidR="00EC6098" w:rsidRPr="00B753FA" w14:paraId="67AAD033" w14:textId="77777777" w:rsidTr="00E415A0">
        <w:tc>
          <w:tcPr>
            <w:tcW w:w="4391" w:type="dxa"/>
            <w:vAlign w:val="center"/>
          </w:tcPr>
          <w:p w14:paraId="62D93A20" w14:textId="77777777" w:rsidR="00EC6098" w:rsidRDefault="00EC6098" w:rsidP="00E415A0">
            <w:pPr>
              <w:spacing w:before="60" w:after="60"/>
              <w:rPr>
                <w:rFonts w:cs="Arial"/>
                <w:sz w:val="18"/>
                <w:szCs w:val="18"/>
                <w:lang w:val="en-US"/>
              </w:rPr>
            </w:pPr>
            <w:r>
              <w:rPr>
                <w:rFonts w:cs="Arial"/>
                <w:sz w:val="18"/>
                <w:szCs w:val="18"/>
                <w:lang w:val="en-US"/>
              </w:rPr>
              <w:t>CMC_02_18 Permitted Disclosures – Credit Agencies</w:t>
            </w:r>
          </w:p>
        </w:tc>
        <w:tc>
          <w:tcPr>
            <w:tcW w:w="2696" w:type="dxa"/>
            <w:vAlign w:val="center"/>
          </w:tcPr>
          <w:p w14:paraId="4297C121" w14:textId="77777777" w:rsidR="00EC6098" w:rsidRPr="00686415" w:rsidRDefault="00EC6098" w:rsidP="00E415A0">
            <w:pPr>
              <w:overflowPunct w:val="0"/>
              <w:autoSpaceDE w:val="0"/>
              <w:autoSpaceDN w:val="0"/>
              <w:adjustRightInd w:val="0"/>
              <w:jc w:val="center"/>
              <w:textAlignment w:val="baseline"/>
              <w:rPr>
                <w:rFonts w:ascii="Calibri" w:hAnsi="Calibri" w:cs="Arial"/>
              </w:rPr>
            </w:pPr>
            <w:r>
              <w:rPr>
                <w:rFonts w:ascii="Calibri" w:hAnsi="Calibri" w:cs="Arial"/>
              </w:rPr>
              <w:t>B.23.2.1 (a)</w:t>
            </w:r>
          </w:p>
        </w:tc>
        <w:tc>
          <w:tcPr>
            <w:tcW w:w="2471" w:type="dxa"/>
            <w:vAlign w:val="center"/>
          </w:tcPr>
          <w:p w14:paraId="52D8F138" w14:textId="77777777" w:rsidR="00EC6098" w:rsidRDefault="00EC6098" w:rsidP="00E415A0">
            <w:pPr>
              <w:jc w:val="center"/>
              <w:rPr>
                <w:rFonts w:cs="Arial"/>
                <w:sz w:val="18"/>
                <w:szCs w:val="18"/>
              </w:rPr>
            </w:pPr>
            <w:r>
              <w:rPr>
                <w:rFonts w:cs="Arial"/>
                <w:sz w:val="18"/>
                <w:szCs w:val="18"/>
              </w:rPr>
              <w:t>01 Oct 2018</w:t>
            </w:r>
          </w:p>
        </w:tc>
      </w:tr>
      <w:tr w:rsidR="00EC6098" w:rsidRPr="00B753FA" w14:paraId="1BFC76CB" w14:textId="77777777" w:rsidTr="00E415A0">
        <w:tc>
          <w:tcPr>
            <w:tcW w:w="4391" w:type="dxa"/>
            <w:vAlign w:val="center"/>
          </w:tcPr>
          <w:p w14:paraId="1F023315" w14:textId="77777777" w:rsidR="00EC6098" w:rsidRDefault="00EC6098" w:rsidP="00E415A0">
            <w:pPr>
              <w:spacing w:before="60" w:after="60"/>
              <w:rPr>
                <w:rFonts w:cs="Arial"/>
                <w:sz w:val="18"/>
                <w:szCs w:val="18"/>
                <w:lang w:val="en-US"/>
              </w:rPr>
            </w:pPr>
            <w:r>
              <w:rPr>
                <w:rFonts w:cs="Arial"/>
                <w:sz w:val="18"/>
                <w:szCs w:val="18"/>
                <w:lang w:val="en-US"/>
              </w:rPr>
              <w:t>CMC_04_18 F.2.1.1 Capacity Auction Participation</w:t>
            </w:r>
          </w:p>
        </w:tc>
        <w:tc>
          <w:tcPr>
            <w:tcW w:w="2696" w:type="dxa"/>
            <w:vAlign w:val="center"/>
          </w:tcPr>
          <w:p w14:paraId="326E7E74" w14:textId="77777777" w:rsidR="00EC6098" w:rsidRPr="00870D94" w:rsidRDefault="00EC6098" w:rsidP="00E415A0">
            <w:pPr>
              <w:overflowPunct w:val="0"/>
              <w:autoSpaceDE w:val="0"/>
              <w:autoSpaceDN w:val="0"/>
              <w:adjustRightInd w:val="0"/>
              <w:jc w:val="center"/>
              <w:textAlignment w:val="baseline"/>
              <w:rPr>
                <w:rFonts w:ascii="Calibri" w:hAnsi="Calibri" w:cs="Arial"/>
                <w:lang w:eastAsia="en-GB"/>
              </w:rPr>
            </w:pPr>
            <w:r>
              <w:rPr>
                <w:rFonts w:ascii="Calibri" w:hAnsi="Calibri" w:cs="Arial"/>
                <w:lang w:eastAsia="en-GB"/>
              </w:rPr>
              <w:t>F.2.1.1</w:t>
            </w:r>
          </w:p>
        </w:tc>
        <w:tc>
          <w:tcPr>
            <w:tcW w:w="2471" w:type="dxa"/>
            <w:vAlign w:val="center"/>
          </w:tcPr>
          <w:p w14:paraId="53F5E91A" w14:textId="77777777" w:rsidR="00EC6098" w:rsidRDefault="00EC6098" w:rsidP="00E415A0">
            <w:pPr>
              <w:jc w:val="center"/>
              <w:rPr>
                <w:rFonts w:cs="Arial"/>
                <w:sz w:val="18"/>
                <w:szCs w:val="18"/>
              </w:rPr>
            </w:pPr>
            <w:r>
              <w:rPr>
                <w:rFonts w:cs="Arial"/>
                <w:sz w:val="18"/>
                <w:szCs w:val="18"/>
              </w:rPr>
              <w:t>01 Oct 2018</w:t>
            </w:r>
          </w:p>
        </w:tc>
      </w:tr>
      <w:tr w:rsidR="00EC6098" w:rsidRPr="00B753FA" w14:paraId="708B596F" w14:textId="77777777" w:rsidTr="00E415A0">
        <w:tc>
          <w:tcPr>
            <w:tcW w:w="4391" w:type="dxa"/>
            <w:vAlign w:val="center"/>
          </w:tcPr>
          <w:p w14:paraId="3F661640" w14:textId="77777777" w:rsidR="00EC6098" w:rsidRDefault="00EC6098" w:rsidP="00E415A0">
            <w:pPr>
              <w:spacing w:before="60" w:after="60"/>
              <w:rPr>
                <w:rFonts w:cs="Arial"/>
                <w:sz w:val="18"/>
                <w:szCs w:val="18"/>
                <w:lang w:val="en-US"/>
              </w:rPr>
            </w:pPr>
            <w:r>
              <w:rPr>
                <w:rFonts w:cs="Arial"/>
                <w:sz w:val="18"/>
                <w:szCs w:val="18"/>
                <w:lang w:val="en-US"/>
              </w:rPr>
              <w:t>CMC_07_18 Subsection F.9.5 Information Published following a Capacity Auction</w:t>
            </w:r>
          </w:p>
        </w:tc>
        <w:tc>
          <w:tcPr>
            <w:tcW w:w="2696" w:type="dxa"/>
            <w:vAlign w:val="center"/>
          </w:tcPr>
          <w:p w14:paraId="4A705A2F" w14:textId="77777777" w:rsidR="00EC6098" w:rsidRPr="005F65E2" w:rsidRDefault="00EC6098" w:rsidP="00E415A0">
            <w:pPr>
              <w:overflowPunct w:val="0"/>
              <w:autoSpaceDE w:val="0"/>
              <w:autoSpaceDN w:val="0"/>
              <w:adjustRightInd w:val="0"/>
              <w:jc w:val="center"/>
              <w:textAlignment w:val="baseline"/>
              <w:rPr>
                <w:rFonts w:ascii="Calibri" w:hAnsi="Calibri" w:cs="Arial"/>
                <w:lang w:eastAsia="en-GB"/>
              </w:rPr>
            </w:pPr>
            <w:r w:rsidRPr="005F65E2">
              <w:rPr>
                <w:rFonts w:ascii="Calibri" w:hAnsi="Calibri" w:cs="Arial"/>
              </w:rPr>
              <w:t>F.9.5</w:t>
            </w:r>
          </w:p>
        </w:tc>
        <w:tc>
          <w:tcPr>
            <w:tcW w:w="2471" w:type="dxa"/>
            <w:vAlign w:val="center"/>
          </w:tcPr>
          <w:p w14:paraId="53409B1C" w14:textId="77777777" w:rsidR="00EC6098" w:rsidRDefault="00EC6098" w:rsidP="00E415A0">
            <w:pPr>
              <w:jc w:val="center"/>
              <w:rPr>
                <w:rFonts w:cs="Arial"/>
                <w:sz w:val="18"/>
                <w:szCs w:val="18"/>
              </w:rPr>
            </w:pPr>
            <w:r>
              <w:rPr>
                <w:rFonts w:cs="Arial"/>
                <w:sz w:val="18"/>
                <w:szCs w:val="18"/>
              </w:rPr>
              <w:t>01 Oct 2018</w:t>
            </w:r>
          </w:p>
        </w:tc>
      </w:tr>
      <w:tr w:rsidR="00EC6098" w:rsidRPr="00B753FA" w14:paraId="20AC904B" w14:textId="77777777" w:rsidTr="00E415A0">
        <w:tc>
          <w:tcPr>
            <w:tcW w:w="4391" w:type="dxa"/>
            <w:vAlign w:val="center"/>
          </w:tcPr>
          <w:p w14:paraId="2CF2F67B" w14:textId="77777777" w:rsidR="00EC6098" w:rsidRDefault="00EC6098" w:rsidP="00E415A0">
            <w:pPr>
              <w:spacing w:before="60" w:after="60"/>
              <w:rPr>
                <w:rFonts w:cs="Arial"/>
                <w:sz w:val="18"/>
                <w:szCs w:val="18"/>
                <w:lang w:val="en-US"/>
              </w:rPr>
            </w:pPr>
            <w:r>
              <w:rPr>
                <w:rFonts w:cs="Arial"/>
                <w:sz w:val="18"/>
                <w:szCs w:val="18"/>
                <w:lang w:val="en-US"/>
              </w:rPr>
              <w:t>CMC_08_18 Typographical Correction E.8.2.4</w:t>
            </w:r>
          </w:p>
        </w:tc>
        <w:tc>
          <w:tcPr>
            <w:tcW w:w="2696" w:type="dxa"/>
            <w:vAlign w:val="center"/>
          </w:tcPr>
          <w:p w14:paraId="7FE68999" w14:textId="77777777" w:rsidR="00EC6098" w:rsidRPr="005F65E2" w:rsidRDefault="00EC6098" w:rsidP="00E415A0">
            <w:pPr>
              <w:overflowPunct w:val="0"/>
              <w:autoSpaceDE w:val="0"/>
              <w:autoSpaceDN w:val="0"/>
              <w:adjustRightInd w:val="0"/>
              <w:jc w:val="center"/>
              <w:textAlignment w:val="baseline"/>
              <w:rPr>
                <w:rFonts w:ascii="Calibri" w:hAnsi="Calibri" w:cs="Arial"/>
              </w:rPr>
            </w:pPr>
            <w:r>
              <w:rPr>
                <w:rFonts w:ascii="Calibri" w:hAnsi="Calibri" w:cs="Arial"/>
              </w:rPr>
              <w:t>E</w:t>
            </w:r>
          </w:p>
        </w:tc>
        <w:tc>
          <w:tcPr>
            <w:tcW w:w="2471" w:type="dxa"/>
            <w:vAlign w:val="center"/>
          </w:tcPr>
          <w:p w14:paraId="4A39A645" w14:textId="77777777" w:rsidR="00EC6098" w:rsidRDefault="00EC6098" w:rsidP="00E415A0">
            <w:pPr>
              <w:jc w:val="center"/>
              <w:rPr>
                <w:rFonts w:cs="Arial"/>
                <w:sz w:val="18"/>
                <w:szCs w:val="18"/>
              </w:rPr>
            </w:pPr>
            <w:r>
              <w:rPr>
                <w:rFonts w:cs="Arial"/>
                <w:sz w:val="18"/>
                <w:szCs w:val="18"/>
              </w:rPr>
              <w:t>01 Oct 2018</w:t>
            </w:r>
          </w:p>
        </w:tc>
      </w:tr>
      <w:tr w:rsidR="00EC6098" w:rsidRPr="00B753FA" w14:paraId="46FA6FB6" w14:textId="77777777" w:rsidTr="00E415A0">
        <w:tc>
          <w:tcPr>
            <w:tcW w:w="4391" w:type="dxa"/>
            <w:vAlign w:val="center"/>
          </w:tcPr>
          <w:p w14:paraId="17283DF4" w14:textId="77777777" w:rsidR="00EC6098" w:rsidRDefault="00EC6098" w:rsidP="00E415A0">
            <w:pPr>
              <w:spacing w:before="60" w:after="60"/>
              <w:rPr>
                <w:rFonts w:cs="Arial"/>
                <w:sz w:val="18"/>
                <w:szCs w:val="18"/>
                <w:lang w:val="en-US"/>
              </w:rPr>
            </w:pPr>
            <w:r>
              <w:rPr>
                <w:rFonts w:cs="Arial"/>
                <w:sz w:val="18"/>
                <w:szCs w:val="18"/>
                <w:lang w:val="en-US"/>
              </w:rPr>
              <w:t>CMC_09_18 Paragraph E.9.5.1 Publication of Qualification Results</w:t>
            </w:r>
          </w:p>
        </w:tc>
        <w:tc>
          <w:tcPr>
            <w:tcW w:w="2696" w:type="dxa"/>
            <w:vAlign w:val="center"/>
          </w:tcPr>
          <w:p w14:paraId="7DDD6FA9" w14:textId="77777777" w:rsidR="00EC6098" w:rsidRDefault="00EC6098" w:rsidP="00E415A0">
            <w:pPr>
              <w:overflowPunct w:val="0"/>
              <w:autoSpaceDE w:val="0"/>
              <w:autoSpaceDN w:val="0"/>
              <w:adjustRightInd w:val="0"/>
              <w:jc w:val="center"/>
              <w:textAlignment w:val="baseline"/>
              <w:rPr>
                <w:rFonts w:ascii="Calibri" w:hAnsi="Calibri" w:cs="Arial"/>
              </w:rPr>
            </w:pPr>
            <w:r>
              <w:rPr>
                <w:rFonts w:ascii="Calibri" w:hAnsi="Calibri" w:cs="Arial"/>
              </w:rPr>
              <w:t>E.9.5.1</w:t>
            </w:r>
          </w:p>
        </w:tc>
        <w:tc>
          <w:tcPr>
            <w:tcW w:w="2471" w:type="dxa"/>
            <w:vAlign w:val="center"/>
          </w:tcPr>
          <w:p w14:paraId="3311A52D" w14:textId="77777777" w:rsidR="00EC6098" w:rsidRDefault="00EC6098" w:rsidP="00E415A0">
            <w:pPr>
              <w:jc w:val="center"/>
              <w:rPr>
                <w:rFonts w:cs="Arial"/>
                <w:sz w:val="18"/>
                <w:szCs w:val="18"/>
              </w:rPr>
            </w:pPr>
            <w:r>
              <w:rPr>
                <w:rFonts w:cs="Arial"/>
                <w:sz w:val="18"/>
                <w:szCs w:val="18"/>
              </w:rPr>
              <w:t>01 Oct 2018</w:t>
            </w:r>
          </w:p>
        </w:tc>
      </w:tr>
      <w:tr w:rsidR="00EC6098" w:rsidRPr="00B753FA" w14:paraId="5072956D" w14:textId="77777777" w:rsidTr="00E415A0">
        <w:tc>
          <w:tcPr>
            <w:tcW w:w="4391" w:type="dxa"/>
            <w:vAlign w:val="center"/>
          </w:tcPr>
          <w:p w14:paraId="109C7415" w14:textId="77777777" w:rsidR="00EC6098" w:rsidRDefault="00EC6098" w:rsidP="00E415A0">
            <w:pPr>
              <w:spacing w:before="60" w:after="60"/>
              <w:rPr>
                <w:rFonts w:cs="Arial"/>
                <w:sz w:val="18"/>
                <w:szCs w:val="18"/>
                <w:lang w:val="en-US"/>
              </w:rPr>
            </w:pPr>
            <w:r>
              <w:rPr>
                <w:rFonts w:cs="Arial"/>
                <w:sz w:val="18"/>
                <w:szCs w:val="18"/>
                <w:lang w:val="en-US"/>
              </w:rPr>
              <w:t>CMC_10_18 Paragraph B.10.4.1 Report on Capacity Auction</w:t>
            </w:r>
          </w:p>
        </w:tc>
        <w:tc>
          <w:tcPr>
            <w:tcW w:w="2696" w:type="dxa"/>
            <w:vAlign w:val="center"/>
          </w:tcPr>
          <w:p w14:paraId="5D1E10BC" w14:textId="77777777" w:rsidR="00EC6098" w:rsidRDefault="00EC6098" w:rsidP="00E415A0">
            <w:pPr>
              <w:overflowPunct w:val="0"/>
              <w:autoSpaceDE w:val="0"/>
              <w:autoSpaceDN w:val="0"/>
              <w:adjustRightInd w:val="0"/>
              <w:jc w:val="center"/>
              <w:textAlignment w:val="baseline"/>
              <w:rPr>
                <w:rFonts w:ascii="Calibri" w:hAnsi="Calibri" w:cs="Arial"/>
              </w:rPr>
            </w:pPr>
            <w:r>
              <w:rPr>
                <w:rFonts w:ascii="Calibri" w:hAnsi="Calibri" w:cs="Arial"/>
              </w:rPr>
              <w:t>B.10.4.1</w:t>
            </w:r>
          </w:p>
        </w:tc>
        <w:tc>
          <w:tcPr>
            <w:tcW w:w="2471" w:type="dxa"/>
            <w:vAlign w:val="center"/>
          </w:tcPr>
          <w:p w14:paraId="6574E498" w14:textId="77777777" w:rsidR="00EC6098" w:rsidRDefault="00EC6098" w:rsidP="00E415A0">
            <w:pPr>
              <w:jc w:val="center"/>
              <w:rPr>
                <w:rFonts w:cs="Arial"/>
                <w:sz w:val="18"/>
                <w:szCs w:val="18"/>
              </w:rPr>
            </w:pPr>
            <w:r>
              <w:rPr>
                <w:rFonts w:cs="Arial"/>
                <w:sz w:val="18"/>
                <w:szCs w:val="18"/>
              </w:rPr>
              <w:t>01 Oct 2018</w:t>
            </w:r>
          </w:p>
        </w:tc>
      </w:tr>
      <w:tr w:rsidR="00EC6098" w:rsidRPr="00B753FA" w14:paraId="1BAA585A" w14:textId="77777777" w:rsidTr="00E415A0">
        <w:tc>
          <w:tcPr>
            <w:tcW w:w="4391" w:type="dxa"/>
            <w:vAlign w:val="center"/>
          </w:tcPr>
          <w:p w14:paraId="56DB5A40" w14:textId="77777777" w:rsidR="00EC6098" w:rsidRDefault="00EC6098" w:rsidP="00E415A0">
            <w:pPr>
              <w:spacing w:before="60" w:after="60"/>
              <w:rPr>
                <w:rFonts w:cs="Arial"/>
                <w:sz w:val="18"/>
                <w:szCs w:val="18"/>
                <w:lang w:val="en-US"/>
              </w:rPr>
            </w:pPr>
            <w:r>
              <w:rPr>
                <w:rFonts w:cs="Arial"/>
                <w:sz w:val="18"/>
                <w:szCs w:val="18"/>
                <w:lang w:val="en-US"/>
              </w:rPr>
              <w:t>CMC_11_18 Long Stop Dates</w:t>
            </w:r>
          </w:p>
        </w:tc>
        <w:tc>
          <w:tcPr>
            <w:tcW w:w="2696" w:type="dxa"/>
            <w:vAlign w:val="center"/>
          </w:tcPr>
          <w:p w14:paraId="3822396B"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E56D99">
              <w:rPr>
                <w:rFonts w:ascii="Calibri" w:hAnsi="Calibri" w:cs="Arial"/>
              </w:rPr>
              <w:t>D.2; D.3.1.2; J.5.2.1; J.6.1.1(b); J.6.1.2(a); Glossary</w:t>
            </w:r>
          </w:p>
        </w:tc>
        <w:tc>
          <w:tcPr>
            <w:tcW w:w="2471" w:type="dxa"/>
            <w:vAlign w:val="center"/>
          </w:tcPr>
          <w:p w14:paraId="1401947E" w14:textId="77777777" w:rsidR="00EC6098" w:rsidRDefault="00EC6098" w:rsidP="00E415A0">
            <w:pPr>
              <w:jc w:val="center"/>
              <w:rPr>
                <w:rFonts w:cs="Arial"/>
                <w:sz w:val="18"/>
                <w:szCs w:val="18"/>
              </w:rPr>
            </w:pPr>
            <w:r>
              <w:rPr>
                <w:rFonts w:cs="Arial"/>
                <w:sz w:val="18"/>
                <w:szCs w:val="18"/>
              </w:rPr>
              <w:t>30 Nov 2018</w:t>
            </w:r>
          </w:p>
        </w:tc>
      </w:tr>
      <w:tr w:rsidR="00EC6098" w:rsidRPr="00B753FA" w14:paraId="38C8B377" w14:textId="77777777" w:rsidTr="00E415A0">
        <w:tc>
          <w:tcPr>
            <w:tcW w:w="4391" w:type="dxa"/>
            <w:vAlign w:val="center"/>
          </w:tcPr>
          <w:p w14:paraId="710C3F79" w14:textId="77777777" w:rsidR="00EC6098" w:rsidRDefault="00EC6098" w:rsidP="00E415A0">
            <w:pPr>
              <w:spacing w:before="60" w:after="60"/>
              <w:rPr>
                <w:rFonts w:cs="Arial"/>
                <w:sz w:val="18"/>
                <w:szCs w:val="18"/>
                <w:lang w:val="en-US"/>
              </w:rPr>
            </w:pPr>
            <w:r>
              <w:rPr>
                <w:rFonts w:cs="Arial"/>
                <w:sz w:val="18"/>
                <w:szCs w:val="18"/>
                <w:lang w:val="en-US"/>
              </w:rPr>
              <w:t>CMC_12_18 Tolerance Class</w:t>
            </w:r>
          </w:p>
        </w:tc>
        <w:tc>
          <w:tcPr>
            <w:tcW w:w="2696" w:type="dxa"/>
            <w:vAlign w:val="center"/>
          </w:tcPr>
          <w:p w14:paraId="7DEBE96F"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E56D99">
              <w:rPr>
                <w:rFonts w:ascii="Calibri" w:hAnsi="Calibri" w:cs="Arial"/>
              </w:rPr>
              <w:t>D.3.1.2; D.3.1.3; E.8.2.3; E.8.2.6-E.8.2.8; Glossary</w:t>
            </w:r>
          </w:p>
        </w:tc>
        <w:tc>
          <w:tcPr>
            <w:tcW w:w="2471" w:type="dxa"/>
            <w:vAlign w:val="center"/>
          </w:tcPr>
          <w:p w14:paraId="5E67377E" w14:textId="77777777" w:rsidR="00EC6098" w:rsidRDefault="00EC6098" w:rsidP="00E415A0">
            <w:pPr>
              <w:jc w:val="center"/>
              <w:rPr>
                <w:rFonts w:cs="Arial"/>
                <w:sz w:val="18"/>
                <w:szCs w:val="18"/>
              </w:rPr>
            </w:pPr>
            <w:r>
              <w:rPr>
                <w:rFonts w:cs="Arial"/>
                <w:sz w:val="18"/>
                <w:szCs w:val="18"/>
              </w:rPr>
              <w:t>30 Nov 2018</w:t>
            </w:r>
          </w:p>
        </w:tc>
      </w:tr>
      <w:tr w:rsidR="00EC6098" w:rsidRPr="00B753FA" w14:paraId="01673A61" w14:textId="77777777" w:rsidTr="00E415A0">
        <w:tc>
          <w:tcPr>
            <w:tcW w:w="4391" w:type="dxa"/>
            <w:vAlign w:val="center"/>
          </w:tcPr>
          <w:p w14:paraId="0699BC24" w14:textId="77777777" w:rsidR="00EC6098" w:rsidRDefault="00EC6098" w:rsidP="00E415A0">
            <w:pPr>
              <w:spacing w:before="60" w:after="60"/>
              <w:rPr>
                <w:rFonts w:cs="Arial"/>
                <w:sz w:val="18"/>
                <w:szCs w:val="18"/>
                <w:lang w:val="en-US"/>
              </w:rPr>
            </w:pPr>
            <w:r>
              <w:rPr>
                <w:rFonts w:cs="Arial"/>
                <w:sz w:val="18"/>
                <w:szCs w:val="18"/>
                <w:lang w:val="en-US"/>
              </w:rPr>
              <w:t>CMC_13_18 Modification to Letter of Credit</w:t>
            </w:r>
          </w:p>
        </w:tc>
        <w:tc>
          <w:tcPr>
            <w:tcW w:w="2696" w:type="dxa"/>
            <w:vAlign w:val="center"/>
          </w:tcPr>
          <w:p w14:paraId="52D377BC"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E56D99">
              <w:rPr>
                <w:rFonts w:ascii="Calibri" w:hAnsi="Calibri" w:cs="Arial"/>
              </w:rPr>
              <w:t>Appendix H</w:t>
            </w:r>
          </w:p>
        </w:tc>
        <w:tc>
          <w:tcPr>
            <w:tcW w:w="2471" w:type="dxa"/>
            <w:vAlign w:val="center"/>
          </w:tcPr>
          <w:p w14:paraId="15A54C27" w14:textId="77777777" w:rsidR="00EC6098" w:rsidRDefault="00EC6098" w:rsidP="00E415A0">
            <w:pPr>
              <w:jc w:val="center"/>
              <w:rPr>
                <w:rFonts w:cs="Arial"/>
                <w:sz w:val="18"/>
                <w:szCs w:val="18"/>
              </w:rPr>
            </w:pPr>
            <w:r>
              <w:rPr>
                <w:rFonts w:cs="Arial"/>
                <w:sz w:val="18"/>
                <w:szCs w:val="18"/>
              </w:rPr>
              <w:t>30 Nov 2018</w:t>
            </w:r>
          </w:p>
        </w:tc>
      </w:tr>
      <w:tr w:rsidR="00EC6098" w:rsidRPr="00B753FA" w14:paraId="006EED9D" w14:textId="77777777" w:rsidTr="00E415A0">
        <w:tc>
          <w:tcPr>
            <w:tcW w:w="4391" w:type="dxa"/>
            <w:vAlign w:val="center"/>
          </w:tcPr>
          <w:p w14:paraId="70375647" w14:textId="77777777" w:rsidR="00EC6098" w:rsidRDefault="00EC6098" w:rsidP="00E415A0">
            <w:pPr>
              <w:spacing w:before="60" w:after="60"/>
              <w:rPr>
                <w:rFonts w:cs="Arial"/>
                <w:sz w:val="18"/>
                <w:szCs w:val="18"/>
                <w:lang w:val="en-US"/>
              </w:rPr>
            </w:pPr>
            <w:r>
              <w:rPr>
                <w:rFonts w:cs="Arial"/>
                <w:sz w:val="18"/>
                <w:szCs w:val="18"/>
                <w:lang w:val="en-US"/>
              </w:rPr>
              <w:t>CMC_14_18 Proposed Modifications in Regards to the Modification of LCC MW Limits by the RAs</w:t>
            </w:r>
          </w:p>
        </w:tc>
        <w:tc>
          <w:tcPr>
            <w:tcW w:w="2696" w:type="dxa"/>
            <w:vAlign w:val="center"/>
          </w:tcPr>
          <w:p w14:paraId="15F5E718"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E56D99">
              <w:rPr>
                <w:rFonts w:ascii="Calibri" w:hAnsi="Calibri" w:cs="Arial"/>
              </w:rPr>
              <w:t>F.4.1.8</w:t>
            </w:r>
          </w:p>
        </w:tc>
        <w:tc>
          <w:tcPr>
            <w:tcW w:w="2471" w:type="dxa"/>
            <w:vAlign w:val="center"/>
          </w:tcPr>
          <w:p w14:paraId="15AF4822" w14:textId="77777777" w:rsidR="00EC6098" w:rsidRDefault="00EC6098" w:rsidP="00E415A0">
            <w:pPr>
              <w:jc w:val="center"/>
              <w:rPr>
                <w:rFonts w:cs="Arial"/>
                <w:sz w:val="18"/>
                <w:szCs w:val="18"/>
              </w:rPr>
            </w:pPr>
            <w:r>
              <w:rPr>
                <w:rFonts w:cs="Arial"/>
                <w:sz w:val="18"/>
                <w:szCs w:val="18"/>
              </w:rPr>
              <w:t>30 Nov 2018</w:t>
            </w:r>
          </w:p>
        </w:tc>
      </w:tr>
      <w:tr w:rsidR="00EC6098" w:rsidRPr="00B753FA" w14:paraId="0ACABA28" w14:textId="77777777" w:rsidTr="00E415A0">
        <w:tc>
          <w:tcPr>
            <w:tcW w:w="4391" w:type="dxa"/>
            <w:vAlign w:val="center"/>
          </w:tcPr>
          <w:p w14:paraId="3A9E486C" w14:textId="77777777" w:rsidR="00EC6098" w:rsidRDefault="00EC6098" w:rsidP="00E415A0">
            <w:pPr>
              <w:spacing w:before="60" w:after="60"/>
              <w:rPr>
                <w:rFonts w:cs="Arial"/>
                <w:sz w:val="18"/>
                <w:szCs w:val="18"/>
                <w:lang w:val="en-US"/>
              </w:rPr>
            </w:pPr>
            <w:r>
              <w:rPr>
                <w:rFonts w:cs="Arial"/>
                <w:sz w:val="18"/>
                <w:szCs w:val="18"/>
              </w:rPr>
              <w:t>CMC_01_19 Interim Solution for Conducting Capacity Auctions</w:t>
            </w:r>
          </w:p>
        </w:tc>
        <w:tc>
          <w:tcPr>
            <w:tcW w:w="2696" w:type="dxa"/>
            <w:vAlign w:val="center"/>
          </w:tcPr>
          <w:p w14:paraId="654D2D67"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F27C9A">
              <w:rPr>
                <w:rFonts w:ascii="Calibri" w:hAnsi="Calibri" w:cs="Arial"/>
              </w:rPr>
              <w:t>M.4.1.2, M.4.1.6, M.6.1.7</w:t>
            </w:r>
          </w:p>
        </w:tc>
        <w:tc>
          <w:tcPr>
            <w:tcW w:w="2471" w:type="dxa"/>
            <w:vAlign w:val="bottom"/>
          </w:tcPr>
          <w:p w14:paraId="5CD3A960" w14:textId="77777777" w:rsidR="00EC6098" w:rsidRDefault="00EC6098" w:rsidP="00E415A0">
            <w:pPr>
              <w:pStyle w:val="CommentText"/>
              <w:jc w:val="center"/>
            </w:pPr>
          </w:p>
          <w:p w14:paraId="3F15A35D" w14:textId="77777777" w:rsidR="00EC6098" w:rsidRDefault="00EC6098" w:rsidP="00E415A0">
            <w:pPr>
              <w:pStyle w:val="CommentText"/>
              <w:jc w:val="center"/>
            </w:pPr>
            <w:r>
              <w:t>20 Mar 2019</w:t>
            </w:r>
          </w:p>
          <w:p w14:paraId="3C28F84F" w14:textId="77777777" w:rsidR="00EC6098" w:rsidRDefault="00EC6098" w:rsidP="00E415A0">
            <w:pPr>
              <w:jc w:val="center"/>
              <w:rPr>
                <w:rFonts w:cs="Arial"/>
                <w:sz w:val="18"/>
                <w:szCs w:val="18"/>
              </w:rPr>
            </w:pPr>
          </w:p>
        </w:tc>
      </w:tr>
      <w:tr w:rsidR="00EC6098" w:rsidRPr="00B753FA" w14:paraId="54B2A011" w14:textId="77777777" w:rsidTr="00E415A0">
        <w:tc>
          <w:tcPr>
            <w:tcW w:w="4391" w:type="dxa"/>
            <w:vAlign w:val="center"/>
          </w:tcPr>
          <w:p w14:paraId="1E5440A3" w14:textId="77777777" w:rsidR="00EC6098" w:rsidRDefault="00EC6098" w:rsidP="00E415A0">
            <w:pPr>
              <w:spacing w:before="60" w:after="60"/>
              <w:rPr>
                <w:rFonts w:cs="Arial"/>
                <w:sz w:val="18"/>
                <w:szCs w:val="18"/>
                <w:lang w:val="en-US"/>
              </w:rPr>
            </w:pPr>
            <w:r>
              <w:rPr>
                <w:rFonts w:cs="Arial"/>
                <w:sz w:val="18"/>
                <w:szCs w:val="18"/>
              </w:rPr>
              <w:lastRenderedPageBreak/>
              <w:t>CMC_02_19 Negative Interest</w:t>
            </w:r>
          </w:p>
        </w:tc>
        <w:tc>
          <w:tcPr>
            <w:tcW w:w="2696" w:type="dxa"/>
            <w:vAlign w:val="center"/>
          </w:tcPr>
          <w:p w14:paraId="21407838"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F27C9A">
              <w:rPr>
                <w:rFonts w:ascii="Calibri" w:hAnsi="Calibri" w:cs="Arial"/>
              </w:rPr>
              <w:t>Section B.7.2.1 &amp; J 3.3.2 (d)</w:t>
            </w:r>
          </w:p>
        </w:tc>
        <w:tc>
          <w:tcPr>
            <w:tcW w:w="2471" w:type="dxa"/>
            <w:vAlign w:val="center"/>
          </w:tcPr>
          <w:p w14:paraId="4150CF5D" w14:textId="77777777" w:rsidR="00EC6098" w:rsidRDefault="00EC6098" w:rsidP="00E415A0">
            <w:pPr>
              <w:pStyle w:val="CommentText"/>
              <w:jc w:val="center"/>
            </w:pPr>
          </w:p>
          <w:p w14:paraId="54300684" w14:textId="77777777" w:rsidR="00EC6098" w:rsidRDefault="00EC6098" w:rsidP="00E415A0">
            <w:pPr>
              <w:pStyle w:val="CommentText"/>
              <w:jc w:val="center"/>
            </w:pPr>
            <w:r>
              <w:t>20 Mar 2019</w:t>
            </w:r>
          </w:p>
          <w:p w14:paraId="5176C6BA" w14:textId="77777777" w:rsidR="00EC6098" w:rsidRDefault="00EC6098" w:rsidP="00E415A0">
            <w:pPr>
              <w:jc w:val="center"/>
              <w:rPr>
                <w:rFonts w:cs="Arial"/>
                <w:sz w:val="18"/>
                <w:szCs w:val="18"/>
              </w:rPr>
            </w:pPr>
          </w:p>
        </w:tc>
      </w:tr>
      <w:tr w:rsidR="00EC6098" w:rsidRPr="00B753FA" w14:paraId="7D72F624" w14:textId="77777777" w:rsidTr="00E415A0">
        <w:tc>
          <w:tcPr>
            <w:tcW w:w="4391" w:type="dxa"/>
            <w:vAlign w:val="center"/>
          </w:tcPr>
          <w:p w14:paraId="63B3857D" w14:textId="77777777" w:rsidR="00EC6098" w:rsidRDefault="00EC6098" w:rsidP="00E415A0">
            <w:pPr>
              <w:spacing w:before="60" w:after="60"/>
              <w:rPr>
                <w:rFonts w:cs="Arial"/>
                <w:sz w:val="18"/>
                <w:szCs w:val="18"/>
                <w:lang w:val="en-US"/>
              </w:rPr>
            </w:pPr>
            <w:r>
              <w:rPr>
                <w:rFonts w:cs="Arial"/>
                <w:sz w:val="18"/>
                <w:szCs w:val="18"/>
              </w:rPr>
              <w:t>CMC_03_19 Treatment of Exempt Price-Quantity Pairs</w:t>
            </w:r>
          </w:p>
        </w:tc>
        <w:tc>
          <w:tcPr>
            <w:tcW w:w="2696" w:type="dxa"/>
            <w:vAlign w:val="center"/>
          </w:tcPr>
          <w:p w14:paraId="7914FA07" w14:textId="77777777" w:rsidR="00EC6098" w:rsidRPr="00E56D99" w:rsidRDefault="00EC6098" w:rsidP="00E415A0">
            <w:pPr>
              <w:overflowPunct w:val="0"/>
              <w:autoSpaceDE w:val="0"/>
              <w:autoSpaceDN w:val="0"/>
              <w:adjustRightInd w:val="0"/>
              <w:jc w:val="center"/>
              <w:textAlignment w:val="baseline"/>
              <w:rPr>
                <w:rFonts w:ascii="Calibri" w:hAnsi="Calibri" w:cs="Arial"/>
              </w:rPr>
            </w:pPr>
            <w:r w:rsidRPr="00F27C9A">
              <w:rPr>
                <w:rFonts w:ascii="Calibri" w:hAnsi="Calibri" w:cs="Arial"/>
              </w:rPr>
              <w:t>F.8, Glossary</w:t>
            </w:r>
          </w:p>
        </w:tc>
        <w:tc>
          <w:tcPr>
            <w:tcW w:w="2471" w:type="dxa"/>
            <w:vAlign w:val="center"/>
          </w:tcPr>
          <w:p w14:paraId="34C8D4C8" w14:textId="77777777" w:rsidR="00EC6098" w:rsidRDefault="00EC6098" w:rsidP="00E415A0">
            <w:pPr>
              <w:pStyle w:val="CommentText"/>
              <w:jc w:val="center"/>
            </w:pPr>
          </w:p>
          <w:p w14:paraId="1797C869" w14:textId="77777777" w:rsidR="00EC6098" w:rsidRDefault="00EC6098" w:rsidP="00E415A0">
            <w:pPr>
              <w:pStyle w:val="CommentText"/>
              <w:jc w:val="center"/>
            </w:pPr>
            <w:r>
              <w:t>20 Mar 2019</w:t>
            </w:r>
          </w:p>
          <w:p w14:paraId="34F0301F" w14:textId="77777777" w:rsidR="00EC6098" w:rsidRDefault="00EC6098" w:rsidP="00E415A0">
            <w:pPr>
              <w:jc w:val="center"/>
              <w:rPr>
                <w:rFonts w:cs="Arial"/>
                <w:sz w:val="18"/>
                <w:szCs w:val="18"/>
              </w:rPr>
            </w:pPr>
          </w:p>
        </w:tc>
      </w:tr>
      <w:tr w:rsidR="00EC6098" w:rsidRPr="00B753FA" w14:paraId="13D95C03" w14:textId="77777777" w:rsidTr="00E415A0">
        <w:tc>
          <w:tcPr>
            <w:tcW w:w="9558" w:type="dxa"/>
            <w:gridSpan w:val="3"/>
            <w:shd w:val="clear" w:color="auto" w:fill="DBE5F1"/>
            <w:vAlign w:val="center"/>
          </w:tcPr>
          <w:p w14:paraId="3E59BDF6" w14:textId="77777777" w:rsidR="00EC6098" w:rsidRPr="00633B70" w:rsidRDefault="00EC6098" w:rsidP="00E415A0">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EC6098" w:rsidRPr="00B753FA" w14:paraId="7072104D" w14:textId="77777777" w:rsidTr="00E415A0">
        <w:tc>
          <w:tcPr>
            <w:tcW w:w="4391" w:type="dxa"/>
            <w:vAlign w:val="center"/>
          </w:tcPr>
          <w:p w14:paraId="14ABAA2C" w14:textId="77777777" w:rsidR="00EC6098" w:rsidRPr="00633B70" w:rsidRDefault="00EC6098" w:rsidP="00E415A0">
            <w:pPr>
              <w:spacing w:before="60" w:after="60"/>
              <w:rPr>
                <w:rFonts w:cs="Arial"/>
                <w:sz w:val="18"/>
                <w:szCs w:val="18"/>
              </w:rPr>
            </w:pPr>
          </w:p>
        </w:tc>
        <w:tc>
          <w:tcPr>
            <w:tcW w:w="2696" w:type="dxa"/>
            <w:vAlign w:val="center"/>
          </w:tcPr>
          <w:p w14:paraId="18AC0D9D" w14:textId="77777777" w:rsidR="00EC6098" w:rsidRPr="00686415" w:rsidRDefault="00EC6098" w:rsidP="00E415A0">
            <w:pPr>
              <w:autoSpaceDE w:val="0"/>
              <w:autoSpaceDN w:val="0"/>
              <w:adjustRightInd w:val="0"/>
              <w:jc w:val="center"/>
              <w:rPr>
                <w:rFonts w:eastAsia="Calibri" w:cs="Arial"/>
                <w:sz w:val="18"/>
                <w:szCs w:val="18"/>
                <w:lang w:eastAsia="en-GB"/>
              </w:rPr>
            </w:pPr>
          </w:p>
        </w:tc>
        <w:tc>
          <w:tcPr>
            <w:tcW w:w="2471" w:type="dxa"/>
            <w:vAlign w:val="center"/>
          </w:tcPr>
          <w:p w14:paraId="1B92F948" w14:textId="77777777" w:rsidR="00EC6098" w:rsidRPr="000379A6" w:rsidRDefault="00EC6098" w:rsidP="00E415A0">
            <w:pPr>
              <w:spacing w:before="60" w:after="60"/>
              <w:jc w:val="center"/>
              <w:rPr>
                <w:rFonts w:cs="Arial"/>
                <w:color w:val="FF0000"/>
                <w:sz w:val="18"/>
                <w:szCs w:val="18"/>
              </w:rPr>
            </w:pPr>
          </w:p>
        </w:tc>
      </w:tr>
      <w:tr w:rsidR="00EC6098" w:rsidRPr="00B753FA" w14:paraId="38948CDC" w14:textId="77777777" w:rsidTr="00E415A0">
        <w:tc>
          <w:tcPr>
            <w:tcW w:w="4391" w:type="dxa"/>
            <w:vAlign w:val="center"/>
          </w:tcPr>
          <w:p w14:paraId="62E84F4F" w14:textId="77777777" w:rsidR="00EC6098" w:rsidRPr="00270CA3" w:rsidRDefault="00EC6098" w:rsidP="00E415A0">
            <w:pPr>
              <w:spacing w:before="60" w:after="60"/>
              <w:rPr>
                <w:rFonts w:cs="Arial"/>
                <w:sz w:val="18"/>
                <w:szCs w:val="18"/>
              </w:rPr>
            </w:pPr>
          </w:p>
        </w:tc>
        <w:tc>
          <w:tcPr>
            <w:tcW w:w="2696" w:type="dxa"/>
            <w:vAlign w:val="center"/>
          </w:tcPr>
          <w:p w14:paraId="053774ED" w14:textId="77777777" w:rsidR="00EC6098" w:rsidRPr="00DE12A0" w:rsidRDefault="00EC6098" w:rsidP="00E415A0">
            <w:pPr>
              <w:autoSpaceDE w:val="0"/>
              <w:autoSpaceDN w:val="0"/>
              <w:adjustRightInd w:val="0"/>
              <w:jc w:val="center"/>
              <w:rPr>
                <w:rFonts w:cs="Arial"/>
                <w:sz w:val="18"/>
                <w:szCs w:val="18"/>
              </w:rPr>
            </w:pPr>
          </w:p>
        </w:tc>
        <w:tc>
          <w:tcPr>
            <w:tcW w:w="2471" w:type="dxa"/>
            <w:vAlign w:val="center"/>
          </w:tcPr>
          <w:p w14:paraId="3B8D58CD" w14:textId="77777777" w:rsidR="00EC6098" w:rsidRDefault="00EC6098" w:rsidP="00E415A0">
            <w:pPr>
              <w:spacing w:before="60" w:after="60"/>
              <w:jc w:val="center"/>
              <w:rPr>
                <w:rFonts w:cs="Arial"/>
                <w:sz w:val="18"/>
                <w:szCs w:val="18"/>
              </w:rPr>
            </w:pPr>
          </w:p>
        </w:tc>
      </w:tr>
      <w:tr w:rsidR="00EC6098" w:rsidRPr="00B753FA" w14:paraId="539C45F8" w14:textId="77777777" w:rsidTr="00E415A0">
        <w:tc>
          <w:tcPr>
            <w:tcW w:w="9558" w:type="dxa"/>
            <w:gridSpan w:val="3"/>
            <w:shd w:val="clear" w:color="auto" w:fill="DBE5F1" w:themeFill="accent1" w:themeFillTint="33"/>
            <w:vAlign w:val="center"/>
          </w:tcPr>
          <w:p w14:paraId="35ECAC57" w14:textId="77777777" w:rsidR="00EC6098" w:rsidRPr="00633B70" w:rsidRDefault="00EC6098" w:rsidP="00E415A0">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EC6098" w:rsidRPr="00B753FA" w14:paraId="57070F4F" w14:textId="77777777" w:rsidTr="00E415A0">
        <w:tc>
          <w:tcPr>
            <w:tcW w:w="4391" w:type="dxa"/>
            <w:vAlign w:val="center"/>
          </w:tcPr>
          <w:p w14:paraId="2D35160F" w14:textId="77777777" w:rsidR="00EC6098" w:rsidRPr="00633B70" w:rsidRDefault="00EC6098" w:rsidP="00E415A0">
            <w:pPr>
              <w:spacing w:before="60" w:after="60"/>
              <w:rPr>
                <w:rFonts w:cs="Arial"/>
                <w:sz w:val="18"/>
                <w:szCs w:val="18"/>
              </w:rPr>
            </w:pPr>
            <w:r>
              <w:rPr>
                <w:rFonts w:cs="Arial"/>
                <w:sz w:val="18"/>
                <w:szCs w:val="18"/>
              </w:rPr>
              <w:t>CMC_03_18 E.5.1.1.A</w:t>
            </w:r>
          </w:p>
        </w:tc>
        <w:tc>
          <w:tcPr>
            <w:tcW w:w="2696" w:type="dxa"/>
            <w:vAlign w:val="center"/>
          </w:tcPr>
          <w:p w14:paraId="689C048E" w14:textId="77777777" w:rsidR="00EC6098" w:rsidRPr="0051022D" w:rsidRDefault="00EC6098" w:rsidP="00E415A0">
            <w:pPr>
              <w:autoSpaceDE w:val="0"/>
              <w:autoSpaceDN w:val="0"/>
              <w:adjustRightInd w:val="0"/>
              <w:jc w:val="center"/>
              <w:rPr>
                <w:rFonts w:eastAsia="Calibri" w:cs="Arial"/>
                <w:sz w:val="18"/>
                <w:szCs w:val="18"/>
                <w:lang w:eastAsia="en-GB"/>
              </w:rPr>
            </w:pPr>
            <w:r w:rsidRPr="0051022D">
              <w:rPr>
                <w:rFonts w:ascii="Calibri" w:hAnsi="Calibri" w:cs="Arial"/>
              </w:rPr>
              <w:t>E, J, Appendix D</w:t>
            </w:r>
          </w:p>
        </w:tc>
        <w:tc>
          <w:tcPr>
            <w:tcW w:w="2471" w:type="dxa"/>
            <w:vAlign w:val="center"/>
          </w:tcPr>
          <w:p w14:paraId="4467A3E3" w14:textId="77777777" w:rsidR="00EC6098" w:rsidRPr="00D26F66" w:rsidRDefault="00EC6098" w:rsidP="00E415A0">
            <w:pPr>
              <w:spacing w:before="60" w:after="60"/>
              <w:jc w:val="center"/>
              <w:rPr>
                <w:rFonts w:cs="Arial"/>
                <w:color w:val="0D0D0D" w:themeColor="text1" w:themeTint="F2"/>
                <w:sz w:val="18"/>
                <w:szCs w:val="18"/>
              </w:rPr>
            </w:pPr>
            <w:r>
              <w:rPr>
                <w:rFonts w:cs="Arial"/>
                <w:color w:val="0D0D0D" w:themeColor="text1" w:themeTint="F2"/>
                <w:sz w:val="18"/>
                <w:szCs w:val="18"/>
              </w:rPr>
              <w:t>n/a</w:t>
            </w:r>
          </w:p>
        </w:tc>
      </w:tr>
      <w:tr w:rsidR="00EC6098" w:rsidRPr="00B753FA" w14:paraId="5A4FC5DD" w14:textId="77777777" w:rsidTr="00E415A0">
        <w:tc>
          <w:tcPr>
            <w:tcW w:w="9558" w:type="dxa"/>
            <w:gridSpan w:val="3"/>
            <w:shd w:val="clear" w:color="auto" w:fill="DBE5F1" w:themeFill="accent1" w:themeFillTint="33"/>
            <w:vAlign w:val="center"/>
          </w:tcPr>
          <w:p w14:paraId="44E32D5B" w14:textId="77777777" w:rsidR="00EC6098" w:rsidRPr="00633B70" w:rsidRDefault="00EC6098" w:rsidP="00E415A0">
            <w:pPr>
              <w:spacing w:before="120" w:after="120"/>
              <w:jc w:val="center"/>
              <w:rPr>
                <w:rFonts w:cs="Arial"/>
                <w:b/>
                <w:bCs/>
                <w:color w:val="1F497D"/>
              </w:rPr>
            </w:pPr>
            <w:r w:rsidRPr="00164751">
              <w:rPr>
                <w:rFonts w:cs="Arial"/>
                <w:b/>
                <w:bCs/>
                <w:color w:val="1F497D"/>
              </w:rPr>
              <w:t>Modification Proposal Extensions</w:t>
            </w:r>
          </w:p>
        </w:tc>
      </w:tr>
      <w:tr w:rsidR="00EC6098" w:rsidRPr="00B753FA" w14:paraId="2FDD7082" w14:textId="77777777" w:rsidTr="00E415A0">
        <w:tc>
          <w:tcPr>
            <w:tcW w:w="4391" w:type="dxa"/>
            <w:vAlign w:val="center"/>
          </w:tcPr>
          <w:p w14:paraId="416685E7" w14:textId="77777777" w:rsidR="00EC6098" w:rsidRPr="00B12EA3" w:rsidRDefault="00EC6098" w:rsidP="00E415A0">
            <w:pPr>
              <w:autoSpaceDE w:val="0"/>
              <w:autoSpaceDN w:val="0"/>
              <w:adjustRightInd w:val="0"/>
              <w:rPr>
                <w:rFonts w:eastAsia="Calibri"/>
                <w:sz w:val="24"/>
                <w:szCs w:val="24"/>
                <w:lang w:eastAsia="en-GB"/>
              </w:rPr>
            </w:pPr>
          </w:p>
        </w:tc>
        <w:tc>
          <w:tcPr>
            <w:tcW w:w="2696" w:type="dxa"/>
            <w:vAlign w:val="center"/>
          </w:tcPr>
          <w:p w14:paraId="152BC7DC" w14:textId="77777777" w:rsidR="00EC6098" w:rsidRPr="00F229B5" w:rsidRDefault="00EC6098" w:rsidP="00E415A0">
            <w:pPr>
              <w:autoSpaceDE w:val="0"/>
              <w:autoSpaceDN w:val="0"/>
              <w:adjustRightInd w:val="0"/>
              <w:jc w:val="center"/>
              <w:rPr>
                <w:rFonts w:eastAsia="Calibri" w:cs="Arial"/>
                <w:sz w:val="18"/>
                <w:szCs w:val="18"/>
                <w:lang w:eastAsia="en-GB"/>
              </w:rPr>
            </w:pPr>
          </w:p>
        </w:tc>
        <w:tc>
          <w:tcPr>
            <w:tcW w:w="2471" w:type="dxa"/>
            <w:vAlign w:val="center"/>
          </w:tcPr>
          <w:p w14:paraId="4B9F0DB3" w14:textId="77777777" w:rsidR="00EC6098" w:rsidRPr="004970DC" w:rsidRDefault="00EC6098" w:rsidP="00E415A0">
            <w:pPr>
              <w:spacing w:before="60" w:after="60"/>
              <w:jc w:val="center"/>
              <w:rPr>
                <w:rFonts w:cs="Arial"/>
                <w:sz w:val="18"/>
                <w:szCs w:val="18"/>
              </w:rPr>
            </w:pPr>
          </w:p>
        </w:tc>
      </w:tr>
      <w:tr w:rsidR="00EC6098" w:rsidRPr="00B753FA" w14:paraId="70084156" w14:textId="77777777" w:rsidTr="00E415A0">
        <w:trPr>
          <w:trHeight w:val="880"/>
        </w:trPr>
        <w:tc>
          <w:tcPr>
            <w:tcW w:w="9558" w:type="dxa"/>
            <w:gridSpan w:val="3"/>
            <w:shd w:val="clear" w:color="auto" w:fill="DBE5F1" w:themeFill="accent1" w:themeFillTint="33"/>
            <w:vAlign w:val="center"/>
          </w:tcPr>
          <w:p w14:paraId="5D31F4F4" w14:textId="77777777" w:rsidR="00EC6098" w:rsidRPr="00326065" w:rsidRDefault="00EC6098" w:rsidP="00E415A0">
            <w:pPr>
              <w:rPr>
                <w:rFonts w:cs="Arial"/>
                <w:b/>
                <w:bCs/>
                <w:color w:val="1F497D"/>
              </w:rPr>
            </w:pPr>
          </w:p>
          <w:p w14:paraId="671AC9D3" w14:textId="6DB4134A" w:rsidR="005E6502" w:rsidRDefault="005E6502" w:rsidP="00E415A0">
            <w:pPr>
              <w:pStyle w:val="ListParagraph"/>
              <w:spacing w:before="120" w:after="120"/>
              <w:rPr>
                <w:rFonts w:cs="Arial"/>
                <w:b/>
                <w:bCs/>
                <w:color w:val="1F497D"/>
              </w:rPr>
            </w:pPr>
            <w:r>
              <w:rPr>
                <w:rFonts w:cs="Arial"/>
                <w:b/>
                <w:bCs/>
                <w:color w:val="1F497D"/>
              </w:rPr>
              <w:t>CMC_06_19 Second Workshop – 19</w:t>
            </w:r>
            <w:r>
              <w:rPr>
                <w:rFonts w:cs="Arial"/>
                <w:b/>
                <w:bCs/>
                <w:color w:val="1F497D"/>
                <w:vertAlign w:val="superscript"/>
              </w:rPr>
              <w:t xml:space="preserve"> </w:t>
            </w:r>
            <w:r>
              <w:rPr>
                <w:rFonts w:cs="Arial"/>
                <w:b/>
                <w:bCs/>
                <w:color w:val="1F497D"/>
              </w:rPr>
              <w:t>June 2019</w:t>
            </w:r>
          </w:p>
          <w:p w14:paraId="608F2AA7" w14:textId="77777777" w:rsidR="00EC6098" w:rsidRDefault="00EC6098" w:rsidP="00E415A0">
            <w:pPr>
              <w:pStyle w:val="ListParagraph"/>
              <w:spacing w:before="120" w:after="120"/>
              <w:rPr>
                <w:rFonts w:cs="Arial"/>
                <w:b/>
                <w:bCs/>
                <w:color w:val="1F497D"/>
              </w:rPr>
            </w:pPr>
            <w:r>
              <w:rPr>
                <w:rFonts w:cs="Arial"/>
                <w:b/>
                <w:bCs/>
                <w:color w:val="1F497D"/>
              </w:rPr>
              <w:t>Capacity Working Group 7 – 29 August 2019</w:t>
            </w:r>
          </w:p>
          <w:p w14:paraId="6F6425BA" w14:textId="77777777" w:rsidR="00EC6098" w:rsidRPr="00002319" w:rsidRDefault="00EC6098" w:rsidP="00E415A0">
            <w:pPr>
              <w:pStyle w:val="ListParagraph"/>
              <w:spacing w:before="120" w:after="120"/>
              <w:rPr>
                <w:rFonts w:cs="Arial"/>
                <w:b/>
                <w:bCs/>
                <w:color w:val="1F497D"/>
              </w:rPr>
            </w:pPr>
          </w:p>
        </w:tc>
      </w:tr>
    </w:tbl>
    <w:p w14:paraId="07BF6852" w14:textId="77777777" w:rsidR="00EC6098" w:rsidRPr="00775F3D" w:rsidRDefault="00EC6098" w:rsidP="00EC6098">
      <w:r>
        <w:br w:type="textWrapping" w:clear="all"/>
      </w:r>
    </w:p>
    <w:p w14:paraId="6FAAB0B2" w14:textId="77777777" w:rsidR="00EC6098" w:rsidRPr="00EC6098" w:rsidRDefault="00EC6098" w:rsidP="00EC6098">
      <w:pPr>
        <w:rPr>
          <w:lang w:bidi="ar-SA"/>
        </w:rPr>
      </w:pPr>
    </w:p>
    <w:sectPr w:rsidR="00EC6098" w:rsidRPr="00EC6098" w:rsidSect="00370B58">
      <w:pgSz w:w="11906" w:h="16838" w:code="9"/>
      <w:pgMar w:top="68" w:right="1287" w:bottom="54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9870875"/>
    <w:multiLevelType w:val="hybridMultilevel"/>
    <w:tmpl w:val="560696AE"/>
    <w:lvl w:ilvl="0" w:tplc="3F4812C4">
      <w:start w:val="1"/>
      <w:numFmt w:val="bullet"/>
      <w:lvlText w:val=""/>
      <w:lvlJc w:val="left"/>
      <w:pPr>
        <w:tabs>
          <w:tab w:val="num" w:pos="720"/>
        </w:tabs>
        <w:ind w:left="720" w:hanging="360"/>
      </w:pPr>
      <w:rPr>
        <w:rFonts w:ascii="Wingdings" w:hAnsi="Wingdings" w:hint="default"/>
      </w:rPr>
    </w:lvl>
    <w:lvl w:ilvl="1" w:tplc="51F0D94A" w:tentative="1">
      <w:start w:val="1"/>
      <w:numFmt w:val="bullet"/>
      <w:lvlText w:val=""/>
      <w:lvlJc w:val="left"/>
      <w:pPr>
        <w:tabs>
          <w:tab w:val="num" w:pos="1440"/>
        </w:tabs>
        <w:ind w:left="1440" w:hanging="360"/>
      </w:pPr>
      <w:rPr>
        <w:rFonts w:ascii="Wingdings" w:hAnsi="Wingdings" w:hint="default"/>
      </w:rPr>
    </w:lvl>
    <w:lvl w:ilvl="2" w:tplc="8368A5A0" w:tentative="1">
      <w:start w:val="1"/>
      <w:numFmt w:val="bullet"/>
      <w:lvlText w:val=""/>
      <w:lvlJc w:val="left"/>
      <w:pPr>
        <w:tabs>
          <w:tab w:val="num" w:pos="2160"/>
        </w:tabs>
        <w:ind w:left="2160" w:hanging="360"/>
      </w:pPr>
      <w:rPr>
        <w:rFonts w:ascii="Wingdings" w:hAnsi="Wingdings" w:hint="default"/>
      </w:rPr>
    </w:lvl>
    <w:lvl w:ilvl="3" w:tplc="6A1C4DA4" w:tentative="1">
      <w:start w:val="1"/>
      <w:numFmt w:val="bullet"/>
      <w:lvlText w:val=""/>
      <w:lvlJc w:val="left"/>
      <w:pPr>
        <w:tabs>
          <w:tab w:val="num" w:pos="2880"/>
        </w:tabs>
        <w:ind w:left="2880" w:hanging="360"/>
      </w:pPr>
      <w:rPr>
        <w:rFonts w:ascii="Wingdings" w:hAnsi="Wingdings" w:hint="default"/>
      </w:rPr>
    </w:lvl>
    <w:lvl w:ilvl="4" w:tplc="F7C6220E" w:tentative="1">
      <w:start w:val="1"/>
      <w:numFmt w:val="bullet"/>
      <w:lvlText w:val=""/>
      <w:lvlJc w:val="left"/>
      <w:pPr>
        <w:tabs>
          <w:tab w:val="num" w:pos="3600"/>
        </w:tabs>
        <w:ind w:left="3600" w:hanging="360"/>
      </w:pPr>
      <w:rPr>
        <w:rFonts w:ascii="Wingdings" w:hAnsi="Wingdings" w:hint="default"/>
      </w:rPr>
    </w:lvl>
    <w:lvl w:ilvl="5" w:tplc="D99CB89A" w:tentative="1">
      <w:start w:val="1"/>
      <w:numFmt w:val="bullet"/>
      <w:lvlText w:val=""/>
      <w:lvlJc w:val="left"/>
      <w:pPr>
        <w:tabs>
          <w:tab w:val="num" w:pos="4320"/>
        </w:tabs>
        <w:ind w:left="4320" w:hanging="360"/>
      </w:pPr>
      <w:rPr>
        <w:rFonts w:ascii="Wingdings" w:hAnsi="Wingdings" w:hint="default"/>
      </w:rPr>
    </w:lvl>
    <w:lvl w:ilvl="6" w:tplc="A1D04C14" w:tentative="1">
      <w:start w:val="1"/>
      <w:numFmt w:val="bullet"/>
      <w:lvlText w:val=""/>
      <w:lvlJc w:val="left"/>
      <w:pPr>
        <w:tabs>
          <w:tab w:val="num" w:pos="5040"/>
        </w:tabs>
        <w:ind w:left="5040" w:hanging="360"/>
      </w:pPr>
      <w:rPr>
        <w:rFonts w:ascii="Wingdings" w:hAnsi="Wingdings" w:hint="default"/>
      </w:rPr>
    </w:lvl>
    <w:lvl w:ilvl="7" w:tplc="2F46F18E" w:tentative="1">
      <w:start w:val="1"/>
      <w:numFmt w:val="bullet"/>
      <w:lvlText w:val=""/>
      <w:lvlJc w:val="left"/>
      <w:pPr>
        <w:tabs>
          <w:tab w:val="num" w:pos="5760"/>
        </w:tabs>
        <w:ind w:left="5760" w:hanging="360"/>
      </w:pPr>
      <w:rPr>
        <w:rFonts w:ascii="Wingdings" w:hAnsi="Wingdings" w:hint="default"/>
      </w:rPr>
    </w:lvl>
    <w:lvl w:ilvl="8" w:tplc="9ED6288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58"/>
    <w:rsid w:val="00025446"/>
    <w:rsid w:val="00027C02"/>
    <w:rsid w:val="00034CCF"/>
    <w:rsid w:val="00037EC9"/>
    <w:rsid w:val="00042838"/>
    <w:rsid w:val="000469E4"/>
    <w:rsid w:val="00051723"/>
    <w:rsid w:val="000549F3"/>
    <w:rsid w:val="000731B6"/>
    <w:rsid w:val="00090531"/>
    <w:rsid w:val="000B1898"/>
    <w:rsid w:val="000E2E6C"/>
    <w:rsid w:val="00102EED"/>
    <w:rsid w:val="001B1811"/>
    <w:rsid w:val="001D1955"/>
    <w:rsid w:val="001D7441"/>
    <w:rsid w:val="001E002D"/>
    <w:rsid w:val="001E450B"/>
    <w:rsid w:val="001F2916"/>
    <w:rsid w:val="00204AA9"/>
    <w:rsid w:val="00242214"/>
    <w:rsid w:val="002579FD"/>
    <w:rsid w:val="00287DDC"/>
    <w:rsid w:val="002D4692"/>
    <w:rsid w:val="00320C4B"/>
    <w:rsid w:val="0033284B"/>
    <w:rsid w:val="00370B58"/>
    <w:rsid w:val="0038198A"/>
    <w:rsid w:val="00384B5A"/>
    <w:rsid w:val="00387807"/>
    <w:rsid w:val="00392223"/>
    <w:rsid w:val="003B5A96"/>
    <w:rsid w:val="003E42C5"/>
    <w:rsid w:val="003E6E57"/>
    <w:rsid w:val="003F0221"/>
    <w:rsid w:val="004059BA"/>
    <w:rsid w:val="00422C06"/>
    <w:rsid w:val="00435B7F"/>
    <w:rsid w:val="00450A68"/>
    <w:rsid w:val="00455825"/>
    <w:rsid w:val="0047227B"/>
    <w:rsid w:val="00475AA7"/>
    <w:rsid w:val="004949EF"/>
    <w:rsid w:val="004A012F"/>
    <w:rsid w:val="004D4E5F"/>
    <w:rsid w:val="004E3C8C"/>
    <w:rsid w:val="005212C6"/>
    <w:rsid w:val="00537140"/>
    <w:rsid w:val="005472D7"/>
    <w:rsid w:val="005664AB"/>
    <w:rsid w:val="005C6C06"/>
    <w:rsid w:val="005D5BC6"/>
    <w:rsid w:val="005E6502"/>
    <w:rsid w:val="006054EE"/>
    <w:rsid w:val="00616E87"/>
    <w:rsid w:val="00664ED5"/>
    <w:rsid w:val="00665180"/>
    <w:rsid w:val="00670CC2"/>
    <w:rsid w:val="0068246B"/>
    <w:rsid w:val="00682E40"/>
    <w:rsid w:val="006C39FF"/>
    <w:rsid w:val="006D4B05"/>
    <w:rsid w:val="006E2A82"/>
    <w:rsid w:val="006E5988"/>
    <w:rsid w:val="007017F8"/>
    <w:rsid w:val="007031E4"/>
    <w:rsid w:val="00710F15"/>
    <w:rsid w:val="007565F2"/>
    <w:rsid w:val="00781A43"/>
    <w:rsid w:val="007925FA"/>
    <w:rsid w:val="007A48EE"/>
    <w:rsid w:val="007C3068"/>
    <w:rsid w:val="007C3B04"/>
    <w:rsid w:val="007C57D3"/>
    <w:rsid w:val="007D1E8F"/>
    <w:rsid w:val="00801D85"/>
    <w:rsid w:val="00813A89"/>
    <w:rsid w:val="00820946"/>
    <w:rsid w:val="008213C2"/>
    <w:rsid w:val="0083392E"/>
    <w:rsid w:val="00865B67"/>
    <w:rsid w:val="008705A6"/>
    <w:rsid w:val="008A0981"/>
    <w:rsid w:val="008A2F73"/>
    <w:rsid w:val="008C27CC"/>
    <w:rsid w:val="008D084B"/>
    <w:rsid w:val="008E2A85"/>
    <w:rsid w:val="0090115F"/>
    <w:rsid w:val="00911659"/>
    <w:rsid w:val="00915BE3"/>
    <w:rsid w:val="0092509B"/>
    <w:rsid w:val="00926FDD"/>
    <w:rsid w:val="00933662"/>
    <w:rsid w:val="00975B4F"/>
    <w:rsid w:val="009977A1"/>
    <w:rsid w:val="009E3CA2"/>
    <w:rsid w:val="00A21D33"/>
    <w:rsid w:val="00A305C8"/>
    <w:rsid w:val="00A333E3"/>
    <w:rsid w:val="00A42A5B"/>
    <w:rsid w:val="00AC3A3D"/>
    <w:rsid w:val="00AD369D"/>
    <w:rsid w:val="00AE5827"/>
    <w:rsid w:val="00B0779C"/>
    <w:rsid w:val="00B325E5"/>
    <w:rsid w:val="00B57029"/>
    <w:rsid w:val="00B74A63"/>
    <w:rsid w:val="00BA1326"/>
    <w:rsid w:val="00BA62B8"/>
    <w:rsid w:val="00C00B84"/>
    <w:rsid w:val="00C31FF4"/>
    <w:rsid w:val="00C36E67"/>
    <w:rsid w:val="00C42476"/>
    <w:rsid w:val="00C44A70"/>
    <w:rsid w:val="00C50BDE"/>
    <w:rsid w:val="00C5214F"/>
    <w:rsid w:val="00C71EA9"/>
    <w:rsid w:val="00C76E85"/>
    <w:rsid w:val="00C775B1"/>
    <w:rsid w:val="00C8011C"/>
    <w:rsid w:val="00CB07F9"/>
    <w:rsid w:val="00CC1686"/>
    <w:rsid w:val="00CE13C6"/>
    <w:rsid w:val="00CF0241"/>
    <w:rsid w:val="00D03DBE"/>
    <w:rsid w:val="00D1591E"/>
    <w:rsid w:val="00D26DE6"/>
    <w:rsid w:val="00D43E1D"/>
    <w:rsid w:val="00D47EDC"/>
    <w:rsid w:val="00DC0DA3"/>
    <w:rsid w:val="00E21D33"/>
    <w:rsid w:val="00E23970"/>
    <w:rsid w:val="00E415A0"/>
    <w:rsid w:val="00E95571"/>
    <w:rsid w:val="00EC6098"/>
    <w:rsid w:val="00EF6D60"/>
    <w:rsid w:val="00F00C40"/>
    <w:rsid w:val="00F04092"/>
    <w:rsid w:val="00F605C2"/>
    <w:rsid w:val="00F611A9"/>
    <w:rsid w:val="00FD3CF1"/>
    <w:rsid w:val="00FE66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08845">
      <w:bodyDiv w:val="1"/>
      <w:marLeft w:val="0"/>
      <w:marRight w:val="0"/>
      <w:marTop w:val="0"/>
      <w:marBottom w:val="0"/>
      <w:divBdr>
        <w:top w:val="none" w:sz="0" w:space="0" w:color="auto"/>
        <w:left w:val="none" w:sz="0" w:space="0" w:color="auto"/>
        <w:bottom w:val="none" w:sz="0" w:space="0" w:color="auto"/>
        <w:right w:val="none" w:sz="0" w:space="0" w:color="auto"/>
      </w:divBdr>
      <w:divsChild>
        <w:div w:id="801314593">
          <w:marLeft w:val="360"/>
          <w:marRight w:val="0"/>
          <w:marTop w:val="200"/>
          <w:marBottom w:val="0"/>
          <w:divBdr>
            <w:top w:val="none" w:sz="0" w:space="0" w:color="auto"/>
            <w:left w:val="none" w:sz="0" w:space="0" w:color="auto"/>
            <w:bottom w:val="none" w:sz="0" w:space="0" w:color="auto"/>
            <w:right w:val="none" w:sz="0" w:space="0" w:color="auto"/>
          </w:divBdr>
        </w:div>
      </w:divsChild>
    </w:div>
    <w:div w:id="15020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em-o.com/documents/market-modifications/CMC_05_19/CMC_05_19HousekeepingChangespresentation.ppt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cid:image001.png@01D3DCA4.EDA076E0" TargetMode="External"/><Relationship Id="rId17" Type="http://schemas.openxmlformats.org/officeDocument/2006/relationships/hyperlink" Target="https://www.sem-o.com/documents/market-modifications/CMC_06_19/CMC_06_19ModificationtotheProportionofDeliveredCapacitycalculation(G.3.1.4).docx" TargetMode="External"/><Relationship Id="rId2" Type="http://schemas.openxmlformats.org/officeDocument/2006/relationships/customXml" Target="../customXml/item2.xml"/><Relationship Id="rId16" Type="http://schemas.openxmlformats.org/officeDocument/2006/relationships/hyperlink" Target="https://www.sem-o.com/documents/market-modifications/CMC_05_19/CMC_05_19HousekeepingChangespresentation.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m-o.com/documents/market-modifications/CMC_05_19/CMC_05_19HousekeepingChanges.docx" TargetMode="External"/><Relationship Id="rId10" Type="http://schemas.openxmlformats.org/officeDocument/2006/relationships/hyperlink" Target="http://www.soni.ltd.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rules-and-modifications/capacity-market-modifications/market-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Capacity Market</Market>
    <Doc_x0020_Type xmlns="83dee237-e653-49f0-9104-674b0aa2bf9b">Meeting No</Doc_x0020_Type>
    <TaxCatchAll xmlns="3cada6dc-2705-46ed-bab2-0b2cd6d935ca"/>
    <Document_x0020_Type xmlns="83dee237-e653-49f0-9104-674b0aa2bf9b">Minutes</Document_x0020_Type>
    <Meeting_x0020_No xmlns="83dee237-e653-49f0-9104-674b0aa2bf9b">6</Meeting_x0020_No>
    <WG_x0020_Link xmlns="83dee237-e653-49f0-9104-674b0aa2bf9b">
      <Url xsi:nil="true"/>
      <Description xsi:nil="true"/>
    </WG_x0020_Link>
    <Working_x0020_Group xmlns="83dee237-e653-49f0-9104-674b0aa2bf9b">Working Group 6</Working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FF277-9AB0-4FF0-87D3-8FBC0C1002E4}">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2.xml><?xml version="1.0" encoding="utf-8"?>
<ds:datastoreItem xmlns:ds="http://schemas.openxmlformats.org/officeDocument/2006/customXml" ds:itemID="{5061DD66-A0A0-4E48-89B4-6F23D355593C}">
  <ds:schemaRefs>
    <ds:schemaRef ds:uri="http://schemas.microsoft.com/sharepoint/v3/contenttype/forms"/>
  </ds:schemaRefs>
</ds:datastoreItem>
</file>

<file path=customXml/itemProps3.xml><?xml version="1.0" encoding="utf-8"?>
<ds:datastoreItem xmlns:ds="http://schemas.openxmlformats.org/officeDocument/2006/customXml" ds:itemID="{68183EBA-F901-42C2-A670-4F776FD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CE288-C7F1-401F-960C-73FAAF2A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SEMO</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slinnane</dc:creator>
  <cp:lastModifiedBy>Linnane, Sandra</cp:lastModifiedBy>
  <cp:revision>2</cp:revision>
  <cp:lastPrinted>2019-05-23T13:38:00Z</cp:lastPrinted>
  <dcterms:created xsi:type="dcterms:W3CDTF">2019-06-28T13:59:00Z</dcterms:created>
  <dcterms:modified xsi:type="dcterms:W3CDTF">2019-06-28T13:59:00Z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